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宋体"/>
          <w:kern w:val="0"/>
          <w:sz w:val="27"/>
        </w:rPr>
      </w:pPr>
    </w:p>
    <w:p>
      <w:pPr>
        <w:spacing w:after="210" w:afterLines="50"/>
        <w:jc w:val="center"/>
        <w:rPr>
          <w:rFonts w:eastAsia="宋体"/>
          <w:bCs/>
          <w:spacing w:val="-10"/>
          <w:kern w:val="0"/>
          <w:sz w:val="52"/>
          <w:szCs w:val="52"/>
        </w:rPr>
      </w:pPr>
      <w:r>
        <w:rPr>
          <w:rFonts w:hint="eastAsia" w:eastAsia="宋体"/>
          <w:bCs/>
          <w:spacing w:val="-10"/>
          <w:kern w:val="0"/>
          <w:sz w:val="52"/>
          <w:szCs w:val="52"/>
        </w:rPr>
        <w:t>永兴特种</w:t>
      </w:r>
      <w:r>
        <w:rPr>
          <w:rFonts w:eastAsia="宋体"/>
          <w:bCs/>
          <w:spacing w:val="-10"/>
          <w:kern w:val="0"/>
          <w:sz w:val="52"/>
          <w:szCs w:val="52"/>
        </w:rPr>
        <w:t>不锈钢</w:t>
      </w:r>
      <w:r>
        <w:rPr>
          <w:rFonts w:hint="eastAsia" w:eastAsia="宋体"/>
          <w:bCs/>
          <w:spacing w:val="-10"/>
          <w:kern w:val="0"/>
          <w:sz w:val="52"/>
          <w:szCs w:val="52"/>
        </w:rPr>
        <w:t>股份</w:t>
      </w:r>
      <w:r>
        <w:rPr>
          <w:rFonts w:eastAsia="宋体"/>
          <w:bCs/>
          <w:spacing w:val="-10"/>
          <w:kern w:val="0"/>
          <w:sz w:val="52"/>
          <w:szCs w:val="52"/>
        </w:rPr>
        <w:t>有限公司</w:t>
      </w:r>
    </w:p>
    <w:p>
      <w:pPr>
        <w:spacing w:after="210" w:afterLines="50"/>
        <w:jc w:val="center"/>
        <w:rPr>
          <w:rFonts w:eastAsia="宋体"/>
          <w:bCs/>
          <w:spacing w:val="-10"/>
          <w:kern w:val="0"/>
          <w:sz w:val="52"/>
          <w:szCs w:val="52"/>
        </w:rPr>
      </w:pPr>
      <w:r>
        <w:rPr>
          <w:rFonts w:hint="eastAsia" w:eastAsia="宋体"/>
          <w:bCs/>
          <w:spacing w:val="-10"/>
          <w:kern w:val="0"/>
          <w:sz w:val="52"/>
          <w:szCs w:val="52"/>
        </w:rPr>
        <w:t>高性能不锈钢</w:t>
      </w:r>
      <w:r>
        <w:rPr>
          <w:rFonts w:eastAsia="宋体"/>
          <w:bCs/>
          <w:spacing w:val="-10"/>
          <w:kern w:val="0"/>
          <w:sz w:val="52"/>
          <w:szCs w:val="52"/>
        </w:rPr>
        <w:t>连铸系统</w:t>
      </w:r>
      <w:r>
        <w:rPr>
          <w:rFonts w:hint="eastAsia" w:eastAsia="宋体"/>
          <w:bCs/>
          <w:spacing w:val="-10"/>
          <w:kern w:val="0"/>
          <w:sz w:val="52"/>
          <w:szCs w:val="52"/>
        </w:rPr>
        <w:t>升级改造</w:t>
      </w:r>
      <w:r>
        <w:rPr>
          <w:rFonts w:eastAsia="宋体"/>
          <w:bCs/>
          <w:spacing w:val="-10"/>
          <w:kern w:val="0"/>
          <w:sz w:val="52"/>
          <w:szCs w:val="52"/>
        </w:rPr>
        <w:t>项目</w:t>
      </w:r>
    </w:p>
    <w:p>
      <w:pPr>
        <w:spacing w:line="1000" w:lineRule="exact"/>
        <w:jc w:val="center"/>
        <w:rPr>
          <w:rFonts w:eastAsia="宋体"/>
          <w:bCs/>
          <w:spacing w:val="100"/>
          <w:kern w:val="0"/>
          <w:sz w:val="84"/>
          <w:szCs w:val="84"/>
        </w:rPr>
      </w:pPr>
      <w:r>
        <w:rPr>
          <w:rFonts w:eastAsia="宋体"/>
          <w:bCs/>
          <w:spacing w:val="100"/>
          <w:kern w:val="0"/>
          <w:sz w:val="84"/>
          <w:szCs w:val="84"/>
        </w:rPr>
        <w:t>环境影响报告书</w:t>
      </w:r>
    </w:p>
    <w:p>
      <w:pPr>
        <w:adjustRightInd w:val="0"/>
        <w:spacing w:line="312" w:lineRule="atLeast"/>
        <w:jc w:val="center"/>
        <w:textAlignment w:val="baseline"/>
        <w:rPr>
          <w:rFonts w:eastAsia="宋体"/>
          <w:kern w:val="0"/>
          <w:sz w:val="32"/>
        </w:rPr>
      </w:pPr>
    </w:p>
    <w:p>
      <w:pPr>
        <w:jc w:val="center"/>
        <w:outlineLvl w:val="0"/>
        <w:rPr>
          <w:rFonts w:eastAsia="宋体"/>
          <w:kern w:val="0"/>
          <w:sz w:val="27"/>
        </w:rPr>
      </w:pPr>
      <w:r>
        <w:rPr>
          <w:rFonts w:hint="eastAsia" w:eastAsia="宋体"/>
          <w:kern w:val="0"/>
          <w:sz w:val="27"/>
        </w:rPr>
        <w:t>(征求意见稿)</w:t>
      </w:r>
    </w:p>
    <w:p>
      <w:pPr>
        <w:jc w:val="center"/>
        <w:outlineLvl w:val="0"/>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rPr>
          <w:rFonts w:eastAsia="宋体"/>
          <w:kern w:val="0"/>
          <w:sz w:val="27"/>
        </w:rPr>
      </w:pPr>
    </w:p>
    <w:p>
      <w:pPr>
        <w:spacing w:line="360" w:lineRule="auto"/>
        <w:jc w:val="center"/>
        <w:rPr>
          <w:rFonts w:eastAsia="宋体"/>
          <w:b/>
          <w:bCs/>
          <w:kern w:val="0"/>
          <w:sz w:val="32"/>
          <w:szCs w:val="32"/>
        </w:rPr>
      </w:pPr>
      <w:r>
        <w:rPr>
          <w:rFonts w:hint="eastAsia" w:eastAsia="宋体"/>
          <w:b/>
          <w:bCs/>
          <w:kern w:val="0"/>
          <w:sz w:val="32"/>
          <w:szCs w:val="32"/>
        </w:rPr>
        <w:t>建设单位</w:t>
      </w:r>
      <w:r>
        <w:rPr>
          <w:rFonts w:eastAsia="宋体"/>
          <w:b/>
          <w:bCs/>
          <w:kern w:val="0"/>
          <w:sz w:val="32"/>
          <w:szCs w:val="32"/>
        </w:rPr>
        <w:t>：</w:t>
      </w:r>
      <w:r>
        <w:rPr>
          <w:rFonts w:hint="eastAsia" w:eastAsia="宋体"/>
          <w:b/>
          <w:bCs/>
          <w:kern w:val="0"/>
          <w:sz w:val="32"/>
          <w:szCs w:val="32"/>
        </w:rPr>
        <w:t>永兴特种</w:t>
      </w:r>
      <w:r>
        <w:rPr>
          <w:rFonts w:eastAsia="宋体"/>
          <w:b/>
          <w:bCs/>
          <w:kern w:val="0"/>
          <w:sz w:val="32"/>
          <w:szCs w:val="32"/>
        </w:rPr>
        <w:t>不锈钢</w:t>
      </w:r>
      <w:r>
        <w:rPr>
          <w:rFonts w:hint="eastAsia" w:eastAsia="宋体"/>
          <w:b/>
          <w:bCs/>
          <w:kern w:val="0"/>
          <w:sz w:val="32"/>
          <w:szCs w:val="32"/>
        </w:rPr>
        <w:t>股份</w:t>
      </w:r>
      <w:r>
        <w:rPr>
          <w:rFonts w:eastAsia="宋体"/>
          <w:b/>
          <w:bCs/>
          <w:kern w:val="0"/>
          <w:sz w:val="32"/>
          <w:szCs w:val="32"/>
        </w:rPr>
        <w:t>有限公司</w:t>
      </w:r>
    </w:p>
    <w:p>
      <w:pPr>
        <w:spacing w:line="360" w:lineRule="auto"/>
        <w:jc w:val="center"/>
        <w:rPr>
          <w:rFonts w:eastAsia="宋体"/>
          <w:b/>
          <w:bCs/>
          <w:kern w:val="0"/>
          <w:sz w:val="32"/>
          <w:szCs w:val="32"/>
        </w:rPr>
      </w:pPr>
      <w:r>
        <w:rPr>
          <w:rFonts w:hint="eastAsia" w:eastAsia="宋体"/>
          <w:b/>
          <w:bCs/>
          <w:kern w:val="0"/>
          <w:sz w:val="32"/>
          <w:szCs w:val="32"/>
        </w:rPr>
        <w:t>编制</w:t>
      </w:r>
      <w:r>
        <w:rPr>
          <w:rFonts w:eastAsia="宋体"/>
          <w:b/>
          <w:bCs/>
          <w:kern w:val="0"/>
          <w:sz w:val="32"/>
          <w:szCs w:val="32"/>
        </w:rPr>
        <w:t>单位：上海</w:t>
      </w:r>
      <w:r>
        <w:rPr>
          <w:rFonts w:hint="eastAsia" w:eastAsia="宋体"/>
          <w:b/>
          <w:bCs/>
          <w:kern w:val="0"/>
          <w:sz w:val="32"/>
          <w:szCs w:val="32"/>
        </w:rPr>
        <w:t>建科</w:t>
      </w:r>
      <w:r>
        <w:rPr>
          <w:rFonts w:eastAsia="宋体"/>
          <w:b/>
          <w:bCs/>
          <w:kern w:val="0"/>
          <w:sz w:val="32"/>
          <w:szCs w:val="32"/>
        </w:rPr>
        <w:t>环境技术有限公司</w:t>
      </w:r>
    </w:p>
    <w:p>
      <w:pPr>
        <w:adjustRightInd w:val="0"/>
        <w:spacing w:line="360" w:lineRule="auto"/>
        <w:jc w:val="center"/>
        <w:textAlignment w:val="baseline"/>
        <w:rPr>
          <w:rFonts w:eastAsia="宋体"/>
          <w:b/>
          <w:kern w:val="0"/>
          <w:sz w:val="32"/>
          <w:szCs w:val="32"/>
        </w:rPr>
      </w:pPr>
      <w:r>
        <w:rPr>
          <w:rFonts w:eastAsia="宋体"/>
          <w:b/>
          <w:kern w:val="0"/>
          <w:sz w:val="32"/>
          <w:szCs w:val="32"/>
        </w:rPr>
        <w:t>二</w:t>
      </w:r>
      <w:r>
        <w:rPr>
          <w:rFonts w:hint="eastAsia" w:eastAsia="宋体"/>
          <w:b/>
          <w:kern w:val="0"/>
          <w:sz w:val="32"/>
          <w:szCs w:val="32"/>
        </w:rPr>
        <w:t>O</w:t>
      </w:r>
      <w:r>
        <w:rPr>
          <w:rFonts w:eastAsia="宋体"/>
          <w:b/>
          <w:kern w:val="0"/>
          <w:sz w:val="32"/>
          <w:szCs w:val="32"/>
        </w:rPr>
        <w:t>一</w:t>
      </w:r>
      <w:r>
        <w:rPr>
          <w:rFonts w:hint="eastAsia" w:eastAsia="宋体"/>
          <w:b/>
          <w:kern w:val="0"/>
          <w:sz w:val="32"/>
          <w:szCs w:val="32"/>
        </w:rPr>
        <w:t>九</w:t>
      </w:r>
      <w:r>
        <w:rPr>
          <w:rFonts w:eastAsia="宋体"/>
          <w:b/>
          <w:kern w:val="0"/>
          <w:sz w:val="32"/>
          <w:szCs w:val="32"/>
        </w:rPr>
        <w:t>年</w:t>
      </w:r>
      <w:r>
        <w:rPr>
          <w:rFonts w:hint="eastAsia" w:eastAsia="宋体"/>
          <w:b/>
          <w:kern w:val="0"/>
          <w:sz w:val="32"/>
          <w:szCs w:val="32"/>
        </w:rPr>
        <w:t>五</w:t>
      </w:r>
      <w:r>
        <w:rPr>
          <w:rFonts w:eastAsia="宋体"/>
          <w:b/>
          <w:kern w:val="0"/>
          <w:sz w:val="32"/>
          <w:szCs w:val="32"/>
        </w:rPr>
        <w:t>月</w:t>
      </w:r>
    </w:p>
    <w:p>
      <w:pPr>
        <w:pStyle w:val="4"/>
        <w:spacing w:line="480" w:lineRule="exact"/>
        <w:ind w:firstLine="0"/>
        <w:jc w:val="center"/>
        <w:rPr>
          <w:rFonts w:ascii="Times New Roman" w:hAnsi="Times New Roman" w:eastAsia="仿宋_GB2312" w:cs="Times New Roman"/>
          <w:b/>
          <w:bCs/>
          <w:spacing w:val="0"/>
          <w:sz w:val="44"/>
        </w:rPr>
        <w:sectPr>
          <w:headerReference r:id="rId3" w:type="default"/>
          <w:footerReference r:id="rId4" w:type="default"/>
          <w:pgSz w:w="11907" w:h="16840"/>
          <w:pgMar w:top="1531" w:right="1406" w:bottom="1588" w:left="1157" w:header="964" w:footer="964" w:gutter="567"/>
          <w:pgNumType w:fmt="upperRoman" w:start="1"/>
          <w:cols w:space="720" w:num="1"/>
          <w:docGrid w:type="linesAndChars" w:linePitch="421" w:charSpace="-1172"/>
        </w:sectPr>
      </w:pPr>
    </w:p>
    <w:p>
      <w:pPr>
        <w:pStyle w:val="4"/>
        <w:spacing w:line="480" w:lineRule="exact"/>
        <w:ind w:firstLine="0"/>
        <w:jc w:val="center"/>
        <w:rPr>
          <w:rFonts w:ascii="Times New Roman" w:hAnsi="Times New Roman" w:eastAsia="仿宋_GB2312" w:cs="Times New Roman"/>
          <w:b/>
          <w:bCs/>
          <w:spacing w:val="0"/>
          <w:sz w:val="44"/>
        </w:rPr>
      </w:pPr>
      <w:r>
        <w:rPr>
          <w:rFonts w:ascii="Times New Roman" w:hAnsi="Times New Roman" w:eastAsia="仿宋_GB2312" w:cs="Times New Roman"/>
          <w:b/>
          <w:bCs/>
          <w:spacing w:val="0"/>
          <w:sz w:val="44"/>
        </w:rPr>
        <w:t>目  录</w:t>
      </w:r>
    </w:p>
    <w:p>
      <w:pPr>
        <w:pStyle w:val="59"/>
        <w:rPr>
          <w:rFonts w:ascii="Times New Roman" w:hAnsi="Times New Roman" w:eastAsiaTheme="minorEastAsia"/>
          <w:b w:val="0"/>
          <w:bCs w:val="0"/>
          <w:caps w:val="0"/>
          <w:sz w:val="21"/>
          <w:szCs w:val="22"/>
        </w:rPr>
      </w:pPr>
      <w:bookmarkStart w:id="0" w:name="_Toc67153654"/>
      <w:bookmarkStart w:id="1" w:name="_Toc67153981"/>
      <w:r>
        <w:rPr>
          <w:rFonts w:ascii="Times New Roman" w:hAnsi="Times New Roman"/>
        </w:rPr>
        <w:fldChar w:fldCharType="begin"/>
      </w:r>
      <w:r>
        <w:rPr>
          <w:rFonts w:ascii="Times New Roman" w:hAnsi="Times New Roman"/>
        </w:rPr>
        <w:instrText xml:space="preserve"> TOC \o "1-2" \h \z </w:instrText>
      </w:r>
      <w:r>
        <w:rPr>
          <w:rFonts w:ascii="Times New Roman" w:hAnsi="Times New Roman"/>
        </w:rPr>
        <w:fldChar w:fldCharType="separate"/>
      </w:r>
      <w:r>
        <w:fldChar w:fldCharType="begin"/>
      </w:r>
      <w:r>
        <w:instrText xml:space="preserve"> HYPERLINK \l "_Toc10637123" </w:instrText>
      </w:r>
      <w:r>
        <w:fldChar w:fldCharType="separate"/>
      </w:r>
      <w:r>
        <w:rPr>
          <w:rStyle w:val="142"/>
          <w:rFonts w:ascii="Times New Roman" w:hAnsi="Times New Roman"/>
        </w:rPr>
        <w:t>第1章</w:t>
      </w:r>
      <w:r>
        <w:rPr>
          <w:rFonts w:ascii="Times New Roman" w:hAnsi="Times New Roman" w:eastAsiaTheme="minorEastAsia"/>
          <w:b w:val="0"/>
          <w:bCs w:val="0"/>
          <w:caps w:val="0"/>
          <w:sz w:val="21"/>
          <w:szCs w:val="22"/>
        </w:rPr>
        <w:tab/>
      </w:r>
      <w:r>
        <w:rPr>
          <w:rStyle w:val="142"/>
          <w:rFonts w:ascii="Times New Roman" w:hAnsi="Times New Roman"/>
        </w:rPr>
        <w:t>概述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_Toc10637123 \h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"_Toc10637124" </w:instrText>
      </w:r>
      <w:r>
        <w:fldChar w:fldCharType="separate"/>
      </w:r>
      <w:r>
        <w:rPr>
          <w:rStyle w:val="142"/>
          <w:rFonts w:ascii="Times New Roman" w:hAnsi="Times New Roman"/>
        </w:rPr>
        <w:t>1.1</w:t>
      </w:r>
      <w:r>
        <w:rPr>
          <w:rFonts w:ascii="Times New Roman" w:hAnsi="Times New Roman" w:eastAsiaTheme="minorEastAsia"/>
          <w:smallCaps w:val="0"/>
          <w:szCs w:val="22"/>
        </w:rPr>
        <w:tab/>
      </w:r>
      <w:r>
        <w:rPr>
          <w:rStyle w:val="142"/>
          <w:rFonts w:ascii="Times New Roman" w:hAnsi="Times New Roman"/>
        </w:rPr>
        <w:t>项目背景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_Toc10637124 \h </w:instrText>
      </w:r>
      <w:r>
        <w:rPr>
          <w:rFonts w:ascii="Times New Roman" w:hAnsi="Times New Roman"/>
        </w:rPr>
        <w:fldChar w:fldCharType="separate"/>
      </w:r>
      <w:r>
        <w:rPr>
          <w:rFonts w:ascii="Times New Roman" w:hAnsi="Times New Roman"/>
        </w:rPr>
        <w:t>- 1 -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"_Toc10637125" </w:instrText>
      </w:r>
      <w:r>
        <w:fldChar w:fldCharType="separate"/>
      </w:r>
      <w:r>
        <w:rPr>
          <w:rStyle w:val="142"/>
          <w:rFonts w:ascii="Times New Roman" w:hAnsi="Times New Roman"/>
        </w:rPr>
        <w:t>1.2</w:t>
      </w:r>
      <w:r>
        <w:rPr>
          <w:rFonts w:ascii="Times New Roman" w:hAnsi="Times New Roman" w:eastAsiaTheme="minorEastAsia"/>
          <w:smallCaps w:val="0"/>
          <w:szCs w:val="22"/>
        </w:rPr>
        <w:tab/>
      </w:r>
      <w:r>
        <w:rPr>
          <w:rStyle w:val="142"/>
          <w:rFonts w:ascii="Times New Roman" w:hAnsi="Times New Roman"/>
        </w:rPr>
        <w:t>项目背景及建设必要性分析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_Toc10637125 \h </w:instrText>
      </w:r>
      <w:r>
        <w:rPr>
          <w:rFonts w:ascii="Times New Roman" w:hAnsi="Times New Roman"/>
        </w:rPr>
        <w:fldChar w:fldCharType="separate"/>
      </w:r>
      <w:r>
        <w:rPr>
          <w:rFonts w:ascii="Times New Roman" w:hAnsi="Times New Roman"/>
        </w:rPr>
        <w:t>- 3 -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"_Toc10637126" </w:instrText>
      </w:r>
      <w:r>
        <w:fldChar w:fldCharType="separate"/>
      </w:r>
      <w:r>
        <w:rPr>
          <w:rStyle w:val="142"/>
          <w:rFonts w:ascii="Times New Roman" w:hAnsi="Times New Roman"/>
        </w:rPr>
        <w:t>1.3</w:t>
      </w:r>
      <w:r>
        <w:rPr>
          <w:rFonts w:ascii="Times New Roman" w:hAnsi="Times New Roman" w:eastAsiaTheme="minorEastAsia"/>
          <w:smallCaps w:val="0"/>
          <w:szCs w:val="22"/>
        </w:rPr>
        <w:tab/>
      </w:r>
      <w:r>
        <w:rPr>
          <w:rStyle w:val="142"/>
          <w:rFonts w:ascii="Times New Roman" w:hAnsi="Times New Roman"/>
        </w:rPr>
        <w:t>项目特点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_Toc10637126 \h </w:instrText>
      </w:r>
      <w:r>
        <w:rPr>
          <w:rFonts w:ascii="Times New Roman" w:hAnsi="Times New Roman"/>
        </w:rPr>
        <w:fldChar w:fldCharType="separate"/>
      </w:r>
      <w:r>
        <w:rPr>
          <w:rFonts w:ascii="Times New Roman" w:hAnsi="Times New Roman"/>
        </w:rPr>
        <w:t>- 5 -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"_Toc10637127" </w:instrText>
      </w:r>
      <w:r>
        <w:fldChar w:fldCharType="separate"/>
      </w:r>
      <w:r>
        <w:rPr>
          <w:rStyle w:val="142"/>
          <w:rFonts w:ascii="Times New Roman" w:hAnsi="Times New Roman"/>
        </w:rPr>
        <w:t>1.4</w:t>
      </w:r>
      <w:r>
        <w:rPr>
          <w:rFonts w:ascii="Times New Roman" w:hAnsi="Times New Roman" w:eastAsiaTheme="minorEastAsia"/>
          <w:smallCaps w:val="0"/>
          <w:szCs w:val="22"/>
        </w:rPr>
        <w:tab/>
      </w:r>
      <w:r>
        <w:rPr>
          <w:rStyle w:val="142"/>
          <w:rFonts w:ascii="Times New Roman" w:hAnsi="Times New Roman"/>
        </w:rPr>
        <w:t>评价工作程序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_Toc10637127 \h </w:instrText>
      </w:r>
      <w:r>
        <w:rPr>
          <w:rFonts w:ascii="Times New Roman" w:hAnsi="Times New Roman"/>
        </w:rPr>
        <w:fldChar w:fldCharType="separate"/>
      </w:r>
      <w:r>
        <w:rPr>
          <w:rFonts w:ascii="Times New Roman" w:hAnsi="Times New Roman"/>
        </w:rPr>
        <w:t>- 5 -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"_Toc10637128" </w:instrText>
      </w:r>
      <w:r>
        <w:fldChar w:fldCharType="separate"/>
      </w:r>
      <w:r>
        <w:rPr>
          <w:rStyle w:val="142"/>
          <w:rFonts w:ascii="Times New Roman" w:hAnsi="Times New Roman"/>
        </w:rPr>
        <w:t>1.5</w:t>
      </w:r>
      <w:r>
        <w:rPr>
          <w:rFonts w:ascii="Times New Roman" w:hAnsi="Times New Roman" w:eastAsiaTheme="minorEastAsia"/>
          <w:smallCaps w:val="0"/>
          <w:szCs w:val="22"/>
        </w:rPr>
        <w:tab/>
      </w:r>
      <w:r>
        <w:rPr>
          <w:rStyle w:val="142"/>
          <w:rFonts w:ascii="Times New Roman" w:hAnsi="Times New Roman"/>
        </w:rPr>
        <w:t>分析判定相关情况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_Toc10637128 \h </w:instrText>
      </w:r>
      <w:r>
        <w:rPr>
          <w:rFonts w:ascii="Times New Roman" w:hAnsi="Times New Roman"/>
        </w:rPr>
        <w:fldChar w:fldCharType="separate"/>
      </w:r>
      <w:r>
        <w:rPr>
          <w:rFonts w:ascii="Times New Roman" w:hAnsi="Times New Roman"/>
        </w:rPr>
        <w:t>- 6 -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"_Toc10637129" </w:instrText>
      </w:r>
      <w:r>
        <w:fldChar w:fldCharType="separate"/>
      </w:r>
      <w:r>
        <w:rPr>
          <w:rStyle w:val="142"/>
          <w:rFonts w:ascii="Times New Roman" w:hAnsi="Times New Roman"/>
        </w:rPr>
        <w:t>1.6</w:t>
      </w:r>
      <w:r>
        <w:rPr>
          <w:rFonts w:ascii="Times New Roman" w:hAnsi="Times New Roman" w:eastAsiaTheme="minorEastAsia"/>
          <w:smallCaps w:val="0"/>
          <w:szCs w:val="22"/>
        </w:rPr>
        <w:tab/>
      </w:r>
      <w:r>
        <w:rPr>
          <w:rStyle w:val="142"/>
          <w:rFonts w:ascii="Times New Roman" w:hAnsi="Times New Roman"/>
        </w:rPr>
        <w:t>主要关注环境问题、污染治理措施及环境影响</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_Toc10637129 \h </w:instrText>
      </w:r>
      <w:r>
        <w:rPr>
          <w:rFonts w:ascii="Times New Roman" w:hAnsi="Times New Roman"/>
        </w:rPr>
        <w:fldChar w:fldCharType="separate"/>
      </w:r>
      <w:r>
        <w:rPr>
          <w:rFonts w:ascii="Times New Roman" w:hAnsi="Times New Roman"/>
        </w:rPr>
        <w:t>- 9 -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"_Toc10637130" </w:instrText>
      </w:r>
      <w:r>
        <w:fldChar w:fldCharType="separate"/>
      </w:r>
      <w:r>
        <w:rPr>
          <w:rStyle w:val="142"/>
          <w:rFonts w:ascii="Times New Roman" w:hAnsi="Times New Roman"/>
        </w:rPr>
        <w:t>第2章</w:t>
      </w:r>
      <w:r>
        <w:rPr>
          <w:rFonts w:ascii="Times New Roman" w:hAnsi="Times New Roman" w:eastAsiaTheme="minorEastAsia"/>
          <w:b w:val="0"/>
          <w:bCs w:val="0"/>
          <w:caps w:val="0"/>
          <w:sz w:val="21"/>
          <w:szCs w:val="22"/>
        </w:rPr>
        <w:tab/>
      </w:r>
      <w:r>
        <w:rPr>
          <w:rStyle w:val="142"/>
          <w:rFonts w:ascii="Times New Roman" w:hAnsi="Times New Roman"/>
        </w:rPr>
        <w:t>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_Toc10637130 \h </w:instrText>
      </w:r>
      <w:r>
        <w:rPr>
          <w:rFonts w:ascii="Times New Roman" w:hAnsi="Times New Roman"/>
        </w:rPr>
        <w:fldChar w:fldCharType="separate"/>
      </w:r>
      <w:r>
        <w:rPr>
          <w:rFonts w:ascii="Times New Roman" w:hAnsi="Times New Roman"/>
        </w:rPr>
        <w:t>- 10 -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"_Toc10637131" </w:instrText>
      </w:r>
      <w:r>
        <w:fldChar w:fldCharType="separate"/>
      </w:r>
      <w:r>
        <w:rPr>
          <w:rStyle w:val="142"/>
          <w:rFonts w:ascii="Times New Roman" w:hAnsi="Times New Roman"/>
        </w:rPr>
        <w:t>2.1</w:t>
      </w:r>
      <w:r>
        <w:rPr>
          <w:rFonts w:ascii="Times New Roman" w:hAnsi="Times New Roman" w:eastAsiaTheme="minorEastAsia"/>
          <w:smallCaps w:val="0"/>
          <w:szCs w:val="22"/>
        </w:rPr>
        <w:tab/>
      </w:r>
      <w:r>
        <w:rPr>
          <w:rStyle w:val="142"/>
          <w:rFonts w:ascii="Times New Roman" w:hAnsi="Times New Roman"/>
        </w:rPr>
        <w:t>环境功能区划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_Toc10637131 \h </w:instrText>
      </w:r>
      <w:r>
        <w:rPr>
          <w:rFonts w:ascii="Times New Roman" w:hAnsi="Times New Roman"/>
        </w:rPr>
        <w:fldChar w:fldCharType="separate"/>
      </w:r>
      <w:r>
        <w:rPr>
          <w:rFonts w:ascii="Times New Roman" w:hAnsi="Times New Roman"/>
        </w:rPr>
        <w:t>- 10 -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"_Toc10637132" </w:instrText>
      </w:r>
      <w:r>
        <w:fldChar w:fldCharType="separate"/>
      </w:r>
      <w:r>
        <w:rPr>
          <w:rStyle w:val="142"/>
          <w:rFonts w:ascii="Times New Roman" w:hAnsi="Times New Roman"/>
        </w:rPr>
        <w:t>2.2</w:t>
      </w:r>
      <w:r>
        <w:rPr>
          <w:rFonts w:ascii="Times New Roman" w:hAnsi="Times New Roman" w:eastAsiaTheme="minorEastAsia"/>
          <w:smallCaps w:val="0"/>
          <w:szCs w:val="22"/>
        </w:rPr>
        <w:tab/>
      </w:r>
      <w:r>
        <w:rPr>
          <w:rStyle w:val="142"/>
          <w:rFonts w:ascii="Times New Roman" w:hAnsi="Times New Roman"/>
        </w:rPr>
        <w:t>评价标准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_Toc10637132 \h </w:instrText>
      </w:r>
      <w:r>
        <w:rPr>
          <w:rFonts w:ascii="Times New Roman" w:hAnsi="Times New Roman"/>
        </w:rPr>
        <w:fldChar w:fldCharType="separate"/>
      </w:r>
      <w:r>
        <w:rPr>
          <w:rFonts w:ascii="Times New Roman" w:hAnsi="Times New Roman"/>
        </w:rPr>
        <w:t>- 10 -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"_Toc10637133" </w:instrText>
      </w:r>
      <w:r>
        <w:fldChar w:fldCharType="separate"/>
      </w:r>
      <w:r>
        <w:rPr>
          <w:rStyle w:val="142"/>
          <w:rFonts w:ascii="Times New Roman" w:hAnsi="Times New Roman"/>
        </w:rPr>
        <w:t>2.3</w:t>
      </w:r>
      <w:r>
        <w:rPr>
          <w:rFonts w:ascii="Times New Roman" w:hAnsi="Times New Roman" w:eastAsiaTheme="minorEastAsia"/>
          <w:smallCaps w:val="0"/>
          <w:szCs w:val="22"/>
        </w:rPr>
        <w:tab/>
      </w:r>
      <w:r>
        <w:rPr>
          <w:rStyle w:val="142"/>
          <w:rFonts w:ascii="Times New Roman" w:hAnsi="Times New Roman"/>
        </w:rPr>
        <w:t>评价工作等级</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_Toc10637133 \h </w:instrText>
      </w:r>
      <w:r>
        <w:rPr>
          <w:rFonts w:ascii="Times New Roman" w:hAnsi="Times New Roman"/>
        </w:rPr>
        <w:fldChar w:fldCharType="separate"/>
      </w:r>
      <w:r>
        <w:rPr>
          <w:rFonts w:ascii="Times New Roman" w:hAnsi="Times New Roman"/>
        </w:rPr>
        <w:t>- 22 -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"_Toc10637134" </w:instrText>
      </w:r>
      <w:r>
        <w:fldChar w:fldCharType="separate"/>
      </w:r>
      <w:r>
        <w:rPr>
          <w:rStyle w:val="142"/>
          <w:rFonts w:ascii="Times New Roman" w:hAnsi="Times New Roman"/>
        </w:rPr>
        <w:t>2.4</w:t>
      </w:r>
      <w:r>
        <w:rPr>
          <w:rFonts w:ascii="Times New Roman" w:hAnsi="Times New Roman" w:eastAsiaTheme="minorEastAsia"/>
          <w:smallCaps w:val="0"/>
          <w:szCs w:val="22"/>
        </w:rPr>
        <w:tab/>
      </w:r>
      <w:r>
        <w:rPr>
          <w:rStyle w:val="142"/>
          <w:rFonts w:ascii="Times New Roman" w:hAnsi="Times New Roman"/>
        </w:rPr>
        <w:t>评价范围及保护目标</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_Toc10637134 \h </w:instrText>
      </w:r>
      <w:r>
        <w:rPr>
          <w:rFonts w:ascii="Times New Roman" w:hAnsi="Times New Roman"/>
        </w:rPr>
        <w:fldChar w:fldCharType="separate"/>
      </w:r>
      <w:r>
        <w:rPr>
          <w:rFonts w:ascii="Times New Roman" w:hAnsi="Times New Roman"/>
        </w:rPr>
        <w:t>- 23 -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"_Toc10637135" </w:instrText>
      </w:r>
      <w:r>
        <w:fldChar w:fldCharType="separate"/>
      </w:r>
      <w:r>
        <w:rPr>
          <w:rStyle w:val="142"/>
          <w:rFonts w:ascii="Times New Roman" w:hAnsi="Times New Roman"/>
        </w:rPr>
        <w:t>2.5</w:t>
      </w:r>
      <w:r>
        <w:rPr>
          <w:rFonts w:ascii="Times New Roman" w:hAnsi="Times New Roman" w:eastAsiaTheme="minorEastAsia"/>
          <w:smallCaps w:val="0"/>
          <w:szCs w:val="22"/>
        </w:rPr>
        <w:tab/>
      </w:r>
      <w:r>
        <w:rPr>
          <w:rStyle w:val="142"/>
          <w:rFonts w:ascii="Times New Roman" w:hAnsi="Times New Roman"/>
        </w:rPr>
        <w:t>规划符合性分析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_Toc10637135 \h </w:instrText>
      </w:r>
      <w:r>
        <w:rPr>
          <w:rFonts w:ascii="Times New Roman" w:hAnsi="Times New Roman"/>
        </w:rPr>
        <w:fldChar w:fldCharType="separate"/>
      </w:r>
      <w:r>
        <w:rPr>
          <w:rFonts w:ascii="Times New Roman" w:hAnsi="Times New Roman"/>
        </w:rPr>
        <w:t>- 27 -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"_Toc10637136" </w:instrText>
      </w:r>
      <w:r>
        <w:fldChar w:fldCharType="separate"/>
      </w:r>
      <w:r>
        <w:rPr>
          <w:rStyle w:val="142"/>
          <w:rFonts w:ascii="Times New Roman" w:hAnsi="Times New Roman"/>
        </w:rPr>
        <w:t>2.6</w:t>
      </w:r>
      <w:r>
        <w:rPr>
          <w:rFonts w:ascii="Times New Roman" w:hAnsi="Times New Roman" w:eastAsiaTheme="minorEastAsia"/>
          <w:smallCaps w:val="0"/>
          <w:szCs w:val="22"/>
        </w:rPr>
        <w:tab/>
      </w:r>
      <w:r>
        <w:rPr>
          <w:rStyle w:val="142"/>
          <w:rFonts w:ascii="Times New Roman" w:hAnsi="Times New Roman"/>
        </w:rPr>
        <w:t>区域规划环评符合性分析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_Toc10637136 \h </w:instrText>
      </w:r>
      <w:r>
        <w:rPr>
          <w:rFonts w:ascii="Times New Roman" w:hAnsi="Times New Roman"/>
        </w:rPr>
        <w:fldChar w:fldCharType="separate"/>
      </w:r>
      <w:r>
        <w:rPr>
          <w:rFonts w:ascii="Times New Roman" w:hAnsi="Times New Roman"/>
        </w:rPr>
        <w:t>- 27 -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"_Toc10637137" </w:instrText>
      </w:r>
      <w:r>
        <w:fldChar w:fldCharType="separate"/>
      </w:r>
      <w:r>
        <w:rPr>
          <w:rStyle w:val="142"/>
          <w:rFonts w:ascii="Times New Roman" w:hAnsi="Times New Roman"/>
        </w:rPr>
        <w:t>2.7</w:t>
      </w:r>
      <w:r>
        <w:rPr>
          <w:rFonts w:ascii="Times New Roman" w:hAnsi="Times New Roman" w:eastAsiaTheme="minorEastAsia"/>
          <w:smallCaps w:val="0"/>
          <w:szCs w:val="22"/>
        </w:rPr>
        <w:tab/>
      </w:r>
      <w:r>
        <w:rPr>
          <w:rStyle w:val="142"/>
          <w:rFonts w:ascii="Times New Roman" w:hAnsi="Times New Roman"/>
        </w:rPr>
        <w:t>《太湖流域管理条例》符合性分析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_Toc10637137 \h </w:instrText>
      </w:r>
      <w:r>
        <w:rPr>
          <w:rFonts w:ascii="Times New Roman" w:hAnsi="Times New Roman"/>
        </w:rPr>
        <w:fldChar w:fldCharType="separate"/>
      </w:r>
      <w:r>
        <w:rPr>
          <w:rFonts w:ascii="Times New Roman" w:hAnsi="Times New Roman"/>
        </w:rPr>
        <w:t>- 28 -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"_Toc10637138" </w:instrText>
      </w:r>
      <w:r>
        <w:fldChar w:fldCharType="separate"/>
      </w:r>
      <w:r>
        <w:rPr>
          <w:rStyle w:val="142"/>
          <w:rFonts w:ascii="Times New Roman" w:hAnsi="Times New Roman"/>
        </w:rPr>
        <w:t>2.8</w:t>
      </w:r>
      <w:r>
        <w:rPr>
          <w:rFonts w:ascii="Times New Roman" w:hAnsi="Times New Roman" w:eastAsiaTheme="minorEastAsia"/>
          <w:smallCaps w:val="0"/>
          <w:szCs w:val="22"/>
        </w:rPr>
        <w:tab/>
      </w:r>
      <w:r>
        <w:rPr>
          <w:rStyle w:val="142"/>
          <w:rFonts w:ascii="Times New Roman" w:hAnsi="Times New Roman"/>
        </w:rPr>
        <w:t>《湖州市区环境功能区划》及符合性分析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_Toc10637138 \h </w:instrText>
      </w:r>
      <w:r>
        <w:rPr>
          <w:rFonts w:ascii="Times New Roman" w:hAnsi="Times New Roman"/>
        </w:rPr>
        <w:fldChar w:fldCharType="separate"/>
      </w:r>
      <w:r>
        <w:rPr>
          <w:rFonts w:ascii="Times New Roman" w:hAnsi="Times New Roman"/>
        </w:rPr>
        <w:t>- 28 -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"_Toc10637139" </w:instrText>
      </w:r>
      <w:r>
        <w:fldChar w:fldCharType="separate"/>
      </w:r>
      <w:r>
        <w:rPr>
          <w:rStyle w:val="142"/>
          <w:rFonts w:ascii="Times New Roman" w:hAnsi="Times New Roman"/>
        </w:rPr>
        <w:t>第3章</w:t>
      </w:r>
      <w:r>
        <w:rPr>
          <w:rFonts w:ascii="Times New Roman" w:hAnsi="Times New Roman" w:eastAsiaTheme="minorEastAsia"/>
          <w:b w:val="0"/>
          <w:bCs w:val="0"/>
          <w:caps w:val="0"/>
          <w:sz w:val="21"/>
          <w:szCs w:val="22"/>
        </w:rPr>
        <w:tab/>
      </w:r>
      <w:r>
        <w:rPr>
          <w:rStyle w:val="142"/>
          <w:rFonts w:ascii="Times New Roman" w:hAnsi="Times New Roman"/>
        </w:rPr>
        <w:t>现有企业概况及污染源调查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_Toc10637139 \h </w:instrText>
      </w:r>
      <w:r>
        <w:rPr>
          <w:rFonts w:ascii="Times New Roman" w:hAnsi="Times New Roman"/>
        </w:rPr>
        <w:fldChar w:fldCharType="separate"/>
      </w:r>
      <w:r>
        <w:rPr>
          <w:rFonts w:ascii="Times New Roman" w:hAnsi="Times New Roman"/>
        </w:rPr>
        <w:t>- 31 -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"_Toc10637140" </w:instrText>
      </w:r>
      <w:r>
        <w:fldChar w:fldCharType="separate"/>
      </w:r>
      <w:r>
        <w:rPr>
          <w:rStyle w:val="142"/>
          <w:rFonts w:ascii="Times New Roman" w:hAnsi="Times New Roman"/>
        </w:rPr>
        <w:t>3.1</w:t>
      </w:r>
      <w:r>
        <w:rPr>
          <w:rFonts w:ascii="Times New Roman" w:hAnsi="Times New Roman" w:eastAsiaTheme="minorEastAsia"/>
          <w:smallCaps w:val="0"/>
          <w:szCs w:val="22"/>
        </w:rPr>
        <w:tab/>
      </w:r>
      <w:r>
        <w:rPr>
          <w:rStyle w:val="142"/>
          <w:rFonts w:ascii="Times New Roman" w:hAnsi="Times New Roman"/>
        </w:rPr>
        <w:t>企业审批概况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_Toc10637140 \h </w:instrText>
      </w:r>
      <w:r>
        <w:rPr>
          <w:rFonts w:ascii="Times New Roman" w:hAnsi="Times New Roman"/>
        </w:rPr>
        <w:fldChar w:fldCharType="separate"/>
      </w:r>
      <w:r>
        <w:rPr>
          <w:rFonts w:ascii="Times New Roman" w:hAnsi="Times New Roman"/>
        </w:rPr>
        <w:t>- 31 -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"_Toc10637141" </w:instrText>
      </w:r>
      <w:r>
        <w:fldChar w:fldCharType="separate"/>
      </w:r>
      <w:r>
        <w:rPr>
          <w:rStyle w:val="142"/>
          <w:rFonts w:ascii="Times New Roman" w:hAnsi="Times New Roman"/>
        </w:rPr>
        <w:t>3.2</w:t>
      </w:r>
      <w:r>
        <w:rPr>
          <w:rFonts w:ascii="Times New Roman" w:hAnsi="Times New Roman" w:eastAsiaTheme="minorEastAsia"/>
          <w:smallCaps w:val="0"/>
          <w:szCs w:val="22"/>
        </w:rPr>
        <w:tab/>
      </w:r>
      <w:r>
        <w:rPr>
          <w:rStyle w:val="142"/>
          <w:rFonts w:ascii="Times New Roman" w:hAnsi="Times New Roman"/>
        </w:rPr>
        <w:t>企业现状实际情况调查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_Toc10637141 \h </w:instrText>
      </w:r>
      <w:r>
        <w:rPr>
          <w:rFonts w:ascii="Times New Roman" w:hAnsi="Times New Roman"/>
        </w:rPr>
        <w:fldChar w:fldCharType="separate"/>
      </w:r>
      <w:r>
        <w:rPr>
          <w:rFonts w:ascii="Times New Roman" w:hAnsi="Times New Roman"/>
        </w:rPr>
        <w:t>- 33 -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"_Toc10637142" </w:instrText>
      </w:r>
      <w:r>
        <w:fldChar w:fldCharType="separate"/>
      </w:r>
      <w:r>
        <w:rPr>
          <w:rStyle w:val="142"/>
          <w:rFonts w:ascii="Times New Roman" w:hAnsi="Times New Roman"/>
        </w:rPr>
        <w:t>3.3</w:t>
      </w:r>
      <w:r>
        <w:rPr>
          <w:rFonts w:ascii="Times New Roman" w:hAnsi="Times New Roman" w:eastAsiaTheme="minorEastAsia"/>
          <w:smallCaps w:val="0"/>
          <w:szCs w:val="22"/>
        </w:rPr>
        <w:tab/>
      </w:r>
      <w:r>
        <w:rPr>
          <w:rStyle w:val="142"/>
          <w:rFonts w:ascii="Times New Roman" w:hAnsi="Times New Roman"/>
        </w:rPr>
        <w:t>“以新带老”削减污染源强调查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_Toc10637142 \h </w:instrText>
      </w:r>
      <w:r>
        <w:rPr>
          <w:rFonts w:ascii="Times New Roman" w:hAnsi="Times New Roman"/>
        </w:rPr>
        <w:fldChar w:fldCharType="separate"/>
      </w:r>
      <w:r>
        <w:rPr>
          <w:rFonts w:ascii="Times New Roman" w:hAnsi="Times New Roman"/>
        </w:rPr>
        <w:t>- 83 -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"_Toc10637143" </w:instrText>
      </w:r>
      <w:r>
        <w:fldChar w:fldCharType="separate"/>
      </w:r>
      <w:r>
        <w:rPr>
          <w:rStyle w:val="142"/>
          <w:rFonts w:ascii="Times New Roman" w:hAnsi="Times New Roman"/>
        </w:rPr>
        <w:t>3.4</w:t>
      </w:r>
      <w:r>
        <w:rPr>
          <w:rFonts w:ascii="Times New Roman" w:hAnsi="Times New Roman" w:eastAsiaTheme="minorEastAsia"/>
          <w:smallCaps w:val="0"/>
          <w:szCs w:val="22"/>
        </w:rPr>
        <w:tab/>
      </w:r>
      <w:r>
        <w:rPr>
          <w:rStyle w:val="142"/>
          <w:rFonts w:ascii="Times New Roman" w:hAnsi="Times New Roman"/>
        </w:rPr>
        <w:t>现有企业存在的主要环境问题和整改措施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_Toc10637143 \h </w:instrText>
      </w:r>
      <w:r>
        <w:rPr>
          <w:rFonts w:ascii="Times New Roman" w:hAnsi="Times New Roman"/>
        </w:rPr>
        <w:fldChar w:fldCharType="separate"/>
      </w:r>
      <w:r>
        <w:rPr>
          <w:rFonts w:ascii="Times New Roman" w:hAnsi="Times New Roman"/>
        </w:rPr>
        <w:t>- 85 -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"_Toc10637144" </w:instrText>
      </w:r>
      <w:r>
        <w:fldChar w:fldCharType="separate"/>
      </w:r>
      <w:r>
        <w:rPr>
          <w:rStyle w:val="142"/>
          <w:rFonts w:ascii="Times New Roman" w:hAnsi="Times New Roman"/>
        </w:rPr>
        <w:t>第4章</w:t>
      </w:r>
      <w:r>
        <w:rPr>
          <w:rFonts w:ascii="Times New Roman" w:hAnsi="Times New Roman" w:eastAsiaTheme="minorEastAsia"/>
          <w:b w:val="0"/>
          <w:bCs w:val="0"/>
          <w:caps w:val="0"/>
          <w:sz w:val="21"/>
          <w:szCs w:val="22"/>
        </w:rPr>
        <w:tab/>
      </w:r>
      <w:r>
        <w:rPr>
          <w:rStyle w:val="142"/>
          <w:rFonts w:ascii="Times New Roman" w:hAnsi="Times New Roman"/>
        </w:rPr>
        <w:t>工程概况及工程分析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_Toc10637144 \h </w:instrText>
      </w:r>
      <w:r>
        <w:rPr>
          <w:rFonts w:ascii="Times New Roman" w:hAnsi="Times New Roman"/>
        </w:rPr>
        <w:fldChar w:fldCharType="separate"/>
      </w:r>
      <w:r>
        <w:rPr>
          <w:rFonts w:ascii="Times New Roman" w:hAnsi="Times New Roman"/>
        </w:rPr>
        <w:t>- 86 -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"_Toc10637145" </w:instrText>
      </w:r>
      <w:r>
        <w:fldChar w:fldCharType="separate"/>
      </w:r>
      <w:r>
        <w:rPr>
          <w:rStyle w:val="142"/>
          <w:rFonts w:ascii="Times New Roman" w:hAnsi="Times New Roman"/>
        </w:rPr>
        <w:t>4.1</w:t>
      </w:r>
      <w:r>
        <w:rPr>
          <w:rFonts w:ascii="Times New Roman" w:hAnsi="Times New Roman" w:eastAsiaTheme="minorEastAsia"/>
          <w:smallCaps w:val="0"/>
          <w:szCs w:val="22"/>
        </w:rPr>
        <w:tab/>
      </w:r>
      <w:r>
        <w:rPr>
          <w:rStyle w:val="142"/>
          <w:rFonts w:ascii="Times New Roman" w:hAnsi="Times New Roman"/>
        </w:rPr>
        <w:t>基本概况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_Toc10637145 \h </w:instrText>
      </w:r>
      <w:r>
        <w:rPr>
          <w:rFonts w:ascii="Times New Roman" w:hAnsi="Times New Roman"/>
        </w:rPr>
        <w:fldChar w:fldCharType="separate"/>
      </w:r>
      <w:r>
        <w:rPr>
          <w:rFonts w:ascii="Times New Roman" w:hAnsi="Times New Roman"/>
        </w:rPr>
        <w:t>- 86 -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"_Toc10637146" </w:instrText>
      </w:r>
      <w:r>
        <w:fldChar w:fldCharType="separate"/>
      </w:r>
      <w:r>
        <w:rPr>
          <w:rStyle w:val="142"/>
          <w:rFonts w:ascii="Times New Roman" w:hAnsi="Times New Roman"/>
        </w:rPr>
        <w:t>4.2</w:t>
      </w:r>
      <w:r>
        <w:rPr>
          <w:rFonts w:ascii="Times New Roman" w:hAnsi="Times New Roman" w:eastAsiaTheme="minorEastAsia"/>
          <w:smallCaps w:val="0"/>
          <w:szCs w:val="22"/>
        </w:rPr>
        <w:tab/>
      </w:r>
      <w:r>
        <w:rPr>
          <w:rStyle w:val="142"/>
          <w:rFonts w:ascii="Times New Roman" w:hAnsi="Times New Roman"/>
        </w:rPr>
        <w:t>项目组成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_Toc10637146 \h </w:instrText>
      </w:r>
      <w:r>
        <w:rPr>
          <w:rFonts w:ascii="Times New Roman" w:hAnsi="Times New Roman"/>
        </w:rPr>
        <w:fldChar w:fldCharType="separate"/>
      </w:r>
      <w:r>
        <w:rPr>
          <w:rFonts w:ascii="Times New Roman" w:hAnsi="Times New Roman"/>
        </w:rPr>
        <w:t>- 86 -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"_Toc10637147" </w:instrText>
      </w:r>
      <w:r>
        <w:fldChar w:fldCharType="separate"/>
      </w:r>
      <w:r>
        <w:rPr>
          <w:rStyle w:val="142"/>
          <w:rFonts w:ascii="Times New Roman" w:hAnsi="Times New Roman"/>
        </w:rPr>
        <w:t>4.3</w:t>
      </w:r>
      <w:r>
        <w:rPr>
          <w:rFonts w:ascii="Times New Roman" w:hAnsi="Times New Roman" w:eastAsiaTheme="minorEastAsia"/>
          <w:smallCaps w:val="0"/>
          <w:szCs w:val="22"/>
        </w:rPr>
        <w:tab/>
      </w:r>
      <w:r>
        <w:rPr>
          <w:rStyle w:val="142"/>
          <w:rFonts w:ascii="Times New Roman" w:hAnsi="Times New Roman"/>
        </w:rPr>
        <w:t>项目产品方案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_Toc10637147 \h </w:instrText>
      </w:r>
      <w:r>
        <w:rPr>
          <w:rFonts w:ascii="Times New Roman" w:hAnsi="Times New Roman"/>
        </w:rPr>
        <w:fldChar w:fldCharType="separate"/>
      </w:r>
      <w:r>
        <w:rPr>
          <w:rFonts w:ascii="Times New Roman" w:hAnsi="Times New Roman"/>
        </w:rPr>
        <w:t>- 89 -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"_Toc10637148" </w:instrText>
      </w:r>
      <w:r>
        <w:fldChar w:fldCharType="separate"/>
      </w:r>
      <w:r>
        <w:rPr>
          <w:rStyle w:val="142"/>
          <w:rFonts w:ascii="Times New Roman" w:hAnsi="Times New Roman"/>
        </w:rPr>
        <w:t>4.4</w:t>
      </w:r>
      <w:r>
        <w:rPr>
          <w:rFonts w:ascii="Times New Roman" w:hAnsi="Times New Roman" w:eastAsiaTheme="minorEastAsia"/>
          <w:smallCaps w:val="0"/>
          <w:szCs w:val="22"/>
        </w:rPr>
        <w:tab/>
      </w:r>
      <w:r>
        <w:rPr>
          <w:rStyle w:val="142"/>
          <w:rFonts w:ascii="Times New Roman" w:hAnsi="Times New Roman"/>
        </w:rPr>
        <w:t>主要原辅材料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_Toc10637148 \h </w:instrText>
      </w:r>
      <w:r>
        <w:rPr>
          <w:rFonts w:ascii="Times New Roman" w:hAnsi="Times New Roman"/>
        </w:rPr>
        <w:fldChar w:fldCharType="separate"/>
      </w:r>
      <w:r>
        <w:rPr>
          <w:rFonts w:ascii="Times New Roman" w:hAnsi="Times New Roman"/>
        </w:rPr>
        <w:t>- 90 -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"_Toc10637149" </w:instrText>
      </w:r>
      <w:r>
        <w:fldChar w:fldCharType="separate"/>
      </w:r>
      <w:r>
        <w:rPr>
          <w:rStyle w:val="142"/>
          <w:rFonts w:ascii="Times New Roman" w:hAnsi="Times New Roman"/>
        </w:rPr>
        <w:t>4.5</w:t>
      </w:r>
      <w:r>
        <w:rPr>
          <w:rFonts w:ascii="Times New Roman" w:hAnsi="Times New Roman" w:eastAsiaTheme="minorEastAsia"/>
          <w:smallCaps w:val="0"/>
          <w:szCs w:val="22"/>
        </w:rPr>
        <w:tab/>
      </w:r>
      <w:r>
        <w:rPr>
          <w:rStyle w:val="142"/>
          <w:rFonts w:ascii="Times New Roman" w:hAnsi="Times New Roman"/>
        </w:rPr>
        <w:t>设备情况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_Toc10637149 \h </w:instrText>
      </w:r>
      <w:r>
        <w:rPr>
          <w:rFonts w:ascii="Times New Roman" w:hAnsi="Times New Roman"/>
        </w:rPr>
        <w:fldChar w:fldCharType="separate"/>
      </w:r>
      <w:r>
        <w:rPr>
          <w:rFonts w:ascii="Times New Roman" w:hAnsi="Times New Roman"/>
        </w:rPr>
        <w:t>- 91 -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"_Toc10637150" </w:instrText>
      </w:r>
      <w:r>
        <w:fldChar w:fldCharType="separate"/>
      </w:r>
      <w:r>
        <w:rPr>
          <w:rStyle w:val="142"/>
          <w:rFonts w:ascii="Times New Roman" w:hAnsi="Times New Roman"/>
        </w:rPr>
        <w:t>4.6</w:t>
      </w:r>
      <w:r>
        <w:rPr>
          <w:rFonts w:ascii="Times New Roman" w:hAnsi="Times New Roman" w:eastAsiaTheme="minorEastAsia"/>
          <w:smallCaps w:val="0"/>
          <w:szCs w:val="22"/>
        </w:rPr>
        <w:tab/>
      </w:r>
      <w:r>
        <w:rPr>
          <w:rStyle w:val="142"/>
          <w:rFonts w:ascii="Times New Roman" w:hAnsi="Times New Roman"/>
        </w:rPr>
        <w:t>劳动定员及生产制度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_Toc10637150 \h </w:instrText>
      </w:r>
      <w:r>
        <w:rPr>
          <w:rFonts w:ascii="Times New Roman" w:hAnsi="Times New Roman"/>
        </w:rPr>
        <w:fldChar w:fldCharType="separate"/>
      </w:r>
      <w:r>
        <w:rPr>
          <w:rFonts w:ascii="Times New Roman" w:hAnsi="Times New Roman"/>
        </w:rPr>
        <w:t>- 92 -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"_Toc10637151" </w:instrText>
      </w:r>
      <w:r>
        <w:fldChar w:fldCharType="separate"/>
      </w:r>
      <w:r>
        <w:rPr>
          <w:rStyle w:val="142"/>
          <w:rFonts w:ascii="Times New Roman" w:hAnsi="Times New Roman"/>
        </w:rPr>
        <w:t>4.7</w:t>
      </w:r>
      <w:r>
        <w:rPr>
          <w:rFonts w:ascii="Times New Roman" w:hAnsi="Times New Roman" w:eastAsiaTheme="minorEastAsia"/>
          <w:smallCaps w:val="0"/>
          <w:szCs w:val="22"/>
        </w:rPr>
        <w:tab/>
      </w:r>
      <w:r>
        <w:rPr>
          <w:rStyle w:val="142"/>
          <w:rFonts w:ascii="Times New Roman" w:hAnsi="Times New Roman"/>
        </w:rPr>
        <w:t>公用工程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_Toc10637151 \h </w:instrText>
      </w:r>
      <w:r>
        <w:rPr>
          <w:rFonts w:ascii="Times New Roman" w:hAnsi="Times New Roman"/>
        </w:rPr>
        <w:fldChar w:fldCharType="separate"/>
      </w:r>
      <w:r>
        <w:rPr>
          <w:rFonts w:ascii="Times New Roman" w:hAnsi="Times New Roman"/>
        </w:rPr>
        <w:t>- 92 -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"_Toc10637152" </w:instrText>
      </w:r>
      <w:r>
        <w:fldChar w:fldCharType="separate"/>
      </w:r>
      <w:r>
        <w:rPr>
          <w:rStyle w:val="142"/>
          <w:rFonts w:ascii="Times New Roman" w:hAnsi="Times New Roman"/>
        </w:rPr>
        <w:t>4.8</w:t>
      </w:r>
      <w:r>
        <w:rPr>
          <w:rFonts w:ascii="Times New Roman" w:hAnsi="Times New Roman" w:eastAsiaTheme="minorEastAsia"/>
          <w:smallCaps w:val="0"/>
          <w:szCs w:val="22"/>
        </w:rPr>
        <w:tab/>
      </w:r>
      <w:r>
        <w:rPr>
          <w:rStyle w:val="142"/>
          <w:rFonts w:ascii="Times New Roman" w:hAnsi="Times New Roman"/>
        </w:rPr>
        <w:t>平面布置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_Toc10637152 \h </w:instrText>
      </w:r>
      <w:r>
        <w:rPr>
          <w:rFonts w:ascii="Times New Roman" w:hAnsi="Times New Roman"/>
        </w:rPr>
        <w:fldChar w:fldCharType="separate"/>
      </w:r>
      <w:r>
        <w:rPr>
          <w:rFonts w:ascii="Times New Roman" w:hAnsi="Times New Roman"/>
        </w:rPr>
        <w:t>- 93 -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"_Toc10637153" </w:instrText>
      </w:r>
      <w:r>
        <w:fldChar w:fldCharType="separate"/>
      </w:r>
      <w:r>
        <w:rPr>
          <w:rStyle w:val="142"/>
          <w:rFonts w:ascii="Times New Roman" w:hAnsi="Times New Roman"/>
        </w:rPr>
        <w:t>4.9</w:t>
      </w:r>
      <w:r>
        <w:rPr>
          <w:rFonts w:ascii="Times New Roman" w:hAnsi="Times New Roman" w:eastAsiaTheme="minorEastAsia"/>
          <w:smallCaps w:val="0"/>
          <w:szCs w:val="22"/>
        </w:rPr>
        <w:tab/>
      </w:r>
      <w:r>
        <w:rPr>
          <w:rStyle w:val="142"/>
          <w:rFonts w:ascii="Times New Roman" w:hAnsi="Times New Roman"/>
        </w:rPr>
        <w:t>生产工艺及说明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_Toc10637153 \h </w:instrText>
      </w:r>
      <w:r>
        <w:rPr>
          <w:rFonts w:ascii="Times New Roman" w:hAnsi="Times New Roman"/>
        </w:rPr>
        <w:fldChar w:fldCharType="separate"/>
      </w:r>
      <w:r>
        <w:rPr>
          <w:rFonts w:ascii="Times New Roman" w:hAnsi="Times New Roman"/>
        </w:rPr>
        <w:t>- 93 -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"_Toc10637154" </w:instrText>
      </w:r>
      <w:r>
        <w:fldChar w:fldCharType="separate"/>
      </w:r>
      <w:r>
        <w:rPr>
          <w:rStyle w:val="142"/>
          <w:rFonts w:ascii="Times New Roman" w:hAnsi="Times New Roman"/>
        </w:rPr>
        <w:t>4.10</w:t>
      </w:r>
      <w:r>
        <w:rPr>
          <w:rFonts w:ascii="Times New Roman" w:hAnsi="Times New Roman" w:eastAsiaTheme="minorEastAsia"/>
          <w:smallCaps w:val="0"/>
          <w:szCs w:val="22"/>
        </w:rPr>
        <w:tab/>
      </w:r>
      <w:r>
        <w:rPr>
          <w:rStyle w:val="142"/>
          <w:rFonts w:ascii="Times New Roman" w:hAnsi="Times New Roman"/>
        </w:rPr>
        <w:t>产污环节分析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_Toc10637154 \h </w:instrText>
      </w:r>
      <w:r>
        <w:rPr>
          <w:rFonts w:ascii="Times New Roman" w:hAnsi="Times New Roman"/>
        </w:rPr>
        <w:fldChar w:fldCharType="separate"/>
      </w:r>
      <w:r>
        <w:rPr>
          <w:rFonts w:ascii="Times New Roman" w:hAnsi="Times New Roman"/>
        </w:rPr>
        <w:t>- 101 -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"_Toc10637155" </w:instrText>
      </w:r>
      <w:r>
        <w:fldChar w:fldCharType="separate"/>
      </w:r>
      <w:r>
        <w:rPr>
          <w:rStyle w:val="142"/>
          <w:rFonts w:ascii="Times New Roman" w:hAnsi="Times New Roman"/>
        </w:rPr>
        <w:t>4.11</w:t>
      </w:r>
      <w:r>
        <w:rPr>
          <w:rFonts w:ascii="Times New Roman" w:hAnsi="Times New Roman" w:eastAsiaTheme="minorEastAsia"/>
          <w:smallCaps w:val="0"/>
          <w:szCs w:val="22"/>
        </w:rPr>
        <w:tab/>
      </w:r>
      <w:r>
        <w:rPr>
          <w:rStyle w:val="142"/>
          <w:rFonts w:ascii="Times New Roman" w:hAnsi="Times New Roman"/>
        </w:rPr>
        <w:t>污染源强分析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_Toc10637155 \h </w:instrText>
      </w:r>
      <w:r>
        <w:rPr>
          <w:rFonts w:ascii="Times New Roman" w:hAnsi="Times New Roman"/>
        </w:rPr>
        <w:fldChar w:fldCharType="separate"/>
      </w:r>
      <w:r>
        <w:rPr>
          <w:rFonts w:ascii="Times New Roman" w:hAnsi="Times New Roman"/>
        </w:rPr>
        <w:t>- 102 -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"_Toc10637156" </w:instrText>
      </w:r>
      <w:r>
        <w:fldChar w:fldCharType="separate"/>
      </w:r>
      <w:r>
        <w:rPr>
          <w:rStyle w:val="142"/>
          <w:rFonts w:ascii="Times New Roman" w:hAnsi="Times New Roman"/>
        </w:rPr>
        <w:t>4.12</w:t>
      </w:r>
      <w:r>
        <w:rPr>
          <w:rFonts w:ascii="Times New Roman" w:hAnsi="Times New Roman" w:eastAsiaTheme="minorEastAsia"/>
          <w:smallCaps w:val="0"/>
          <w:szCs w:val="22"/>
        </w:rPr>
        <w:tab/>
      </w:r>
      <w:r>
        <w:rPr>
          <w:rStyle w:val="142"/>
          <w:rFonts w:ascii="Times New Roman" w:hAnsi="Times New Roman"/>
        </w:rPr>
        <w:t>污染源强汇总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_Toc10637156 \h </w:instrText>
      </w:r>
      <w:r>
        <w:rPr>
          <w:rFonts w:ascii="Times New Roman" w:hAnsi="Times New Roman"/>
        </w:rPr>
        <w:fldChar w:fldCharType="separate"/>
      </w:r>
      <w:r>
        <w:rPr>
          <w:rFonts w:ascii="Times New Roman" w:hAnsi="Times New Roman"/>
        </w:rPr>
        <w:t>- 108 -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"_Toc10637157" </w:instrText>
      </w:r>
      <w:r>
        <w:fldChar w:fldCharType="separate"/>
      </w:r>
      <w:r>
        <w:rPr>
          <w:rStyle w:val="142"/>
          <w:rFonts w:ascii="Times New Roman" w:hAnsi="Times New Roman"/>
        </w:rPr>
        <w:t>4.13</w:t>
      </w:r>
      <w:r>
        <w:rPr>
          <w:rFonts w:ascii="Times New Roman" w:hAnsi="Times New Roman" w:eastAsiaTheme="minorEastAsia"/>
          <w:smallCaps w:val="0"/>
          <w:szCs w:val="22"/>
        </w:rPr>
        <w:tab/>
      </w:r>
      <w:r>
        <w:rPr>
          <w:rStyle w:val="142"/>
          <w:rFonts w:ascii="Times New Roman" w:hAnsi="Times New Roman"/>
        </w:rPr>
        <w:t>非正常排放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_Toc10637157 \h </w:instrText>
      </w:r>
      <w:r>
        <w:rPr>
          <w:rFonts w:ascii="Times New Roman" w:hAnsi="Times New Roman"/>
        </w:rPr>
        <w:fldChar w:fldCharType="separate"/>
      </w:r>
      <w:r>
        <w:rPr>
          <w:rFonts w:ascii="Times New Roman" w:hAnsi="Times New Roman"/>
        </w:rPr>
        <w:t>- 109 -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"_Toc10637158" </w:instrText>
      </w:r>
      <w:r>
        <w:fldChar w:fldCharType="separate"/>
      </w:r>
      <w:r>
        <w:rPr>
          <w:rStyle w:val="142"/>
          <w:rFonts w:ascii="Times New Roman" w:hAnsi="Times New Roman"/>
        </w:rPr>
        <w:t>4.14</w:t>
      </w:r>
      <w:r>
        <w:rPr>
          <w:rFonts w:ascii="Times New Roman" w:hAnsi="Times New Roman" w:eastAsiaTheme="minorEastAsia"/>
          <w:smallCaps w:val="0"/>
          <w:szCs w:val="22"/>
        </w:rPr>
        <w:tab/>
      </w:r>
      <w:r>
        <w:rPr>
          <w:rStyle w:val="142"/>
          <w:rFonts w:ascii="Times New Roman" w:hAnsi="Times New Roman"/>
        </w:rPr>
        <w:t>总量控制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_Toc10637158 \h </w:instrText>
      </w:r>
      <w:r>
        <w:rPr>
          <w:rFonts w:ascii="Times New Roman" w:hAnsi="Times New Roman"/>
        </w:rPr>
        <w:fldChar w:fldCharType="separate"/>
      </w:r>
      <w:r>
        <w:rPr>
          <w:rFonts w:ascii="Times New Roman" w:hAnsi="Times New Roman"/>
        </w:rPr>
        <w:t>- 109 -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"_Toc10637159" </w:instrText>
      </w:r>
      <w:r>
        <w:fldChar w:fldCharType="separate"/>
      </w:r>
      <w:r>
        <w:rPr>
          <w:rStyle w:val="142"/>
          <w:rFonts w:ascii="Times New Roman" w:hAnsi="Times New Roman"/>
        </w:rPr>
        <w:t>第5章</w:t>
      </w:r>
      <w:r>
        <w:rPr>
          <w:rFonts w:ascii="Times New Roman" w:hAnsi="Times New Roman" w:eastAsiaTheme="minorEastAsia"/>
          <w:b w:val="0"/>
          <w:bCs w:val="0"/>
          <w:caps w:val="0"/>
          <w:sz w:val="21"/>
          <w:szCs w:val="22"/>
        </w:rPr>
        <w:tab/>
      </w:r>
      <w:r>
        <w:rPr>
          <w:rStyle w:val="142"/>
          <w:rFonts w:ascii="Times New Roman" w:hAnsi="Times New Roman"/>
        </w:rPr>
        <w:t>环境现状调查与评价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_Toc10637159 \h </w:instrText>
      </w:r>
      <w:r>
        <w:rPr>
          <w:rFonts w:ascii="Times New Roman" w:hAnsi="Times New Roman"/>
        </w:rPr>
        <w:fldChar w:fldCharType="separate"/>
      </w:r>
      <w:r>
        <w:rPr>
          <w:rFonts w:ascii="Times New Roman" w:hAnsi="Times New Roman"/>
        </w:rPr>
        <w:t>- 111 -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"_Toc10637160" </w:instrText>
      </w:r>
      <w:r>
        <w:fldChar w:fldCharType="separate"/>
      </w:r>
      <w:r>
        <w:rPr>
          <w:rStyle w:val="142"/>
          <w:rFonts w:ascii="Times New Roman" w:hAnsi="Times New Roman"/>
        </w:rPr>
        <w:t>5.1</w:t>
      </w:r>
      <w:r>
        <w:rPr>
          <w:rFonts w:ascii="Times New Roman" w:hAnsi="Times New Roman" w:eastAsiaTheme="minorEastAsia"/>
          <w:smallCaps w:val="0"/>
          <w:szCs w:val="22"/>
        </w:rPr>
        <w:tab/>
      </w:r>
      <w:r>
        <w:rPr>
          <w:rStyle w:val="142"/>
          <w:rFonts w:ascii="Times New Roman" w:hAnsi="Times New Roman"/>
        </w:rPr>
        <w:t>项目地理位置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_Toc10637160 \h </w:instrText>
      </w:r>
      <w:r>
        <w:rPr>
          <w:rFonts w:ascii="Times New Roman" w:hAnsi="Times New Roman"/>
        </w:rPr>
        <w:fldChar w:fldCharType="separate"/>
      </w:r>
      <w:r>
        <w:rPr>
          <w:rFonts w:ascii="Times New Roman" w:hAnsi="Times New Roman"/>
        </w:rPr>
        <w:t>- 111 -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"_Toc10637161" </w:instrText>
      </w:r>
      <w:r>
        <w:fldChar w:fldCharType="separate"/>
      </w:r>
      <w:r>
        <w:rPr>
          <w:rStyle w:val="142"/>
          <w:rFonts w:ascii="Times New Roman" w:hAnsi="Times New Roman"/>
        </w:rPr>
        <w:t>5.2</w:t>
      </w:r>
      <w:r>
        <w:rPr>
          <w:rFonts w:ascii="Times New Roman" w:hAnsi="Times New Roman" w:eastAsiaTheme="minorEastAsia"/>
          <w:smallCaps w:val="0"/>
          <w:szCs w:val="22"/>
        </w:rPr>
        <w:tab/>
      </w:r>
      <w:r>
        <w:rPr>
          <w:rStyle w:val="142"/>
          <w:rFonts w:ascii="Times New Roman" w:hAnsi="Times New Roman"/>
        </w:rPr>
        <w:t>凤凰污水处理厂概况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_Toc10637161 \h </w:instrText>
      </w:r>
      <w:r>
        <w:rPr>
          <w:rFonts w:ascii="Times New Roman" w:hAnsi="Times New Roman"/>
        </w:rPr>
        <w:fldChar w:fldCharType="separate"/>
      </w:r>
      <w:r>
        <w:rPr>
          <w:rFonts w:ascii="Times New Roman" w:hAnsi="Times New Roman"/>
        </w:rPr>
        <w:t>- 111 -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"_Toc10637162" </w:instrText>
      </w:r>
      <w:r>
        <w:fldChar w:fldCharType="separate"/>
      </w:r>
      <w:r>
        <w:rPr>
          <w:rStyle w:val="142"/>
          <w:rFonts w:ascii="Times New Roman" w:hAnsi="Times New Roman"/>
        </w:rPr>
        <w:t>5.3</w:t>
      </w:r>
      <w:r>
        <w:rPr>
          <w:rFonts w:ascii="Times New Roman" w:hAnsi="Times New Roman" w:eastAsiaTheme="minorEastAsia"/>
          <w:smallCaps w:val="0"/>
          <w:szCs w:val="22"/>
        </w:rPr>
        <w:tab/>
      </w:r>
      <w:r>
        <w:rPr>
          <w:rStyle w:val="142"/>
          <w:rFonts w:ascii="Times New Roman" w:hAnsi="Times New Roman"/>
        </w:rPr>
        <w:t>周围污染源调查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_Toc10637162 \h </w:instrText>
      </w:r>
      <w:r>
        <w:rPr>
          <w:rFonts w:ascii="Times New Roman" w:hAnsi="Times New Roman"/>
        </w:rPr>
        <w:fldChar w:fldCharType="separate"/>
      </w:r>
      <w:r>
        <w:rPr>
          <w:rFonts w:ascii="Times New Roman" w:hAnsi="Times New Roman"/>
        </w:rPr>
        <w:t>- 112 -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"_Toc10637163" </w:instrText>
      </w:r>
      <w:r>
        <w:fldChar w:fldCharType="separate"/>
      </w:r>
      <w:r>
        <w:rPr>
          <w:rStyle w:val="142"/>
          <w:rFonts w:ascii="Times New Roman" w:hAnsi="Times New Roman"/>
        </w:rPr>
        <w:t>5.4</w:t>
      </w:r>
      <w:r>
        <w:rPr>
          <w:rFonts w:ascii="Times New Roman" w:hAnsi="Times New Roman" w:eastAsiaTheme="minorEastAsia"/>
          <w:smallCaps w:val="0"/>
          <w:szCs w:val="22"/>
        </w:rPr>
        <w:tab/>
      </w:r>
      <w:r>
        <w:rPr>
          <w:rStyle w:val="142"/>
          <w:rFonts w:ascii="Times New Roman" w:hAnsi="Times New Roman"/>
        </w:rPr>
        <w:t>环境质量现状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_Toc10637163 \h </w:instrText>
      </w:r>
      <w:r>
        <w:rPr>
          <w:rFonts w:ascii="Times New Roman" w:hAnsi="Times New Roman"/>
        </w:rPr>
        <w:fldChar w:fldCharType="separate"/>
      </w:r>
      <w:r>
        <w:rPr>
          <w:rFonts w:ascii="Times New Roman" w:hAnsi="Times New Roman"/>
        </w:rPr>
        <w:t>- 114 -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"_Toc10637164" </w:instrText>
      </w:r>
      <w:r>
        <w:fldChar w:fldCharType="separate"/>
      </w:r>
      <w:r>
        <w:rPr>
          <w:rStyle w:val="142"/>
          <w:rFonts w:ascii="Times New Roman" w:hAnsi="Times New Roman"/>
        </w:rPr>
        <w:t>第6章</w:t>
      </w:r>
      <w:r>
        <w:rPr>
          <w:rFonts w:ascii="Times New Roman" w:hAnsi="Times New Roman" w:eastAsiaTheme="minorEastAsia"/>
          <w:b w:val="0"/>
          <w:bCs w:val="0"/>
          <w:caps w:val="0"/>
          <w:sz w:val="21"/>
          <w:szCs w:val="22"/>
        </w:rPr>
        <w:tab/>
      </w:r>
      <w:r>
        <w:rPr>
          <w:rStyle w:val="142"/>
          <w:rFonts w:ascii="Times New Roman" w:hAnsi="Times New Roman"/>
        </w:rPr>
        <w:t>环境影响预测与评价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_Toc10637164 \h </w:instrText>
      </w:r>
      <w:r>
        <w:rPr>
          <w:rFonts w:ascii="Times New Roman" w:hAnsi="Times New Roman"/>
        </w:rPr>
        <w:fldChar w:fldCharType="separate"/>
      </w:r>
      <w:r>
        <w:rPr>
          <w:rFonts w:ascii="Times New Roman" w:hAnsi="Times New Roman"/>
        </w:rPr>
        <w:t>- 118 -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"_Toc10637165" </w:instrText>
      </w:r>
      <w:r>
        <w:fldChar w:fldCharType="separate"/>
      </w:r>
      <w:r>
        <w:rPr>
          <w:rStyle w:val="142"/>
          <w:rFonts w:ascii="Times New Roman" w:hAnsi="Times New Roman"/>
        </w:rPr>
        <w:t>6.1</w:t>
      </w:r>
      <w:r>
        <w:rPr>
          <w:rFonts w:ascii="Times New Roman" w:hAnsi="Times New Roman" w:eastAsiaTheme="minorEastAsia"/>
          <w:smallCaps w:val="0"/>
          <w:szCs w:val="22"/>
        </w:rPr>
        <w:tab/>
      </w:r>
      <w:r>
        <w:rPr>
          <w:rStyle w:val="142"/>
          <w:rFonts w:ascii="Times New Roman" w:hAnsi="Times New Roman"/>
        </w:rPr>
        <w:t>施工期环境影响分析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_Toc10637165 \h </w:instrText>
      </w:r>
      <w:r>
        <w:rPr>
          <w:rFonts w:ascii="Times New Roman" w:hAnsi="Times New Roman"/>
        </w:rPr>
        <w:fldChar w:fldCharType="separate"/>
      </w:r>
      <w:r>
        <w:rPr>
          <w:rFonts w:ascii="Times New Roman" w:hAnsi="Times New Roman"/>
        </w:rPr>
        <w:t>- 118 -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"_Toc10637166" </w:instrText>
      </w:r>
      <w:r>
        <w:fldChar w:fldCharType="separate"/>
      </w:r>
      <w:r>
        <w:rPr>
          <w:rStyle w:val="142"/>
          <w:rFonts w:ascii="Times New Roman" w:hAnsi="Times New Roman"/>
        </w:rPr>
        <w:t>6.2</w:t>
      </w:r>
      <w:r>
        <w:rPr>
          <w:rFonts w:ascii="Times New Roman" w:hAnsi="Times New Roman" w:eastAsiaTheme="minorEastAsia"/>
          <w:smallCaps w:val="0"/>
          <w:szCs w:val="22"/>
        </w:rPr>
        <w:tab/>
      </w:r>
      <w:r>
        <w:rPr>
          <w:rStyle w:val="142"/>
          <w:rFonts w:ascii="Times New Roman" w:hAnsi="Times New Roman"/>
        </w:rPr>
        <w:t>营运期空气环境影响预测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_Toc10637166 \h </w:instrText>
      </w:r>
      <w:r>
        <w:rPr>
          <w:rFonts w:ascii="Times New Roman" w:hAnsi="Times New Roman"/>
        </w:rPr>
        <w:fldChar w:fldCharType="separate"/>
      </w:r>
      <w:r>
        <w:rPr>
          <w:rFonts w:ascii="Times New Roman" w:hAnsi="Times New Roman"/>
        </w:rPr>
        <w:t>- 118 -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"_Toc10637167" </w:instrText>
      </w:r>
      <w:r>
        <w:fldChar w:fldCharType="separate"/>
      </w:r>
      <w:r>
        <w:rPr>
          <w:rStyle w:val="142"/>
          <w:rFonts w:ascii="Times New Roman" w:hAnsi="Times New Roman"/>
        </w:rPr>
        <w:t>6.3</w:t>
      </w:r>
      <w:r>
        <w:rPr>
          <w:rFonts w:ascii="Times New Roman" w:hAnsi="Times New Roman" w:eastAsiaTheme="minorEastAsia"/>
          <w:smallCaps w:val="0"/>
          <w:szCs w:val="22"/>
        </w:rPr>
        <w:tab/>
      </w:r>
      <w:r>
        <w:rPr>
          <w:rStyle w:val="142"/>
          <w:rFonts w:ascii="Times New Roman" w:hAnsi="Times New Roman"/>
        </w:rPr>
        <w:t>营运期地面水环境影响分析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_Toc10637167 \h </w:instrText>
      </w:r>
      <w:r>
        <w:rPr>
          <w:rFonts w:ascii="Times New Roman" w:hAnsi="Times New Roman"/>
        </w:rPr>
        <w:fldChar w:fldCharType="separate"/>
      </w:r>
      <w:r>
        <w:rPr>
          <w:rFonts w:ascii="Times New Roman" w:hAnsi="Times New Roman"/>
        </w:rPr>
        <w:t>- 118 -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"_Toc10637168" </w:instrText>
      </w:r>
      <w:r>
        <w:fldChar w:fldCharType="separate"/>
      </w:r>
      <w:r>
        <w:rPr>
          <w:rStyle w:val="142"/>
          <w:rFonts w:ascii="Times New Roman" w:hAnsi="Times New Roman"/>
        </w:rPr>
        <w:t>6.4</w:t>
      </w:r>
      <w:r>
        <w:rPr>
          <w:rFonts w:ascii="Times New Roman" w:hAnsi="Times New Roman" w:eastAsiaTheme="minorEastAsia"/>
          <w:smallCaps w:val="0"/>
          <w:szCs w:val="22"/>
        </w:rPr>
        <w:tab/>
      </w:r>
      <w:r>
        <w:rPr>
          <w:rStyle w:val="142"/>
          <w:rFonts w:ascii="Times New Roman" w:hAnsi="Times New Roman"/>
        </w:rPr>
        <w:t>营运期地下水环境影响分析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_Toc10637168 \h </w:instrText>
      </w:r>
      <w:r>
        <w:rPr>
          <w:rFonts w:ascii="Times New Roman" w:hAnsi="Times New Roman"/>
        </w:rPr>
        <w:fldChar w:fldCharType="separate"/>
      </w:r>
      <w:r>
        <w:rPr>
          <w:rFonts w:ascii="Times New Roman" w:hAnsi="Times New Roman"/>
        </w:rPr>
        <w:t>- 119 -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"_Toc10637169" </w:instrText>
      </w:r>
      <w:r>
        <w:fldChar w:fldCharType="separate"/>
      </w:r>
      <w:r>
        <w:rPr>
          <w:rStyle w:val="142"/>
          <w:rFonts w:ascii="Times New Roman" w:hAnsi="Times New Roman"/>
        </w:rPr>
        <w:t>6.5</w:t>
      </w:r>
      <w:r>
        <w:rPr>
          <w:rFonts w:ascii="Times New Roman" w:hAnsi="Times New Roman" w:eastAsiaTheme="minorEastAsia"/>
          <w:smallCaps w:val="0"/>
          <w:szCs w:val="22"/>
        </w:rPr>
        <w:tab/>
      </w:r>
      <w:r>
        <w:rPr>
          <w:rStyle w:val="142"/>
          <w:rFonts w:ascii="Times New Roman" w:hAnsi="Times New Roman"/>
        </w:rPr>
        <w:t>营运期声环境影响预测分析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_Toc10637169 \h </w:instrText>
      </w:r>
      <w:r>
        <w:rPr>
          <w:rFonts w:ascii="Times New Roman" w:hAnsi="Times New Roman"/>
        </w:rPr>
        <w:fldChar w:fldCharType="separate"/>
      </w:r>
      <w:r>
        <w:rPr>
          <w:rFonts w:ascii="Times New Roman" w:hAnsi="Times New Roman"/>
        </w:rPr>
        <w:t>- 119 -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"_Toc10637170" </w:instrText>
      </w:r>
      <w:r>
        <w:fldChar w:fldCharType="separate"/>
      </w:r>
      <w:r>
        <w:rPr>
          <w:rStyle w:val="142"/>
          <w:rFonts w:ascii="Times New Roman" w:hAnsi="Times New Roman"/>
        </w:rPr>
        <w:t>6.6</w:t>
      </w:r>
      <w:r>
        <w:rPr>
          <w:rFonts w:ascii="Times New Roman" w:hAnsi="Times New Roman" w:eastAsiaTheme="minorEastAsia"/>
          <w:smallCaps w:val="0"/>
          <w:szCs w:val="22"/>
        </w:rPr>
        <w:tab/>
      </w:r>
      <w:r>
        <w:rPr>
          <w:rStyle w:val="142"/>
          <w:rFonts w:ascii="Times New Roman" w:hAnsi="Times New Roman"/>
        </w:rPr>
        <w:t>营运期固体废物环境影响分析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_Toc10637170 \h </w:instrText>
      </w:r>
      <w:r>
        <w:rPr>
          <w:rFonts w:ascii="Times New Roman" w:hAnsi="Times New Roman"/>
        </w:rPr>
        <w:fldChar w:fldCharType="separate"/>
      </w:r>
      <w:r>
        <w:rPr>
          <w:rFonts w:ascii="Times New Roman" w:hAnsi="Times New Roman"/>
        </w:rPr>
        <w:t>- 119 -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"_Toc10637171" </w:instrText>
      </w:r>
      <w:r>
        <w:fldChar w:fldCharType="separate"/>
      </w:r>
      <w:r>
        <w:rPr>
          <w:rStyle w:val="142"/>
          <w:rFonts w:ascii="Times New Roman" w:hAnsi="Times New Roman"/>
        </w:rPr>
        <w:t>6.7</w:t>
      </w:r>
      <w:r>
        <w:rPr>
          <w:rFonts w:ascii="Times New Roman" w:hAnsi="Times New Roman" w:eastAsiaTheme="minorEastAsia"/>
          <w:smallCaps w:val="0"/>
          <w:szCs w:val="22"/>
        </w:rPr>
        <w:tab/>
      </w:r>
      <w:r>
        <w:rPr>
          <w:rStyle w:val="142"/>
          <w:rFonts w:ascii="Times New Roman" w:hAnsi="Times New Roman"/>
        </w:rPr>
        <w:t>土壤环境影响分析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_Toc10637171 \h </w:instrText>
      </w:r>
      <w:r>
        <w:rPr>
          <w:rFonts w:ascii="Times New Roman" w:hAnsi="Times New Roman"/>
        </w:rPr>
        <w:fldChar w:fldCharType="separate"/>
      </w:r>
      <w:r>
        <w:rPr>
          <w:rFonts w:ascii="Times New Roman" w:hAnsi="Times New Roman"/>
        </w:rPr>
        <w:t>- 120 -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"_Toc10637172" </w:instrText>
      </w:r>
      <w:r>
        <w:fldChar w:fldCharType="separate"/>
      </w:r>
      <w:r>
        <w:rPr>
          <w:rStyle w:val="142"/>
          <w:rFonts w:ascii="Times New Roman" w:hAnsi="Times New Roman"/>
        </w:rPr>
        <w:t>6.8</w:t>
      </w:r>
      <w:r>
        <w:rPr>
          <w:rFonts w:ascii="Times New Roman" w:hAnsi="Times New Roman" w:eastAsiaTheme="minorEastAsia"/>
          <w:smallCaps w:val="0"/>
          <w:szCs w:val="22"/>
        </w:rPr>
        <w:tab/>
      </w:r>
      <w:r>
        <w:rPr>
          <w:rStyle w:val="142"/>
          <w:rFonts w:ascii="Times New Roman" w:hAnsi="Times New Roman"/>
        </w:rPr>
        <w:t>环境风险分析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_Toc10637172 \h </w:instrText>
      </w:r>
      <w:r>
        <w:rPr>
          <w:rFonts w:ascii="Times New Roman" w:hAnsi="Times New Roman"/>
        </w:rPr>
        <w:fldChar w:fldCharType="separate"/>
      </w:r>
      <w:r>
        <w:rPr>
          <w:rFonts w:ascii="Times New Roman" w:hAnsi="Times New Roman"/>
        </w:rPr>
        <w:t>- 121 -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"_Toc10637173" </w:instrText>
      </w:r>
      <w:r>
        <w:fldChar w:fldCharType="separate"/>
      </w:r>
      <w:r>
        <w:rPr>
          <w:rStyle w:val="142"/>
          <w:rFonts w:ascii="Times New Roman" w:hAnsi="Times New Roman"/>
        </w:rPr>
        <w:t>6.9</w:t>
      </w:r>
      <w:r>
        <w:rPr>
          <w:rFonts w:ascii="Times New Roman" w:hAnsi="Times New Roman" w:eastAsiaTheme="minorEastAsia"/>
          <w:smallCaps w:val="0"/>
          <w:szCs w:val="22"/>
        </w:rPr>
        <w:tab/>
      </w:r>
      <w:r>
        <w:rPr>
          <w:rStyle w:val="142"/>
          <w:rFonts w:ascii="Times New Roman" w:hAnsi="Times New Roman"/>
        </w:rPr>
        <w:t>生态环境影响分析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_Toc10637173 \h </w:instrText>
      </w:r>
      <w:r>
        <w:rPr>
          <w:rFonts w:ascii="Times New Roman" w:hAnsi="Times New Roman"/>
        </w:rPr>
        <w:fldChar w:fldCharType="separate"/>
      </w:r>
      <w:r>
        <w:rPr>
          <w:rFonts w:ascii="Times New Roman" w:hAnsi="Times New Roman"/>
        </w:rPr>
        <w:t>- 121 -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"_Toc10637174" </w:instrText>
      </w:r>
      <w:r>
        <w:fldChar w:fldCharType="separate"/>
      </w:r>
      <w:r>
        <w:rPr>
          <w:rStyle w:val="142"/>
          <w:rFonts w:ascii="Times New Roman" w:hAnsi="Times New Roman"/>
        </w:rPr>
        <w:t>第7章</w:t>
      </w:r>
      <w:r>
        <w:rPr>
          <w:rFonts w:ascii="Times New Roman" w:hAnsi="Times New Roman" w:eastAsiaTheme="minorEastAsia"/>
          <w:b w:val="0"/>
          <w:bCs w:val="0"/>
          <w:caps w:val="0"/>
          <w:sz w:val="21"/>
          <w:szCs w:val="22"/>
        </w:rPr>
        <w:tab/>
      </w:r>
      <w:r>
        <w:rPr>
          <w:rStyle w:val="142"/>
          <w:rFonts w:ascii="Times New Roman" w:hAnsi="Times New Roman"/>
        </w:rPr>
        <w:t>环境保护措施及其可行性论证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_Toc10637174 \h </w:instrText>
      </w:r>
      <w:r>
        <w:rPr>
          <w:rFonts w:ascii="Times New Roman" w:hAnsi="Times New Roman"/>
        </w:rPr>
        <w:fldChar w:fldCharType="separate"/>
      </w:r>
      <w:r>
        <w:rPr>
          <w:rFonts w:ascii="Times New Roman" w:hAnsi="Times New Roman"/>
        </w:rPr>
        <w:t>- 123 -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"_Toc10637175" </w:instrText>
      </w:r>
      <w:r>
        <w:fldChar w:fldCharType="separate"/>
      </w:r>
      <w:r>
        <w:rPr>
          <w:rStyle w:val="142"/>
          <w:rFonts w:ascii="Times New Roman" w:hAnsi="Times New Roman"/>
        </w:rPr>
        <w:t>7.1</w:t>
      </w:r>
      <w:r>
        <w:rPr>
          <w:rFonts w:ascii="Times New Roman" w:hAnsi="Times New Roman" w:eastAsiaTheme="minorEastAsia"/>
          <w:smallCaps w:val="0"/>
          <w:szCs w:val="22"/>
        </w:rPr>
        <w:tab/>
      </w:r>
      <w:r>
        <w:rPr>
          <w:rStyle w:val="142"/>
          <w:rFonts w:ascii="Times New Roman" w:hAnsi="Times New Roman"/>
        </w:rPr>
        <w:t>施工期污染防治措施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_Toc10637175 \h </w:instrText>
      </w:r>
      <w:r>
        <w:rPr>
          <w:rFonts w:ascii="Times New Roman" w:hAnsi="Times New Roman"/>
        </w:rPr>
        <w:fldChar w:fldCharType="separate"/>
      </w:r>
      <w:r>
        <w:rPr>
          <w:rFonts w:ascii="Times New Roman" w:hAnsi="Times New Roman"/>
        </w:rPr>
        <w:t>- 123 -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"_Toc10637176" </w:instrText>
      </w:r>
      <w:r>
        <w:fldChar w:fldCharType="separate"/>
      </w:r>
      <w:r>
        <w:rPr>
          <w:rStyle w:val="142"/>
          <w:rFonts w:ascii="Times New Roman" w:hAnsi="Times New Roman"/>
        </w:rPr>
        <w:t>7.2</w:t>
      </w:r>
      <w:r>
        <w:rPr>
          <w:rFonts w:ascii="Times New Roman" w:hAnsi="Times New Roman" w:eastAsiaTheme="minorEastAsia"/>
          <w:smallCaps w:val="0"/>
          <w:szCs w:val="22"/>
        </w:rPr>
        <w:tab/>
      </w:r>
      <w:r>
        <w:rPr>
          <w:rStyle w:val="142"/>
          <w:rFonts w:ascii="Times New Roman" w:hAnsi="Times New Roman"/>
        </w:rPr>
        <w:t>营运期污染防治措施</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_Toc10637176 \h </w:instrText>
      </w:r>
      <w:r>
        <w:rPr>
          <w:rFonts w:ascii="Times New Roman" w:hAnsi="Times New Roman"/>
        </w:rPr>
        <w:fldChar w:fldCharType="separate"/>
      </w:r>
      <w:r>
        <w:rPr>
          <w:rFonts w:ascii="Times New Roman" w:hAnsi="Times New Roman"/>
        </w:rPr>
        <w:t>- 124 -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"_Toc10637177" </w:instrText>
      </w:r>
      <w:r>
        <w:fldChar w:fldCharType="separate"/>
      </w:r>
      <w:r>
        <w:rPr>
          <w:rStyle w:val="142"/>
          <w:rFonts w:ascii="Times New Roman" w:hAnsi="Times New Roman"/>
        </w:rPr>
        <w:t>第8章</w:t>
      </w:r>
      <w:r>
        <w:rPr>
          <w:rFonts w:ascii="Times New Roman" w:hAnsi="Times New Roman" w:eastAsiaTheme="minorEastAsia"/>
          <w:b w:val="0"/>
          <w:bCs w:val="0"/>
          <w:caps w:val="0"/>
          <w:sz w:val="21"/>
          <w:szCs w:val="22"/>
        </w:rPr>
        <w:tab/>
      </w:r>
      <w:r>
        <w:rPr>
          <w:rStyle w:val="142"/>
          <w:rFonts w:ascii="Times New Roman" w:hAnsi="Times New Roman"/>
        </w:rPr>
        <w:t>环境影响经济损益分析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_Toc10637177 \h </w:instrText>
      </w:r>
      <w:r>
        <w:rPr>
          <w:rFonts w:ascii="Times New Roman" w:hAnsi="Times New Roman"/>
        </w:rPr>
        <w:fldChar w:fldCharType="separate"/>
      </w:r>
      <w:r>
        <w:rPr>
          <w:rFonts w:ascii="Times New Roman" w:hAnsi="Times New Roman"/>
        </w:rPr>
        <w:t>- 127 -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"_Toc10637178" </w:instrText>
      </w:r>
      <w:r>
        <w:fldChar w:fldCharType="separate"/>
      </w:r>
      <w:r>
        <w:rPr>
          <w:rStyle w:val="142"/>
          <w:rFonts w:ascii="Times New Roman" w:hAnsi="Times New Roman"/>
        </w:rPr>
        <w:t>8.1</w:t>
      </w:r>
      <w:r>
        <w:rPr>
          <w:rFonts w:ascii="Times New Roman" w:hAnsi="Times New Roman" w:eastAsiaTheme="minorEastAsia"/>
          <w:smallCaps w:val="0"/>
          <w:szCs w:val="22"/>
        </w:rPr>
        <w:tab/>
      </w:r>
      <w:r>
        <w:rPr>
          <w:rStyle w:val="142"/>
          <w:rFonts w:ascii="Times New Roman" w:hAnsi="Times New Roman"/>
        </w:rPr>
        <w:t>环保投入估算</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_Toc10637178 \h </w:instrText>
      </w:r>
      <w:r>
        <w:rPr>
          <w:rFonts w:ascii="Times New Roman" w:hAnsi="Times New Roman"/>
        </w:rPr>
        <w:fldChar w:fldCharType="separate"/>
      </w:r>
      <w:r>
        <w:rPr>
          <w:rFonts w:ascii="Times New Roman" w:hAnsi="Times New Roman"/>
        </w:rPr>
        <w:t>- 127 -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"_Toc10637179" </w:instrText>
      </w:r>
      <w:r>
        <w:fldChar w:fldCharType="separate"/>
      </w:r>
      <w:r>
        <w:rPr>
          <w:rStyle w:val="142"/>
          <w:rFonts w:ascii="Times New Roman" w:hAnsi="Times New Roman"/>
        </w:rPr>
        <w:t>8.2</w:t>
      </w:r>
      <w:r>
        <w:rPr>
          <w:rFonts w:ascii="Times New Roman" w:hAnsi="Times New Roman" w:eastAsiaTheme="minorEastAsia"/>
          <w:smallCaps w:val="0"/>
          <w:szCs w:val="22"/>
        </w:rPr>
        <w:tab/>
      </w:r>
      <w:r>
        <w:rPr>
          <w:rStyle w:val="142"/>
          <w:rFonts w:ascii="Times New Roman" w:hAnsi="Times New Roman"/>
        </w:rPr>
        <w:t>环境影响经济损益分析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_Toc10637179 \h </w:instrText>
      </w:r>
      <w:r>
        <w:rPr>
          <w:rFonts w:ascii="Times New Roman" w:hAnsi="Times New Roman"/>
        </w:rPr>
        <w:fldChar w:fldCharType="separate"/>
      </w:r>
      <w:r>
        <w:rPr>
          <w:rFonts w:ascii="Times New Roman" w:hAnsi="Times New Roman"/>
        </w:rPr>
        <w:t>- 128 -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"_Toc10637180" </w:instrText>
      </w:r>
      <w:r>
        <w:fldChar w:fldCharType="separate"/>
      </w:r>
      <w:r>
        <w:rPr>
          <w:rStyle w:val="142"/>
          <w:rFonts w:ascii="Times New Roman" w:hAnsi="Times New Roman"/>
        </w:rPr>
        <w:t>第9章</w:t>
      </w:r>
      <w:r>
        <w:rPr>
          <w:rFonts w:ascii="Times New Roman" w:hAnsi="Times New Roman" w:eastAsiaTheme="minorEastAsia"/>
          <w:b w:val="0"/>
          <w:bCs w:val="0"/>
          <w:caps w:val="0"/>
          <w:sz w:val="21"/>
          <w:szCs w:val="22"/>
        </w:rPr>
        <w:tab/>
      </w:r>
      <w:r>
        <w:rPr>
          <w:rStyle w:val="142"/>
          <w:rFonts w:ascii="Times New Roman" w:hAnsi="Times New Roman"/>
        </w:rPr>
        <w:t>环境管理与监测计划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_Toc10637180 \h </w:instrText>
      </w:r>
      <w:r>
        <w:rPr>
          <w:rFonts w:ascii="Times New Roman" w:hAnsi="Times New Roman"/>
        </w:rPr>
        <w:fldChar w:fldCharType="separate"/>
      </w:r>
      <w:r>
        <w:rPr>
          <w:rFonts w:ascii="Times New Roman" w:hAnsi="Times New Roman"/>
        </w:rPr>
        <w:t>- 129 -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"_Toc10637181" </w:instrText>
      </w:r>
      <w:r>
        <w:fldChar w:fldCharType="separate"/>
      </w:r>
      <w:r>
        <w:rPr>
          <w:rStyle w:val="142"/>
          <w:rFonts w:ascii="Times New Roman" w:hAnsi="Times New Roman"/>
        </w:rPr>
        <w:t>9.1</w:t>
      </w:r>
      <w:r>
        <w:rPr>
          <w:rFonts w:ascii="Times New Roman" w:hAnsi="Times New Roman" w:eastAsiaTheme="minorEastAsia"/>
          <w:smallCaps w:val="0"/>
          <w:szCs w:val="22"/>
        </w:rPr>
        <w:tab/>
      </w:r>
      <w:r>
        <w:rPr>
          <w:rStyle w:val="142"/>
          <w:rFonts w:ascii="Times New Roman" w:hAnsi="Times New Roman"/>
        </w:rPr>
        <w:t>环境管理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_Toc10637181 \h </w:instrText>
      </w:r>
      <w:r>
        <w:rPr>
          <w:rFonts w:ascii="Times New Roman" w:hAnsi="Times New Roman"/>
        </w:rPr>
        <w:fldChar w:fldCharType="separate"/>
      </w:r>
      <w:r>
        <w:rPr>
          <w:rFonts w:ascii="Times New Roman" w:hAnsi="Times New Roman"/>
        </w:rPr>
        <w:t>- 129 -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"_Toc10637182" </w:instrText>
      </w:r>
      <w:r>
        <w:fldChar w:fldCharType="separate"/>
      </w:r>
      <w:r>
        <w:rPr>
          <w:rStyle w:val="142"/>
          <w:rFonts w:ascii="Times New Roman" w:hAnsi="Times New Roman"/>
        </w:rPr>
        <w:t>9.2</w:t>
      </w:r>
      <w:r>
        <w:rPr>
          <w:rFonts w:ascii="Times New Roman" w:hAnsi="Times New Roman" w:eastAsiaTheme="minorEastAsia"/>
          <w:smallCaps w:val="0"/>
          <w:szCs w:val="22"/>
        </w:rPr>
        <w:tab/>
      </w:r>
      <w:r>
        <w:rPr>
          <w:rStyle w:val="142"/>
          <w:rFonts w:ascii="Times New Roman" w:hAnsi="Times New Roman"/>
        </w:rPr>
        <w:t>环境管理制度、机构及保障计划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_Toc10637182 \h </w:instrText>
      </w:r>
      <w:r>
        <w:rPr>
          <w:rFonts w:ascii="Times New Roman" w:hAnsi="Times New Roman"/>
        </w:rPr>
        <w:fldChar w:fldCharType="separate"/>
      </w:r>
      <w:r>
        <w:rPr>
          <w:rFonts w:ascii="Times New Roman" w:hAnsi="Times New Roman"/>
        </w:rPr>
        <w:t>- 132 -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"_Toc10637183" </w:instrText>
      </w:r>
      <w:r>
        <w:fldChar w:fldCharType="separate"/>
      </w:r>
      <w:r>
        <w:rPr>
          <w:rStyle w:val="142"/>
          <w:rFonts w:ascii="Times New Roman" w:hAnsi="Times New Roman"/>
        </w:rPr>
        <w:t>9.3</w:t>
      </w:r>
      <w:r>
        <w:rPr>
          <w:rFonts w:ascii="Times New Roman" w:hAnsi="Times New Roman" w:eastAsiaTheme="minorEastAsia"/>
          <w:smallCaps w:val="0"/>
          <w:szCs w:val="22"/>
        </w:rPr>
        <w:tab/>
      </w:r>
      <w:r>
        <w:rPr>
          <w:rStyle w:val="142"/>
          <w:rFonts w:ascii="Times New Roman" w:hAnsi="Times New Roman"/>
        </w:rPr>
        <w:t>环境监测计划</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_Toc10637183 \h </w:instrText>
      </w:r>
      <w:r>
        <w:rPr>
          <w:rFonts w:ascii="Times New Roman" w:hAnsi="Times New Roman"/>
        </w:rPr>
        <w:fldChar w:fldCharType="separate"/>
      </w:r>
      <w:r>
        <w:rPr>
          <w:rFonts w:ascii="Times New Roman" w:hAnsi="Times New Roman"/>
        </w:rPr>
        <w:t>- 134 -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"_Toc10637184" </w:instrText>
      </w:r>
      <w:r>
        <w:fldChar w:fldCharType="separate"/>
      </w:r>
      <w:r>
        <w:rPr>
          <w:rStyle w:val="142"/>
          <w:rFonts w:ascii="Times New Roman" w:hAnsi="Times New Roman"/>
        </w:rPr>
        <w:t>9.4</w:t>
      </w:r>
      <w:r>
        <w:rPr>
          <w:rFonts w:ascii="Times New Roman" w:hAnsi="Times New Roman" w:eastAsiaTheme="minorEastAsia"/>
          <w:smallCaps w:val="0"/>
          <w:szCs w:val="22"/>
        </w:rPr>
        <w:tab/>
      </w:r>
      <w:r>
        <w:rPr>
          <w:rStyle w:val="142"/>
          <w:rFonts w:ascii="Times New Roman" w:hAnsi="Times New Roman"/>
        </w:rPr>
        <w:t>核发排污许可证情况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_Toc10637184 \h </w:instrText>
      </w:r>
      <w:r>
        <w:rPr>
          <w:rFonts w:ascii="Times New Roman" w:hAnsi="Times New Roman"/>
        </w:rPr>
        <w:fldChar w:fldCharType="separate"/>
      </w:r>
      <w:r>
        <w:rPr>
          <w:rFonts w:ascii="Times New Roman" w:hAnsi="Times New Roman"/>
        </w:rPr>
        <w:t>- 138 -</w:t>
      </w:r>
      <w:r>
        <w:rPr>
          <w:rFonts w:ascii="Times New Roman" w:hAnsi="Times New Roman"/>
        </w:rPr>
        <w:fldChar w:fldCharType="end"/>
      </w:r>
      <w:r>
        <w:rPr>
          <w:rFonts w:ascii="Times New Roman" w:hAnsi="Times New Roman"/>
        </w:rPr>
        <w:fldChar w:fldCharType="end"/>
      </w:r>
    </w:p>
    <w:p>
      <w:pPr>
        <w:pStyle w:val="59"/>
        <w:rPr>
          <w:rFonts w:ascii="Times New Roman" w:hAnsi="Times New Roman" w:eastAsiaTheme="minorEastAsia"/>
          <w:b w:val="0"/>
          <w:bCs w:val="0"/>
          <w:caps w:val="0"/>
          <w:sz w:val="21"/>
          <w:szCs w:val="22"/>
        </w:rPr>
      </w:pPr>
      <w:r>
        <w:fldChar w:fldCharType="begin"/>
      </w:r>
      <w:r>
        <w:instrText xml:space="preserve"> HYPERLINK \l "_Toc10637185" </w:instrText>
      </w:r>
      <w:r>
        <w:fldChar w:fldCharType="separate"/>
      </w:r>
      <w:r>
        <w:rPr>
          <w:rStyle w:val="142"/>
          <w:rFonts w:ascii="Times New Roman" w:hAnsi="Times New Roman"/>
        </w:rPr>
        <w:t>第10章</w:t>
      </w:r>
      <w:r>
        <w:rPr>
          <w:rFonts w:ascii="Times New Roman" w:hAnsi="Times New Roman" w:eastAsiaTheme="minorEastAsia"/>
          <w:b w:val="0"/>
          <w:bCs w:val="0"/>
          <w:caps w:val="0"/>
          <w:sz w:val="21"/>
          <w:szCs w:val="22"/>
        </w:rPr>
        <w:tab/>
      </w:r>
      <w:r>
        <w:rPr>
          <w:rStyle w:val="142"/>
          <w:rFonts w:ascii="Times New Roman" w:hAnsi="Times New Roman"/>
        </w:rPr>
        <w:t>环境影响评价结论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_Toc10637185 \h </w:instrText>
      </w:r>
      <w:r>
        <w:rPr>
          <w:rFonts w:ascii="Times New Roman" w:hAnsi="Times New Roman"/>
        </w:rPr>
        <w:fldChar w:fldCharType="separate"/>
      </w:r>
      <w:r>
        <w:rPr>
          <w:rFonts w:ascii="Times New Roman" w:hAnsi="Times New Roman"/>
        </w:rPr>
        <w:t>- 140 -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"_Toc10637186" </w:instrText>
      </w:r>
      <w:r>
        <w:fldChar w:fldCharType="separate"/>
      </w:r>
      <w:r>
        <w:rPr>
          <w:rStyle w:val="142"/>
          <w:rFonts w:ascii="Times New Roman" w:hAnsi="Times New Roman"/>
        </w:rPr>
        <w:t>10.1</w:t>
      </w:r>
      <w:r>
        <w:rPr>
          <w:rFonts w:ascii="Times New Roman" w:hAnsi="Times New Roman" w:eastAsiaTheme="minorEastAsia"/>
          <w:smallCaps w:val="0"/>
          <w:szCs w:val="22"/>
        </w:rPr>
        <w:tab/>
      </w:r>
      <w:r>
        <w:rPr>
          <w:rStyle w:val="142"/>
          <w:rFonts w:ascii="Times New Roman" w:hAnsi="Times New Roman"/>
        </w:rPr>
        <w:t>建设项目环境保护管理条例“四性五不批”符合性分析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_Toc10637186 \h </w:instrText>
      </w:r>
      <w:r>
        <w:rPr>
          <w:rFonts w:ascii="Times New Roman" w:hAnsi="Times New Roman"/>
        </w:rPr>
        <w:fldChar w:fldCharType="separate"/>
      </w:r>
      <w:r>
        <w:rPr>
          <w:rFonts w:ascii="Times New Roman" w:hAnsi="Times New Roman"/>
        </w:rPr>
        <w:t>- 140 -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"_Toc10637187" </w:instrText>
      </w:r>
      <w:r>
        <w:fldChar w:fldCharType="separate"/>
      </w:r>
      <w:r>
        <w:rPr>
          <w:rStyle w:val="142"/>
          <w:rFonts w:ascii="Times New Roman" w:hAnsi="Times New Roman"/>
        </w:rPr>
        <w:t>10.2</w:t>
      </w:r>
      <w:r>
        <w:rPr>
          <w:rFonts w:ascii="Times New Roman" w:hAnsi="Times New Roman" w:eastAsiaTheme="minorEastAsia"/>
          <w:smallCaps w:val="0"/>
          <w:szCs w:val="22"/>
        </w:rPr>
        <w:tab/>
      </w:r>
      <w:r>
        <w:rPr>
          <w:rStyle w:val="142"/>
          <w:rFonts w:ascii="Times New Roman" w:hAnsi="Times New Roman"/>
        </w:rPr>
        <w:t>建议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_Toc10637187 \h </w:instrText>
      </w:r>
      <w:r>
        <w:rPr>
          <w:rFonts w:ascii="Times New Roman" w:hAnsi="Times New Roman"/>
        </w:rPr>
        <w:fldChar w:fldCharType="separate"/>
      </w:r>
      <w:r>
        <w:rPr>
          <w:rFonts w:ascii="Times New Roman" w:hAnsi="Times New Roman"/>
        </w:rPr>
        <w:t>- 148 -</w:t>
      </w:r>
      <w:r>
        <w:rPr>
          <w:rFonts w:ascii="Times New Roman" w:hAnsi="Times New Roman"/>
        </w:rPr>
        <w:fldChar w:fldCharType="end"/>
      </w:r>
      <w:r>
        <w:rPr>
          <w:rFonts w:ascii="Times New Roman" w:hAnsi="Times New Roman"/>
        </w:rPr>
        <w:fldChar w:fldCharType="end"/>
      </w:r>
    </w:p>
    <w:p>
      <w:pPr>
        <w:pStyle w:val="74"/>
        <w:rPr>
          <w:rFonts w:ascii="Times New Roman" w:hAnsi="Times New Roman" w:eastAsiaTheme="minorEastAsia"/>
          <w:smallCaps w:val="0"/>
          <w:szCs w:val="22"/>
        </w:rPr>
      </w:pPr>
      <w:r>
        <w:fldChar w:fldCharType="begin"/>
      </w:r>
      <w:r>
        <w:instrText xml:space="preserve"> HYPERLINK \l "_Toc10637188" </w:instrText>
      </w:r>
      <w:r>
        <w:fldChar w:fldCharType="separate"/>
      </w:r>
      <w:r>
        <w:rPr>
          <w:rStyle w:val="142"/>
          <w:rFonts w:ascii="Times New Roman" w:hAnsi="Times New Roman"/>
        </w:rPr>
        <w:t>10.3</w:t>
      </w:r>
      <w:r>
        <w:rPr>
          <w:rFonts w:ascii="Times New Roman" w:hAnsi="Times New Roman" w:eastAsiaTheme="minorEastAsia"/>
          <w:smallCaps w:val="0"/>
          <w:szCs w:val="22"/>
        </w:rPr>
        <w:tab/>
      </w:r>
      <w:r>
        <w:rPr>
          <w:rStyle w:val="142"/>
          <w:rFonts w:ascii="Times New Roman" w:hAnsi="Times New Roman"/>
        </w:rPr>
        <w:t>环评总结论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_Toc10637188 \h </w:instrText>
      </w:r>
      <w:r>
        <w:rPr>
          <w:rFonts w:ascii="Times New Roman" w:hAnsi="Times New Roman"/>
        </w:rPr>
        <w:fldChar w:fldCharType="separate"/>
      </w:r>
      <w:r>
        <w:rPr>
          <w:rFonts w:ascii="Times New Roman" w:hAnsi="Times New Roman"/>
        </w:rPr>
        <w:t>- 148 -</w:t>
      </w:r>
      <w:r>
        <w:rPr>
          <w:rFonts w:ascii="Times New Roman" w:hAnsi="Times New Roman"/>
        </w:rPr>
        <w:fldChar w:fldCharType="end"/>
      </w:r>
      <w:r>
        <w:rPr>
          <w:rFonts w:ascii="Times New Roman" w:hAnsi="Times New Roman"/>
        </w:rPr>
        <w:fldChar w:fldCharType="end"/>
      </w:r>
    </w:p>
    <w:p>
      <w:pPr>
        <w:pStyle w:val="4"/>
        <w:ind w:firstLine="0"/>
        <w:rPr>
          <w:rFonts w:ascii="Times New Roman" w:hAnsi="Times New Roman" w:cs="Times New Roman"/>
          <w:b/>
          <w:bCs/>
          <w:caps/>
          <w:spacing w:val="0"/>
          <w:sz w:val="28"/>
          <w:szCs w:val="36"/>
        </w:rPr>
      </w:pPr>
      <w:r>
        <w:rPr>
          <w:rFonts w:ascii="Times New Roman" w:hAnsi="Times New Roman" w:cs="Times New Roman"/>
          <w:b/>
          <w:bCs/>
          <w:caps/>
          <w:spacing w:val="0"/>
          <w:sz w:val="28"/>
          <w:szCs w:val="36"/>
        </w:rPr>
        <w:fldChar w:fldCharType="end"/>
      </w:r>
    </w:p>
    <w:p>
      <w:pPr>
        <w:pStyle w:val="4"/>
        <w:ind w:firstLine="0"/>
        <w:rPr>
          <w:rFonts w:ascii="Times New Roman" w:hAnsi="Times New Roman" w:cs="Times New Roman"/>
          <w:b/>
          <w:bCs/>
          <w:caps/>
          <w:spacing w:val="0"/>
          <w:sz w:val="28"/>
          <w:szCs w:val="36"/>
        </w:rPr>
      </w:pPr>
    </w:p>
    <w:p>
      <w:pPr>
        <w:pStyle w:val="4"/>
        <w:ind w:firstLine="569"/>
        <w:rPr>
          <w:rFonts w:ascii="Times New Roman" w:hAnsi="Times New Roman" w:cs="Times New Roman"/>
          <w:spacing w:val="0"/>
          <w:sz w:val="28"/>
        </w:rPr>
        <w:sectPr>
          <w:headerReference r:id="rId5" w:type="default"/>
          <w:footerReference r:id="rId6" w:type="default"/>
          <w:pgSz w:w="11907" w:h="16840"/>
          <w:pgMar w:top="1531" w:right="1406" w:bottom="1588" w:left="1157" w:header="964" w:footer="964" w:gutter="567"/>
          <w:pgNumType w:fmt="upperRoman" w:start="1"/>
          <w:cols w:space="720" w:num="1"/>
          <w:docGrid w:type="linesAndChars" w:linePitch="421" w:charSpace="-1172"/>
        </w:sectPr>
      </w:pPr>
    </w:p>
    <w:bookmarkEnd w:id="0"/>
    <w:bookmarkEnd w:id="1"/>
    <w:p>
      <w:pPr>
        <w:pStyle w:val="2"/>
        <w:numPr>
          <w:ilvl w:val="0"/>
          <w:numId w:val="1"/>
        </w:numPr>
      </w:pPr>
      <w:bookmarkStart w:id="2" w:name="_Toc10637123"/>
      <w:bookmarkStart w:id="3" w:name="_Toc38097019"/>
      <w:bookmarkStart w:id="4" w:name="_Toc41789783"/>
      <w:bookmarkStart w:id="5" w:name="_Toc154983250"/>
      <w:bookmarkStart w:id="6" w:name="_Toc80671727"/>
      <w:bookmarkStart w:id="7" w:name="_Toc38096959"/>
      <w:bookmarkStart w:id="8" w:name="_Toc76203363"/>
      <w:bookmarkStart w:id="9" w:name="_Toc38097143"/>
      <w:bookmarkStart w:id="10" w:name="_Toc119834324"/>
      <w:bookmarkStart w:id="11" w:name="_Toc236721995"/>
      <w:bookmarkStart w:id="12" w:name="_Toc82944666"/>
      <w:bookmarkStart w:id="13" w:name="_Toc229038129"/>
      <w:bookmarkStart w:id="14" w:name="_Toc84214452"/>
      <w:bookmarkStart w:id="15" w:name="_Toc94265017"/>
      <w:bookmarkStart w:id="16" w:name="_Toc115751943"/>
      <w:bookmarkStart w:id="17" w:name="_Toc84214500"/>
      <w:bookmarkStart w:id="18" w:name="_Toc82944744"/>
      <w:r>
        <w:t>概述</w:t>
      </w:r>
      <w:bookmarkEnd w:id="2"/>
    </w:p>
    <w:p>
      <w:pPr>
        <w:pStyle w:val="3"/>
        <w:numPr>
          <w:ilvl w:val="1"/>
          <w:numId w:val="21"/>
        </w:numPr>
        <w:rPr>
          <w:rFonts w:ascii="Times New Roman" w:hAnsi="Times New Roman"/>
        </w:rPr>
      </w:pPr>
      <w:bookmarkStart w:id="19" w:name="_Toc10637124"/>
      <w:bookmarkStart w:id="20" w:name="_Toc328473331"/>
      <w:bookmarkStart w:id="21" w:name="_Toc328473894"/>
      <w:bookmarkStart w:id="22" w:name="_Toc329099069"/>
      <w:bookmarkStart w:id="23" w:name="_Toc328473154"/>
      <w:bookmarkStart w:id="24" w:name="_Toc345257116"/>
      <w:bookmarkStart w:id="25" w:name="_Toc328472839"/>
      <w:bookmarkStart w:id="26" w:name="_Toc483039261"/>
      <w:r>
        <w:rPr>
          <w:rFonts w:ascii="Times New Roman" w:hAnsi="Times New Roman"/>
        </w:rPr>
        <w:t>项目背景</w:t>
      </w:r>
      <w:bookmarkEnd w:id="19"/>
      <w:bookmarkEnd w:id="20"/>
      <w:bookmarkEnd w:id="21"/>
      <w:bookmarkEnd w:id="22"/>
      <w:bookmarkEnd w:id="23"/>
      <w:bookmarkEnd w:id="24"/>
      <w:bookmarkEnd w:id="25"/>
      <w:bookmarkEnd w:id="26"/>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永兴特种不锈钢股份有限公司（以下简称为永兴特钢）前身为湖州久立特钢有限公司，成立于</w:t>
      </w:r>
      <w:r>
        <w:rPr>
          <w:rFonts w:ascii="Times New Roman" w:hAnsi="Times New Roman" w:cs="Times New Roman"/>
          <w:spacing w:val="0"/>
          <w:szCs w:val="21"/>
        </w:rPr>
        <w:t>2000</w:t>
      </w:r>
      <w:r>
        <w:rPr>
          <w:rFonts w:hint="eastAsia" w:ascii="Times New Roman" w:hAnsi="Times New Roman" w:cs="Times New Roman"/>
          <w:spacing w:val="0"/>
          <w:szCs w:val="21"/>
        </w:rPr>
        <w:t>年</w:t>
      </w:r>
      <w:r>
        <w:rPr>
          <w:rFonts w:ascii="Times New Roman" w:hAnsi="Times New Roman" w:cs="Times New Roman"/>
          <w:spacing w:val="0"/>
          <w:szCs w:val="21"/>
        </w:rPr>
        <w:t>7</w:t>
      </w:r>
      <w:r>
        <w:rPr>
          <w:rFonts w:hint="eastAsia" w:ascii="Times New Roman" w:hAnsi="Times New Roman" w:cs="Times New Roman"/>
          <w:spacing w:val="0"/>
          <w:szCs w:val="21"/>
        </w:rPr>
        <w:t>月，</w:t>
      </w:r>
      <w:r>
        <w:rPr>
          <w:rFonts w:ascii="Times New Roman" w:hAnsi="Times New Roman" w:cs="Times New Roman"/>
          <w:spacing w:val="0"/>
          <w:szCs w:val="21"/>
        </w:rPr>
        <w:t>2007</w:t>
      </w:r>
      <w:r>
        <w:rPr>
          <w:rFonts w:hint="eastAsia" w:ascii="Times New Roman" w:hAnsi="Times New Roman" w:cs="Times New Roman"/>
          <w:spacing w:val="0"/>
          <w:szCs w:val="21"/>
        </w:rPr>
        <w:t>年</w:t>
      </w:r>
      <w:r>
        <w:rPr>
          <w:rFonts w:ascii="Times New Roman" w:hAnsi="Times New Roman" w:cs="Times New Roman"/>
          <w:spacing w:val="0"/>
          <w:szCs w:val="21"/>
        </w:rPr>
        <w:t>6</w:t>
      </w:r>
      <w:r>
        <w:rPr>
          <w:rFonts w:hint="eastAsia" w:ascii="Times New Roman" w:hAnsi="Times New Roman" w:cs="Times New Roman"/>
          <w:spacing w:val="0"/>
          <w:szCs w:val="21"/>
        </w:rPr>
        <w:t>月整体变更为永兴特种不锈钢股份有限公司</w:t>
      </w:r>
      <w:r>
        <w:rPr>
          <w:rFonts w:ascii="Times New Roman" w:hAnsi="Times New Roman" w:cs="Times New Roman"/>
          <w:spacing w:val="0"/>
          <w:szCs w:val="21"/>
        </w:rPr>
        <w:t>。</w:t>
      </w:r>
      <w:r>
        <w:rPr>
          <w:rFonts w:hint="eastAsia" w:ascii="Times New Roman" w:hAnsi="Times New Roman" w:cs="Times New Roman"/>
          <w:spacing w:val="0"/>
          <w:szCs w:val="21"/>
        </w:rPr>
        <w:t>公司专业从事高品质不锈钢棒线材及特殊合金材料的研发和生产，产品主要应用于石油化工、高压锅炉、核电能源、装备制造、航空航天等工业领域，是中国不锈钢棒线材龙头企业，不锈钢棒线材国内市场占有率连续多年位居前三，其中双相不锈钢管坯国内市场占有率50％以上，并有多种产品出口国外。公司荣获全国五一劳动奖章、全国钢铁工业先进集体，位列中国民营企业500强、浙江省工业行业龙头骨干企业、浙江省制造业百强企业、湖州市明星企业。</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永兴特钢总占地面积20万平方米，以敢山东路为界分为东西两个地块，其中东地块位于敢山东路以东，主要为炼钢一厂的制氧车间；西地块位于敢山东路以西，为主要生产车间，为方便管理企业自主将西地块厂区分为</w:t>
      </w:r>
      <w:r>
        <w:rPr>
          <w:rFonts w:ascii="Times New Roman" w:hAnsi="Times New Roman" w:cs="Times New Roman"/>
          <w:spacing w:val="0"/>
          <w:szCs w:val="21"/>
        </w:rPr>
        <w:t>5</w:t>
      </w:r>
      <w:r>
        <w:rPr>
          <w:rFonts w:hint="eastAsia" w:ascii="Times New Roman" w:hAnsi="Times New Roman" w:cs="Times New Roman"/>
          <w:spacing w:val="0"/>
          <w:szCs w:val="21"/>
        </w:rPr>
        <w:t>个车间(或分厂)，自东向西依次为精整酸洗厂、轧钢厂、炼钢一厂、炼钢二厂、</w:t>
      </w:r>
      <w:r>
        <w:rPr>
          <w:rFonts w:ascii="Times New Roman" w:hAnsi="Times New Roman" w:cs="Times New Roman"/>
          <w:spacing w:val="0"/>
          <w:szCs w:val="21"/>
        </w:rPr>
        <w:t>钢渣车间</w:t>
      </w:r>
      <w:r>
        <w:rPr>
          <w:rFonts w:hint="eastAsia" w:ascii="Times New Roman" w:hAnsi="Times New Roman" w:cs="Times New Roman"/>
          <w:spacing w:val="0"/>
          <w:szCs w:val="21"/>
        </w:rPr>
        <w:t>；其他相关配套</w:t>
      </w:r>
      <w:r>
        <w:rPr>
          <w:rFonts w:ascii="Times New Roman" w:hAnsi="Times New Roman" w:cs="Times New Roman"/>
          <w:spacing w:val="0"/>
          <w:szCs w:val="21"/>
        </w:rPr>
        <w:t>设施还包括北</w:t>
      </w:r>
      <w:r>
        <w:rPr>
          <w:rFonts w:hint="eastAsia" w:ascii="Times New Roman" w:hAnsi="Times New Roman" w:cs="Times New Roman"/>
          <w:spacing w:val="0"/>
          <w:szCs w:val="21"/>
        </w:rPr>
        <w:t>部</w:t>
      </w:r>
      <w:r>
        <w:rPr>
          <w:rFonts w:ascii="Times New Roman" w:hAnsi="Times New Roman" w:cs="Times New Roman"/>
          <w:spacing w:val="0"/>
          <w:szCs w:val="21"/>
        </w:rPr>
        <w:t>的</w:t>
      </w:r>
      <w:r>
        <w:rPr>
          <w:rFonts w:hint="eastAsia" w:ascii="Times New Roman" w:hAnsi="Times New Roman" w:cs="Times New Roman"/>
          <w:spacing w:val="0"/>
          <w:szCs w:val="21"/>
        </w:rPr>
        <w:t>储罐区(液氧</w:t>
      </w:r>
      <w:r>
        <w:rPr>
          <w:rFonts w:ascii="Times New Roman" w:hAnsi="Times New Roman" w:cs="Times New Roman"/>
          <w:spacing w:val="0"/>
          <w:szCs w:val="21"/>
        </w:rPr>
        <w:t>、液氩、液氮</w:t>
      </w:r>
      <w:r>
        <w:rPr>
          <w:rFonts w:hint="eastAsia" w:ascii="Times New Roman" w:hAnsi="Times New Roman" w:cs="Times New Roman"/>
          <w:spacing w:val="0"/>
          <w:szCs w:val="21"/>
        </w:rPr>
        <w:t>)以及</w:t>
      </w:r>
      <w:r>
        <w:rPr>
          <w:rFonts w:ascii="Times New Roman" w:hAnsi="Times New Roman" w:cs="Times New Roman"/>
          <w:spacing w:val="0"/>
          <w:szCs w:val="21"/>
        </w:rPr>
        <w:t>东南角的办公区。</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公司成立至今，已分别向湖州市环境保护局、湖州市环境保护局开发区分局报批了炼钢技改、轧钢技改和配套工程等合计18个项目并已分别通过环保验收(具体详见本报告§3.1企业审批情况，</w:t>
      </w:r>
      <w:r>
        <w:rPr>
          <w:rFonts w:ascii="Times New Roman" w:hAnsi="Times New Roman" w:cs="Times New Roman"/>
          <w:spacing w:val="0"/>
          <w:szCs w:val="21"/>
        </w:rPr>
        <w:t>其中年产5万吨耐高温、抗腐蚀、高强度特种不锈钢深加工项目</w:t>
      </w:r>
      <w:r>
        <w:rPr>
          <w:rFonts w:hint="eastAsia" w:ascii="Times New Roman" w:hAnsi="Times New Roman" w:cs="Times New Roman"/>
          <w:spacing w:val="0"/>
          <w:szCs w:val="21"/>
        </w:rPr>
        <w:t>，</w:t>
      </w:r>
      <w:r>
        <w:rPr>
          <w:rFonts w:ascii="Times New Roman" w:hAnsi="Times New Roman" w:cs="Times New Roman"/>
          <w:spacing w:val="0"/>
          <w:szCs w:val="21"/>
        </w:rPr>
        <w:t>7500吨核电、航空、高铁合金新材料项目</w:t>
      </w:r>
      <w:r>
        <w:rPr>
          <w:rFonts w:hint="eastAsia" w:ascii="Times New Roman" w:hAnsi="Times New Roman" w:cs="Times New Roman"/>
          <w:spacing w:val="0"/>
          <w:szCs w:val="21"/>
        </w:rPr>
        <w:t>已整体</w:t>
      </w:r>
      <w:r>
        <w:rPr>
          <w:rFonts w:ascii="Times New Roman" w:hAnsi="Times New Roman" w:cs="Times New Roman"/>
          <w:spacing w:val="0"/>
          <w:szCs w:val="21"/>
        </w:rPr>
        <w:t>转让给</w:t>
      </w:r>
      <w:r>
        <w:rPr>
          <w:rFonts w:hint="eastAsia" w:ascii="Times New Roman" w:hAnsi="Times New Roman" w:cs="Times New Roman"/>
          <w:spacing w:val="0"/>
          <w:szCs w:val="21"/>
        </w:rPr>
        <w:t>湖州久立永兴特种合金材料有限公司)。</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2016年3月，永兴特钢公司委托浙江省工业环保设计研究院有限公司对企业现有炼钢项目(包括</w:t>
      </w:r>
      <w:r>
        <w:rPr>
          <w:rFonts w:ascii="Times New Roman" w:hAnsi="Times New Roman" w:cs="Times New Roman"/>
          <w:spacing w:val="0"/>
          <w:szCs w:val="21"/>
        </w:rPr>
        <w:t>炼钢一厂、炼钢二厂</w:t>
      </w:r>
      <w:r>
        <w:rPr>
          <w:rFonts w:hint="eastAsia" w:ascii="Times New Roman" w:hAnsi="Times New Roman" w:cs="Times New Roman"/>
          <w:spacing w:val="0"/>
          <w:szCs w:val="21"/>
        </w:rPr>
        <w:t>)进行了现状评价，编制了《永兴特种不锈钢股份有限公司年产35万吨不锈钢和镍基合金技改项目环保现状核查报告》（其中炼钢一厂产能10万吨/年，炼钢二厂产能25万吨/年），该报告于2016年7月11日经湖州市环保局开发区分局备案，备案号为“湖环开建备[2016]3号”(备案意见详见附件2)。</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本技改项目位于炼钢一厂，炼钢一厂始建于1988年，经多次</w:t>
      </w:r>
      <w:r>
        <w:rPr>
          <w:rFonts w:ascii="Times New Roman" w:hAnsi="Times New Roman" w:cs="Times New Roman"/>
          <w:spacing w:val="0"/>
          <w:szCs w:val="21"/>
        </w:rPr>
        <w:t>改造</w:t>
      </w:r>
      <w:r>
        <w:rPr>
          <w:rFonts w:hint="eastAsia" w:ascii="Times New Roman" w:hAnsi="Times New Roman" w:cs="Times New Roman"/>
          <w:spacing w:val="0"/>
          <w:szCs w:val="21"/>
        </w:rPr>
        <w:t>后现有1座30t电炉，1座30t氩氧炉(AOD炉)，1座30tLF炉及模铸，现状生产工艺为电炉初炼---- AOD炉精炼----LF炉精炼----模铸，产品为奥氏体不锈钢、双相不锈钢和镍基合金钢锭。由于模铸生产效率低、自动化程度低、成材率低和公司锭坯加工不平衡，并且模铸具有成本高、钢液凝固时易产生夹杂、手工作业多、环境差等一系列问题，导致炼钢一厂设计能力为10万吨/年，实际年产钢锭不足8万吨，产能利用率不高。通过对炼钢一厂的钢种、锭型分析，有60%以上是可以通过特殊的连铸工艺生产，因此为达设计产能、提高材料利用率、降低生产成本、提高质量、提高自动化程度、改善环境，将对炼钢一厂的模铸系统将进行相应改造。改造主要内容为：</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（1）将现有2跨原料厂房改建成包含连铸和大型模铸的浇铸跨；现有模铸跨改成原料跨。</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 xml:space="preserve">（2）新增设1台1机1流高性能连铸机和配套设施，60%钢水以连铸机生产铸坯，其余40%钢水模铸成大钢锭； </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（3）对现有LF炉进行技术改造，以符合连铸时多炉连浇的需求；</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（4）新配置1座真空脱气（VD炉）装置；</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（5）模铸由目前的吊包作业，改成纵向车铸，提升安全水平。模铸车、平板、锭模、中注管等生产设备，利用公司现有设施重新减量布置。</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（6）调整钢包维修区域，利于集中管理。</w:t>
      </w:r>
    </w:p>
    <w:p>
      <w:pPr>
        <w:pStyle w:val="4"/>
        <w:spacing w:line="480" w:lineRule="exact"/>
        <w:rPr>
          <w:rFonts w:ascii="Times New Roman" w:hAnsi="Times New Roman" w:cs="Times New Roman"/>
          <w:spacing w:val="0"/>
          <w:szCs w:val="21"/>
        </w:rPr>
      </w:pPr>
      <w:r>
        <w:rPr>
          <w:rFonts w:ascii="Times New Roman" w:hAnsi="Times New Roman" w:cs="Times New Roman"/>
          <w:spacing w:val="0"/>
          <w:szCs w:val="21"/>
        </w:rPr>
        <w:t>本项目实施后，</w:t>
      </w:r>
      <w:r>
        <w:rPr>
          <w:rFonts w:hint="eastAsia" w:ascii="Times New Roman" w:hAnsi="Times New Roman" w:cs="Times New Roman"/>
          <w:spacing w:val="0"/>
          <w:szCs w:val="21"/>
        </w:rPr>
        <w:t>炼钢一厂</w:t>
      </w:r>
      <w:r>
        <w:rPr>
          <w:rFonts w:ascii="Times New Roman" w:hAnsi="Times New Roman" w:cs="Times New Roman"/>
          <w:spacing w:val="0"/>
          <w:szCs w:val="21"/>
        </w:rPr>
        <w:t>炼钢产能不变，仍为</w:t>
      </w:r>
      <w:r>
        <w:rPr>
          <w:rFonts w:hint="eastAsia" w:ascii="Times New Roman" w:hAnsi="Times New Roman" w:cs="Times New Roman"/>
          <w:spacing w:val="0"/>
          <w:szCs w:val="21"/>
        </w:rPr>
        <w:t>10</w:t>
      </w:r>
      <w:r>
        <w:rPr>
          <w:rFonts w:ascii="Times New Roman" w:hAnsi="Times New Roman" w:cs="Times New Roman"/>
          <w:spacing w:val="0"/>
          <w:szCs w:val="21"/>
        </w:rPr>
        <w:t>万吨/年，产品方案</w:t>
      </w:r>
      <w:r>
        <w:rPr>
          <w:rFonts w:hint="eastAsia" w:ascii="Times New Roman" w:hAnsi="Times New Roman" w:cs="Times New Roman"/>
          <w:spacing w:val="0"/>
          <w:szCs w:val="21"/>
        </w:rPr>
        <w:t>由10万</w:t>
      </w:r>
      <w:r>
        <w:rPr>
          <w:rFonts w:ascii="Times New Roman" w:hAnsi="Times New Roman" w:cs="Times New Roman"/>
          <w:spacing w:val="0"/>
          <w:szCs w:val="21"/>
        </w:rPr>
        <w:t>吨模铸坯调整为模铸坯</w:t>
      </w:r>
      <w:r>
        <w:rPr>
          <w:rFonts w:hint="eastAsia" w:ascii="Times New Roman" w:hAnsi="Times New Roman" w:cs="Times New Roman"/>
          <w:spacing w:val="0"/>
          <w:szCs w:val="21"/>
        </w:rPr>
        <w:t>和</w:t>
      </w:r>
      <w:r>
        <w:rPr>
          <w:rFonts w:ascii="Times New Roman" w:hAnsi="Times New Roman" w:cs="Times New Roman"/>
          <w:spacing w:val="0"/>
          <w:szCs w:val="21"/>
        </w:rPr>
        <w:t>连铸坯，其中</w:t>
      </w:r>
      <w:r>
        <w:rPr>
          <w:rFonts w:hint="eastAsia" w:ascii="Times New Roman" w:hAnsi="Times New Roman" w:cs="Times New Roman"/>
          <w:spacing w:val="0"/>
          <w:szCs w:val="21"/>
        </w:rPr>
        <w:t>模铸坯(钢锭)4</w:t>
      </w:r>
      <w:r>
        <w:rPr>
          <w:rFonts w:ascii="Times New Roman" w:hAnsi="Times New Roman" w:cs="Times New Roman"/>
          <w:spacing w:val="0"/>
          <w:szCs w:val="21"/>
        </w:rPr>
        <w:t>万</w:t>
      </w:r>
      <w:r>
        <w:rPr>
          <w:rFonts w:hint="eastAsia" w:ascii="Times New Roman" w:hAnsi="Times New Roman" w:cs="Times New Roman"/>
          <w:spacing w:val="0"/>
          <w:szCs w:val="21"/>
        </w:rPr>
        <w:t>t/a</w:t>
      </w:r>
      <w:r>
        <w:rPr>
          <w:rFonts w:ascii="Times New Roman" w:hAnsi="Times New Roman" w:cs="Times New Roman"/>
          <w:spacing w:val="0"/>
          <w:szCs w:val="21"/>
        </w:rPr>
        <w:t>、连铸坯</w:t>
      </w:r>
      <w:r>
        <w:rPr>
          <w:rFonts w:hint="eastAsia" w:ascii="Times New Roman" w:hAnsi="Times New Roman" w:cs="Times New Roman"/>
          <w:spacing w:val="0"/>
          <w:szCs w:val="21"/>
        </w:rPr>
        <w:t>6</w:t>
      </w:r>
      <w:r>
        <w:rPr>
          <w:rFonts w:ascii="Times New Roman" w:hAnsi="Times New Roman" w:cs="Times New Roman"/>
          <w:spacing w:val="0"/>
          <w:szCs w:val="21"/>
        </w:rPr>
        <w:t>万</w:t>
      </w:r>
      <w:r>
        <w:rPr>
          <w:rFonts w:hint="eastAsia" w:ascii="Times New Roman" w:hAnsi="Times New Roman" w:cs="Times New Roman"/>
          <w:spacing w:val="0"/>
          <w:szCs w:val="21"/>
        </w:rPr>
        <w:t>t/a</w:t>
      </w:r>
      <w:r>
        <w:rPr>
          <w:rFonts w:ascii="Times New Roman" w:hAnsi="Times New Roman" w:cs="Times New Roman"/>
          <w:spacing w:val="0"/>
          <w:szCs w:val="21"/>
        </w:rPr>
        <w:t>。</w:t>
      </w:r>
      <w:r>
        <w:rPr>
          <w:rFonts w:hint="eastAsia" w:ascii="Times New Roman" w:hAnsi="Times New Roman" w:cs="Times New Roman"/>
          <w:spacing w:val="0"/>
          <w:szCs w:val="21"/>
        </w:rPr>
        <w:t>本项目已向湖州市湖州经济技术开发区行政审批服务中心备案(项目</w:t>
      </w:r>
      <w:r>
        <w:rPr>
          <w:rFonts w:ascii="Times New Roman" w:hAnsi="Times New Roman" w:cs="Times New Roman"/>
          <w:spacing w:val="0"/>
          <w:szCs w:val="21"/>
        </w:rPr>
        <w:t>代码为</w:t>
      </w:r>
      <w:r>
        <w:rPr>
          <w:rFonts w:hint="eastAsia" w:ascii="Times New Roman" w:hAnsi="Times New Roman" w:cs="Times New Roman"/>
          <w:spacing w:val="0"/>
          <w:szCs w:val="21"/>
        </w:rPr>
        <w:t>2019-330500-31-03-006875-000)。</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根据《中华人民共和国环境影响评价法》、《建设项目环境保护管理条例》以及《建设项目环境影响评价分类管理名录》的有关规定，“永兴特种</w:t>
      </w:r>
      <w:r>
        <w:rPr>
          <w:rFonts w:ascii="Times New Roman" w:hAnsi="Times New Roman" w:cs="Times New Roman"/>
          <w:spacing w:val="0"/>
        </w:rPr>
        <w:t>不锈钢股份有限公司高性能不锈钢连铸系统升级改造</w:t>
      </w:r>
      <w:r>
        <w:rPr>
          <w:rFonts w:hint="eastAsia" w:ascii="Times New Roman" w:hAnsi="Times New Roman" w:cs="Times New Roman"/>
          <w:spacing w:val="0"/>
        </w:rPr>
        <w:t>项目”须编制环境影响报告书。依据《环境影响评价公众参与办法》（生态环境部令部令第 4号）的相关规定，为便于公众了解项目环评的详细情况以便开展公众参与调查活动，环评单位特编制《永兴特种</w:t>
      </w:r>
      <w:r>
        <w:rPr>
          <w:rFonts w:ascii="Times New Roman" w:hAnsi="Times New Roman" w:cs="Times New Roman"/>
          <w:spacing w:val="0"/>
        </w:rPr>
        <w:t>不锈钢股份有限公司高性能不锈钢连铸系统升级改造</w:t>
      </w:r>
      <w:r>
        <w:rPr>
          <w:rFonts w:hint="eastAsia" w:ascii="Times New Roman" w:hAnsi="Times New Roman" w:cs="Times New Roman"/>
          <w:spacing w:val="0"/>
        </w:rPr>
        <w:t>项目环境影响评价报告书征求意见稿》，供公众及相关人员查阅。</w:t>
      </w:r>
    </w:p>
    <w:p>
      <w:pPr>
        <w:pStyle w:val="3"/>
        <w:numPr>
          <w:ilvl w:val="1"/>
          <w:numId w:val="21"/>
        </w:numPr>
        <w:rPr>
          <w:rFonts w:ascii="Times New Roman" w:hAnsi="Times New Roman"/>
          <w:lang w:eastAsia="zh-CN"/>
        </w:rPr>
      </w:pPr>
      <w:bookmarkStart w:id="27" w:name="_Toc10637125"/>
      <w:bookmarkStart w:id="28" w:name="_Toc328473159"/>
      <w:bookmarkStart w:id="29" w:name="_Toc328472844"/>
      <w:bookmarkStart w:id="30" w:name="_Toc328473336"/>
      <w:bookmarkStart w:id="31" w:name="_Toc328473899"/>
      <w:bookmarkStart w:id="32" w:name="_Toc329099074"/>
      <w:r>
        <w:rPr>
          <w:rFonts w:hint="eastAsia" w:ascii="Times New Roman" w:hAnsi="Times New Roman"/>
          <w:lang w:eastAsia="zh-CN"/>
        </w:rPr>
        <w:t>项目背景</w:t>
      </w:r>
      <w:r>
        <w:rPr>
          <w:rFonts w:ascii="Times New Roman" w:hAnsi="Times New Roman"/>
          <w:lang w:eastAsia="zh-CN"/>
        </w:rPr>
        <w:t>及</w:t>
      </w:r>
      <w:r>
        <w:rPr>
          <w:rFonts w:hint="eastAsia" w:ascii="Times New Roman" w:hAnsi="Times New Roman"/>
          <w:lang w:eastAsia="zh-CN"/>
        </w:rPr>
        <w:t>建设</w:t>
      </w:r>
      <w:r>
        <w:rPr>
          <w:rFonts w:ascii="Times New Roman" w:hAnsi="Times New Roman"/>
          <w:lang w:eastAsia="zh-CN"/>
        </w:rPr>
        <w:t>必要性分析</w:t>
      </w:r>
      <w:bookmarkEnd w:id="27"/>
    </w:p>
    <w:p>
      <w:pPr>
        <w:pStyle w:val="4"/>
        <w:spacing w:line="480" w:lineRule="exact"/>
        <w:rPr>
          <w:rFonts w:ascii="Times New Roman" w:hAnsi="Times New Roman" w:cs="Times New Roman"/>
          <w:spacing w:val="0"/>
        </w:rPr>
      </w:pPr>
      <w:r>
        <w:rPr>
          <w:rFonts w:hint="eastAsia" w:ascii="Times New Roman" w:hAnsi="Times New Roman" w:cs="Times New Roman"/>
          <w:spacing w:val="0"/>
        </w:rPr>
        <w:t>1、</w:t>
      </w:r>
      <w:r>
        <w:rPr>
          <w:rFonts w:ascii="Times New Roman" w:hAnsi="Times New Roman" w:cs="Times New Roman"/>
          <w:spacing w:val="0"/>
        </w:rPr>
        <w:t>项目背景</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1</w:t>
      </w:r>
      <w:r>
        <w:rPr>
          <w:rFonts w:hint="eastAsia" w:ascii="Times New Roman" w:hAnsi="Times New Roman" w:cs="Times New Roman"/>
          <w:spacing w:val="0"/>
        </w:rPr>
        <w:t>)永兴特钢已备案的炼钢产能为年产35万吨不锈钢和镍基合金，其中炼钢一厂10万吨，炼钢二厂25万吨。</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永兴特钢炼一厂始建于1988年，通过不断的设备改造，产品从最初的普钢到1996年转向不锈钢；2004年时最多建有4座20吨电炉和2座20吨氩氧炉， 通过缩量技改2013年调整至一台30吨电炉配套一台30吨氩氧炉、LF钢包炉。</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2</w:t>
      </w:r>
      <w:r>
        <w:rPr>
          <w:rFonts w:hint="eastAsia" w:ascii="Times New Roman" w:hAnsi="Times New Roman" w:cs="Times New Roman"/>
          <w:spacing w:val="0"/>
        </w:rPr>
        <w:t>)炼钢一厂生产工艺为电炉初炼-氩氧炉精炼-LF精炼-模铸，生产奥氏体不锈钢、双相不锈钢和镍基合金钢锭，钢锭锭型从700公斤至23吨，供公司轧钢分厂、锻压分厂热加工，以及提供电极锭给公司特冶分厂电渣炉作原料。其中，可供轧制的小规格钢锭重量约占60%，供锻压或特冶的大钢锭约占40%；按钢锭支数分析，小钢锭则占90%以上。</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永兴特钢生产的不锈钢和镍基合金主要应用于石油化工、高压锅炉、核电能源、装备制造、航空航天等工业领域的专用装备制造，因最终用户的个性化需求，炼钢一厂的炉容量和众多规格的锭型能很好的满足多品种、多规格、小批量的生产组织。为核电站堆内机构、核电阀门锻材、超超临界火电锅炉材料、石油化工高压裂解装置、尿素装置、硫酸制备装置等关键工程提供了基础原料。</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3</w:t>
      </w:r>
      <w:r>
        <w:rPr>
          <w:rFonts w:hint="eastAsia" w:ascii="Times New Roman" w:hAnsi="Times New Roman" w:cs="Times New Roman"/>
          <w:spacing w:val="0"/>
        </w:rPr>
        <w:t>)随着产品的发展、工艺技术的提升和内外部条件的变化，炼钢一厂在实际运行中的问题也日益实出：</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模铸工艺的优与劣：模铸工艺在生产大规格、高铝钛、裂纹敏感等钢种时，具有连铸无法替代或实现的优势，在高合金领域模铸仍将持续；但其劣势也是极为明显的：成材率低——成本高、能源和资源利用率低，手工作业多——劳动强度大、工作质量易波动、生产效率低。基于模铸的优势和劣势，炼钢一厂在小规产品上无竞争优势，但在大规格锻材等方面又是无可替代。为此，炼钢一厂长期处于控产模式，实际产量约6~7万吨，只有生产能力的60~70%。</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公司原有轧钢车间为推钢式加热炉和三辊可逆初轧机配连轧机组，可以接受小型钢锭和连铸坯为原料，但推钢式加热炉和三辊可逆初轧机存在加热不均匀、轧制质量差等一系列缺陷，即便在特钢企业也已趋于淘汰。2018年“年产25万吨特种不锈钢和镍基合金轧钢线”建成投产，原轧钢厂关停；新轧线采用当前全球最先进的工艺装备，包括步进加热炉、欧洲产两辊可逆初轧、两辊连铸、多种减定径轧机和热处理设施等，可轧制加工超级奥氏体、超级双相钢、阀门钢和镍基合金等难变形材料，项目以连铸坯或加工至要求尺寸的钢坯为原料，无法加工钢锭。新轧线年需坯料27万吨，炼钢二厂满负荷能力为25万吨，其中3~4万吨圆坯供无缝钢管企业，给轧钢的方坯21万吨左右，轧钢年短缺钢坯6万吨左右。</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由此造成：炼钢一厂由于小锭型不经济而控产，新轧线因无法加工钢锭而坯料不足的冏境。</w:t>
      </w:r>
    </w:p>
    <w:p>
      <w:pPr>
        <w:pStyle w:val="4"/>
        <w:spacing w:line="480" w:lineRule="exact"/>
        <w:ind w:firstLine="486" w:firstLineChars="200"/>
        <w:rPr>
          <w:rFonts w:ascii="Times New Roman" w:hAnsi="Times New Roman" w:cs="Times New Roman"/>
          <w:spacing w:val="0"/>
        </w:rPr>
      </w:pPr>
      <w:r>
        <w:rPr>
          <w:rFonts w:hint="eastAsia" w:ascii="Times New Roman" w:hAnsi="Times New Roman" w:cs="Times New Roman"/>
          <w:spacing w:val="0"/>
        </w:rPr>
        <w:t>随着对节能减排的日益重视，化石能源的不断减少，新能源的发展，能源装备、石油化工等行业对材料的性能要求不停的升级，超级奥氏体、超级双相钢、镍基合金需求增加，钢中的铬、镍、钼、铌、钛等合金不断上升，对材料纯净度——夹杂、气体的要求更是提出了苛刻的要求，往往需要对钢水进行真空状态下的处理。 但是，炼钢一厂的氩氧炉、LF两个精炼均是非真空精炼。</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2、</w:t>
      </w:r>
      <w:r>
        <w:rPr>
          <w:rFonts w:ascii="Times New Roman" w:hAnsi="Times New Roman" w:cs="Times New Roman"/>
          <w:spacing w:val="0"/>
        </w:rPr>
        <w:t>项目建设必要性</w:t>
      </w:r>
      <w:r>
        <w:rPr>
          <w:rFonts w:hint="eastAsia" w:ascii="Times New Roman" w:hAnsi="Times New Roman" w:cs="Times New Roman"/>
          <w:spacing w:val="0"/>
        </w:rPr>
        <w:t>分析</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基于炼钢一厂的现状、炼钢二厂的生产能力和技改完成的轧钢的原料需求分析，炼钢一厂若能将700公斤的小锭型转化为连铸坯则是一个较完美的方案：</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1</w:t>
      </w:r>
      <w:r>
        <w:rPr>
          <w:rFonts w:hint="eastAsia" w:ascii="Times New Roman" w:hAnsi="Times New Roman" w:cs="Times New Roman"/>
          <w:spacing w:val="0"/>
        </w:rPr>
        <w:t>)炼钢、轧钢生产能力趋平衡</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随着连铸工艺、装备技术的发展，结合公司多年来积累的专有技术，炼钢一厂的奥氏体、超级奥氏体不锈钢，双相、超级双相不锈钢、阀门钢和镍基合金有约85~90%的钢种可以在高性能连铸机上生产；再结合再终产品规格的后续加工，直径在130毫米以下的产品可以连铸坯为原料；综合后，炼钢一厂约有60~65%左右的钢水可以通过连铸机成形。</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以炼钢一厂10万吨电炉炼钢产能，在生产4万吨的1~23吨钢锭供锻压和特冶后，其余的钢水可转化为6万吨的连铸坯，刚好使全公司炼钢、轧钢生产能力平衡。</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2</w:t>
      </w:r>
      <w:r>
        <w:rPr>
          <w:rFonts w:hint="eastAsia" w:ascii="Times New Roman" w:hAnsi="Times New Roman" w:cs="Times New Roman"/>
          <w:spacing w:val="0"/>
        </w:rPr>
        <w:t>)最大程度上实现机器换人、提高生产效率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虽然只有60%的钢水采用高度机械、自动化的连铸机取代了手工模铸作业，但是由于小钢锭单重低、支数多，所以改造完成后，模铸钢锭的支数只有目前的10%，实现了最大程度的机器换人，生产效率也有提升。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在已有电炉、氩氧炉之后配套VD真空处理装置，在冶炼超低碳钢时，以效率更高真空装置取代非真空，一方面生产速度会加快，另一方面成本会更低。</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3</w:t>
      </w:r>
      <w:r>
        <w:rPr>
          <w:rFonts w:hint="eastAsia" w:ascii="Times New Roman" w:hAnsi="Times New Roman" w:cs="Times New Roman"/>
          <w:spacing w:val="0"/>
        </w:rPr>
        <w:t>)成材率大幅上升，提高了能源、资源的利用率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不锈钢和镍基合金小型钢锭轧制成材，其成材率国内通常在82~88%之间，也就是说1吨钢锭只有820~880公斤可以成材，其余的110~170公斤的废料要回炉；永兴特钢模铸虽然已达到领先的86~88%，然而永兴特钢用连铸工艺时成材率已稳定98.5%以上，连铸较模铸提高10%以上。</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对奥氏体不锈钢来说，成材率每提高一个百分点：对炼钢-轧钢全流程来说，能耗可降低1.3%，金属料损耗降低0.2%，增加效益达60元。项目吨钢收益在700元以上。</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4</w:t>
      </w:r>
      <w:r>
        <w:rPr>
          <w:rFonts w:hint="eastAsia" w:ascii="Times New Roman" w:hAnsi="Times New Roman" w:cs="Times New Roman"/>
          <w:spacing w:val="0"/>
        </w:rPr>
        <w:t>)有利于质量的稳定提升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小钢锭模铸，由于凝固过程、保护浇铸困难和手工作业因素，质量波动较大，采用连铸后，钢材夹杂物评级水平得以提升。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项目配套VD真空处理装置，可对氩氧炉或LF钢包炉精炼后的钢水进一步真空处理，对超超临界电站和石油化工裂解装置用含铌耐热钢、超纯不锈钢、高铝钛不锈钢和镍基合金的质量提升是重要的手段。</w:t>
      </w:r>
    </w:p>
    <w:p>
      <w:pPr>
        <w:pStyle w:val="3"/>
        <w:numPr>
          <w:ilvl w:val="1"/>
          <w:numId w:val="21"/>
        </w:numPr>
        <w:rPr>
          <w:rFonts w:ascii="Times New Roman" w:hAnsi="Times New Roman"/>
        </w:rPr>
      </w:pPr>
      <w:bookmarkStart w:id="33" w:name="_Toc10637126"/>
      <w:r>
        <w:rPr>
          <w:rFonts w:ascii="Times New Roman" w:hAnsi="Times New Roman"/>
        </w:rPr>
        <w:t>项目特点</w:t>
      </w:r>
      <w:bookmarkEnd w:id="33"/>
    </w:p>
    <w:p>
      <w:pPr>
        <w:pStyle w:val="4"/>
        <w:rPr>
          <w:rFonts w:ascii="Times New Roman" w:hAnsi="Times New Roman" w:cs="Times New Roman"/>
          <w:spacing w:val="0"/>
        </w:rPr>
      </w:pPr>
      <w:r>
        <w:rPr>
          <w:rFonts w:ascii="Times New Roman" w:hAnsi="Times New Roman" w:cs="Times New Roman"/>
          <w:spacing w:val="0"/>
        </w:rPr>
        <w:t>1．</w:t>
      </w:r>
      <w:r>
        <w:rPr>
          <w:rFonts w:hint="eastAsia" w:ascii="Times New Roman" w:hAnsi="Times New Roman" w:cs="Times New Roman"/>
          <w:spacing w:val="0"/>
        </w:rPr>
        <w:t>本技改项目在炼钢一厂内实施，其余分厂或车间生产工艺及规模均不变。</w:t>
      </w:r>
    </w:p>
    <w:p>
      <w:pPr>
        <w:pStyle w:val="4"/>
        <w:rPr>
          <w:rFonts w:ascii="Times New Roman" w:hAnsi="Times New Roman" w:cs="Times New Roman"/>
          <w:spacing w:val="0"/>
        </w:rPr>
      </w:pPr>
      <w:r>
        <w:rPr>
          <w:rFonts w:hint="eastAsia" w:ascii="Times New Roman" w:hAnsi="Times New Roman" w:cs="Times New Roman"/>
          <w:spacing w:val="0"/>
        </w:rPr>
        <w:t>2</w:t>
      </w:r>
      <w:r>
        <w:rPr>
          <w:rFonts w:ascii="Times New Roman" w:hAnsi="Times New Roman" w:cs="Times New Roman"/>
          <w:spacing w:val="0"/>
        </w:rPr>
        <w:t>．本项目</w:t>
      </w:r>
      <w:r>
        <w:rPr>
          <w:rFonts w:hint="eastAsia" w:ascii="Times New Roman" w:hAnsi="Times New Roman" w:cs="Times New Roman"/>
          <w:spacing w:val="0"/>
        </w:rPr>
        <w:t>技改前后炼钢一厂的炼钢产能不变，仍为10万t/a。</w:t>
      </w:r>
      <w:r>
        <w:rPr>
          <w:rFonts w:ascii="Times New Roman" w:hAnsi="Times New Roman" w:cs="Times New Roman"/>
          <w:spacing w:val="0"/>
          <w:szCs w:val="21"/>
        </w:rPr>
        <w:t>产品方案</w:t>
      </w:r>
      <w:r>
        <w:rPr>
          <w:rFonts w:hint="eastAsia" w:ascii="Times New Roman" w:hAnsi="Times New Roman" w:cs="Times New Roman"/>
          <w:spacing w:val="0"/>
          <w:szCs w:val="21"/>
        </w:rPr>
        <w:t>由全部模铸坯调整为</w:t>
      </w:r>
      <w:r>
        <w:rPr>
          <w:rFonts w:ascii="Times New Roman" w:hAnsi="Times New Roman" w:cs="Times New Roman"/>
          <w:spacing w:val="0"/>
          <w:szCs w:val="21"/>
        </w:rPr>
        <w:t>模铸坯</w:t>
      </w:r>
      <w:r>
        <w:rPr>
          <w:rFonts w:hint="eastAsia" w:ascii="Times New Roman" w:hAnsi="Times New Roman" w:cs="Times New Roman"/>
          <w:spacing w:val="0"/>
          <w:szCs w:val="21"/>
        </w:rPr>
        <w:t>和</w:t>
      </w:r>
      <w:r>
        <w:rPr>
          <w:rFonts w:ascii="Times New Roman" w:hAnsi="Times New Roman" w:cs="Times New Roman"/>
          <w:spacing w:val="0"/>
          <w:szCs w:val="21"/>
        </w:rPr>
        <w:t>连铸坯，</w:t>
      </w:r>
      <w:r>
        <w:rPr>
          <w:rFonts w:hint="eastAsia" w:ascii="Times New Roman" w:hAnsi="Times New Roman" w:cs="Times New Roman"/>
          <w:spacing w:val="0"/>
          <w:szCs w:val="21"/>
        </w:rPr>
        <w:t>调整后模铸坯 (钢锭)4</w:t>
      </w:r>
      <w:r>
        <w:rPr>
          <w:rFonts w:ascii="Times New Roman" w:hAnsi="Times New Roman" w:cs="Times New Roman"/>
          <w:spacing w:val="0"/>
          <w:szCs w:val="21"/>
        </w:rPr>
        <w:t>万</w:t>
      </w:r>
      <w:r>
        <w:rPr>
          <w:rFonts w:hint="eastAsia" w:ascii="Times New Roman" w:hAnsi="Times New Roman" w:cs="Times New Roman"/>
          <w:spacing w:val="0"/>
          <w:szCs w:val="21"/>
        </w:rPr>
        <w:t>t/a</w:t>
      </w:r>
      <w:r>
        <w:rPr>
          <w:rFonts w:ascii="Times New Roman" w:hAnsi="Times New Roman" w:cs="Times New Roman"/>
          <w:spacing w:val="0"/>
          <w:szCs w:val="21"/>
        </w:rPr>
        <w:t>、连铸坯</w:t>
      </w:r>
      <w:r>
        <w:rPr>
          <w:rFonts w:hint="eastAsia" w:ascii="Times New Roman" w:hAnsi="Times New Roman" w:cs="Times New Roman"/>
          <w:spacing w:val="0"/>
          <w:szCs w:val="21"/>
        </w:rPr>
        <w:t>6</w:t>
      </w:r>
      <w:r>
        <w:rPr>
          <w:rFonts w:ascii="Times New Roman" w:hAnsi="Times New Roman" w:cs="Times New Roman"/>
          <w:spacing w:val="0"/>
          <w:szCs w:val="21"/>
        </w:rPr>
        <w:t>万</w:t>
      </w:r>
      <w:r>
        <w:rPr>
          <w:rFonts w:hint="eastAsia" w:ascii="Times New Roman" w:hAnsi="Times New Roman" w:cs="Times New Roman"/>
          <w:spacing w:val="0"/>
          <w:szCs w:val="21"/>
        </w:rPr>
        <w:t>t/a。</w:t>
      </w:r>
    </w:p>
    <w:p>
      <w:pPr>
        <w:pStyle w:val="4"/>
        <w:rPr>
          <w:rFonts w:ascii="Times New Roman" w:hAnsi="Times New Roman" w:cs="Times New Roman"/>
          <w:spacing w:val="0"/>
          <w:szCs w:val="21"/>
        </w:rPr>
      </w:pPr>
      <w:r>
        <w:rPr>
          <w:rFonts w:hint="eastAsia" w:ascii="Times New Roman" w:hAnsi="Times New Roman" w:cs="Times New Roman"/>
          <w:spacing w:val="0"/>
        </w:rPr>
        <w:t>3</w:t>
      </w:r>
      <w:r>
        <w:rPr>
          <w:rFonts w:ascii="Times New Roman" w:hAnsi="Times New Roman" w:cs="Times New Roman"/>
          <w:spacing w:val="0"/>
        </w:rPr>
        <w:t>．</w:t>
      </w:r>
      <w:r>
        <w:rPr>
          <w:rFonts w:hint="eastAsia" w:ascii="Times New Roman" w:hAnsi="Times New Roman" w:cs="Times New Roman"/>
          <w:spacing w:val="0"/>
        </w:rPr>
        <w:t>本项目不新增用地，在现有厂区对现有厂房进行改造：</w:t>
      </w:r>
      <w:r>
        <w:rPr>
          <w:rFonts w:hint="eastAsia" w:ascii="Times New Roman" w:hAnsi="Times New Roman"/>
          <w:szCs w:val="21"/>
        </w:rPr>
        <w:t>本项目拆除炼钢一厂旧厂房约7000m</w:t>
      </w:r>
      <w:r>
        <w:rPr>
          <w:rFonts w:hint="eastAsia" w:ascii="Times New Roman" w:hAnsi="Times New Roman"/>
          <w:szCs w:val="21"/>
          <w:vertAlign w:val="superscript"/>
        </w:rPr>
        <w:t>2</w:t>
      </w:r>
      <w:r>
        <w:rPr>
          <w:rFonts w:hint="eastAsia" w:ascii="Times New Roman" w:hAnsi="Times New Roman"/>
          <w:szCs w:val="21"/>
        </w:rPr>
        <w:t>，同时新建厂房约8842m</w:t>
      </w:r>
      <w:r>
        <w:rPr>
          <w:rFonts w:hint="eastAsia" w:ascii="Times New Roman" w:hAnsi="Times New Roman"/>
          <w:szCs w:val="21"/>
          <w:vertAlign w:val="superscript"/>
        </w:rPr>
        <w:t>2</w:t>
      </w:r>
      <w:r>
        <w:rPr>
          <w:rFonts w:hint="eastAsia" w:ascii="Times New Roman" w:hAnsi="Times New Roman" w:cs="Times New Roman"/>
          <w:spacing w:val="0"/>
          <w:szCs w:val="21"/>
        </w:rPr>
        <w:t>。</w:t>
      </w:r>
    </w:p>
    <w:p>
      <w:pPr>
        <w:pStyle w:val="4"/>
        <w:rPr>
          <w:rFonts w:ascii="Times New Roman" w:hAnsi="Times New Roman" w:cs="Times New Roman"/>
          <w:spacing w:val="0"/>
        </w:rPr>
      </w:pPr>
      <w:r>
        <w:rPr>
          <w:rFonts w:hint="eastAsia" w:ascii="Times New Roman" w:hAnsi="Times New Roman" w:cs="Times New Roman"/>
          <w:spacing w:val="0"/>
          <w:szCs w:val="21"/>
        </w:rPr>
        <w:t>4</w:t>
      </w:r>
      <w:r>
        <w:rPr>
          <w:rFonts w:ascii="Times New Roman" w:hAnsi="Times New Roman" w:cs="Times New Roman"/>
          <w:spacing w:val="0"/>
        </w:rPr>
        <w:t>．</w:t>
      </w:r>
      <w:r>
        <w:rPr>
          <w:rFonts w:hint="eastAsia" w:ascii="Times New Roman" w:hAnsi="Times New Roman" w:cs="Times New Roman"/>
          <w:spacing w:val="0"/>
        </w:rPr>
        <w:t>本技改项目不涉及电炉、AOD炉，</w:t>
      </w:r>
      <w:r>
        <w:rPr>
          <w:rFonts w:hint="eastAsia" w:ascii="Times New Roman" w:hAnsi="Times New Roman" w:cs="Times New Roman"/>
          <w:spacing w:val="0"/>
          <w:szCs w:val="21"/>
        </w:rPr>
        <w:t>新增设1台VD炉</w:t>
      </w:r>
      <w:r>
        <w:rPr>
          <w:rFonts w:ascii="Times New Roman" w:hAnsi="Times New Roman" w:cs="Times New Roman"/>
          <w:spacing w:val="0"/>
          <w:szCs w:val="21"/>
        </w:rPr>
        <w:t>、</w:t>
      </w:r>
      <w:r>
        <w:rPr>
          <w:rFonts w:hint="eastAsia" w:ascii="Times New Roman" w:hAnsi="Times New Roman" w:cs="Times New Roman"/>
          <w:spacing w:val="0"/>
          <w:szCs w:val="21"/>
        </w:rPr>
        <w:t>1台1机1流高性能连铸机及配套设施，60%钢水以连铸机生产铸坯，其余40%钢水</w:t>
      </w:r>
      <w:r>
        <w:rPr>
          <w:rFonts w:ascii="Times New Roman" w:hAnsi="Times New Roman" w:cs="Times New Roman"/>
          <w:spacing w:val="0"/>
          <w:szCs w:val="21"/>
        </w:rPr>
        <w:t>仍</w:t>
      </w:r>
      <w:r>
        <w:rPr>
          <w:rFonts w:hint="eastAsia" w:ascii="Times New Roman" w:hAnsi="Times New Roman" w:cs="Times New Roman"/>
          <w:spacing w:val="0"/>
          <w:szCs w:val="21"/>
        </w:rPr>
        <w:t>模铸铸成钢锭</w:t>
      </w:r>
      <w:r>
        <w:rPr>
          <w:rFonts w:ascii="Times New Roman" w:hAnsi="Times New Roman" w:cs="Times New Roman"/>
          <w:spacing w:val="0"/>
          <w:szCs w:val="21"/>
        </w:rPr>
        <w:t>，</w:t>
      </w:r>
      <w:r>
        <w:rPr>
          <w:rFonts w:hint="eastAsia" w:ascii="Times New Roman" w:hAnsi="Times New Roman" w:cs="Times New Roman"/>
          <w:spacing w:val="0"/>
        </w:rPr>
        <w:t>项目</w:t>
      </w:r>
      <w:r>
        <w:rPr>
          <w:rFonts w:ascii="Times New Roman" w:hAnsi="Times New Roman" w:cs="Times New Roman"/>
          <w:spacing w:val="0"/>
        </w:rPr>
        <w:t>实施</w:t>
      </w:r>
      <w:r>
        <w:rPr>
          <w:rFonts w:hint="eastAsia" w:ascii="Times New Roman" w:hAnsi="Times New Roman" w:cs="Times New Roman"/>
          <w:spacing w:val="0"/>
        </w:rPr>
        <w:t>前后不新增总量。</w:t>
      </w:r>
    </w:p>
    <w:p>
      <w:pPr>
        <w:pStyle w:val="3"/>
        <w:numPr>
          <w:ilvl w:val="1"/>
          <w:numId w:val="21"/>
        </w:numPr>
        <w:rPr>
          <w:rFonts w:ascii="Times New Roman" w:hAnsi="Times New Roman"/>
        </w:rPr>
      </w:pPr>
      <w:bookmarkStart w:id="34" w:name="_Toc345257119"/>
      <w:bookmarkStart w:id="35" w:name="_Toc424723240"/>
      <w:bookmarkStart w:id="36" w:name="_Toc10637127"/>
      <w:bookmarkStart w:id="37" w:name="_Toc441565237"/>
      <w:bookmarkStart w:id="38" w:name="_Toc325024871"/>
      <w:bookmarkStart w:id="39" w:name="_Toc394305086"/>
      <w:r>
        <w:rPr>
          <w:rFonts w:ascii="Times New Roman" w:hAnsi="Times New Roman"/>
        </w:rPr>
        <w:t>评价工作程序</w:t>
      </w:r>
      <w:bookmarkEnd w:id="34"/>
      <w:bookmarkEnd w:id="35"/>
      <w:bookmarkEnd w:id="36"/>
      <w:bookmarkEnd w:id="37"/>
      <w:bookmarkEnd w:id="38"/>
      <w:bookmarkEnd w:id="39"/>
    </w:p>
    <w:p>
      <w:pPr>
        <w:pStyle w:val="712"/>
        <w:rPr>
          <w:rFonts w:ascii="Times New Roman" w:hAnsi="Times New Roman" w:cs="Times New Roman"/>
          <w:spacing w:val="0"/>
        </w:rPr>
      </w:pPr>
      <w:r>
        <w:rPr>
          <w:rFonts w:ascii="Times New Roman" w:hAnsi="Times New Roman" w:cs="Times New Roman"/>
          <w:spacing w:val="0"/>
        </w:rPr>
        <w:t>评价工作分三个阶段：</w:t>
      </w:r>
    </w:p>
    <w:p>
      <w:pPr>
        <w:pStyle w:val="4"/>
        <w:rPr>
          <w:rFonts w:ascii="Times New Roman" w:hAnsi="Times New Roman" w:cs="Times New Roman"/>
          <w:spacing w:val="0"/>
        </w:rPr>
      </w:pPr>
      <w:r>
        <w:rPr>
          <w:rFonts w:ascii="Times New Roman" w:hAnsi="Times New Roman" w:cs="Times New Roman"/>
          <w:spacing w:val="0"/>
        </w:rPr>
        <w:t>1．前期准备、调研和工作方案阶段</w:t>
      </w:r>
    </w:p>
    <w:p>
      <w:pPr>
        <w:pStyle w:val="4"/>
        <w:rPr>
          <w:rFonts w:ascii="Times New Roman" w:hAnsi="Times New Roman" w:cs="Times New Roman"/>
          <w:spacing w:val="0"/>
        </w:rPr>
      </w:pPr>
      <w:r>
        <w:rPr>
          <w:rFonts w:ascii="Times New Roman" w:hAnsi="Times New Roman" w:cs="Times New Roman"/>
          <w:spacing w:val="0"/>
        </w:rPr>
        <w:t>接受委托后，收集及研究相关工程相关资料，进行初步工程分析，开展环境状况调查，进行环境影响因素识别、评价因子筛选、确评价重点和环境保护目标，确定工作等级、评价范围及评价标准，制定工作方案；</w:t>
      </w:r>
    </w:p>
    <w:p>
      <w:pPr>
        <w:pStyle w:val="4"/>
        <w:rPr>
          <w:rFonts w:ascii="Times New Roman" w:hAnsi="Times New Roman" w:cs="Times New Roman"/>
          <w:spacing w:val="0"/>
        </w:rPr>
      </w:pPr>
      <w:r>
        <w:rPr>
          <w:rFonts w:ascii="Times New Roman" w:hAnsi="Times New Roman" w:cs="Times New Roman"/>
          <w:spacing w:val="0"/>
        </w:rPr>
        <w:t>2．分析论证和预测评价阶段</w:t>
      </w:r>
    </w:p>
    <w:p>
      <w:pPr>
        <w:pStyle w:val="4"/>
        <w:rPr>
          <w:rFonts w:ascii="Times New Roman" w:hAnsi="Times New Roman" w:cs="Times New Roman"/>
          <w:spacing w:val="0"/>
        </w:rPr>
      </w:pPr>
      <w:r>
        <w:rPr>
          <w:rFonts w:ascii="Times New Roman" w:hAnsi="Times New Roman" w:cs="Times New Roman"/>
          <w:spacing w:val="0"/>
        </w:rPr>
        <w:t>对项目进行工程分析，并同时对评价范围内的环境状况进行调查、监测和评价，各环境要素进行环境影响预测与评价；</w:t>
      </w:r>
    </w:p>
    <w:p>
      <w:pPr>
        <w:pStyle w:val="4"/>
        <w:rPr>
          <w:rFonts w:ascii="Times New Roman" w:hAnsi="Times New Roman" w:cs="Times New Roman"/>
          <w:spacing w:val="0"/>
        </w:rPr>
      </w:pPr>
      <w:r>
        <w:rPr>
          <w:rFonts w:ascii="Times New Roman" w:hAnsi="Times New Roman" w:cs="Times New Roman"/>
          <w:spacing w:val="0"/>
        </w:rPr>
        <w:t>3．环境影响评价文件编制阶段</w:t>
      </w:r>
    </w:p>
    <w:p>
      <w:pPr>
        <w:pStyle w:val="4"/>
        <w:rPr>
          <w:rFonts w:ascii="Times New Roman" w:hAnsi="Times New Roman" w:cs="Times New Roman"/>
          <w:spacing w:val="0"/>
        </w:rPr>
      </w:pPr>
      <w:r>
        <w:rPr>
          <w:rFonts w:ascii="Times New Roman" w:hAnsi="Times New Roman" w:cs="Times New Roman"/>
          <w:spacing w:val="0"/>
        </w:rPr>
        <w:t>根据建设项目对环境的影响程度和范围，提出切实可行的环保措施，并进行技术经济论证，给出建设项目环境可行性的评价结论，编制环境影响评价文件。</w:t>
      </w:r>
    </w:p>
    <w:p>
      <w:pPr>
        <w:pStyle w:val="3"/>
        <w:numPr>
          <w:ilvl w:val="1"/>
          <w:numId w:val="21"/>
        </w:numPr>
        <w:rPr>
          <w:rFonts w:ascii="Times New Roman" w:hAnsi="Times New Roman"/>
        </w:rPr>
      </w:pPr>
      <w:bookmarkStart w:id="40" w:name="_Toc10637128"/>
      <w:r>
        <w:rPr>
          <w:rFonts w:ascii="Times New Roman" w:hAnsi="Times New Roman"/>
        </w:rPr>
        <w:t>分析判定相关情况</w:t>
      </w:r>
      <w:bookmarkEnd w:id="40"/>
    </w:p>
    <w:p>
      <w:pPr>
        <w:pStyle w:val="4"/>
        <w:spacing w:line="480" w:lineRule="exact"/>
        <w:rPr>
          <w:rFonts w:ascii="Times New Roman" w:hAnsi="Times New Roman" w:cs="Times New Roman"/>
          <w:spacing w:val="0"/>
        </w:rPr>
      </w:pPr>
      <w:r>
        <w:rPr>
          <w:rFonts w:ascii="Times New Roman" w:hAnsi="Times New Roman" w:cs="Times New Roman"/>
          <w:spacing w:val="0"/>
        </w:rPr>
        <w:t>我公司在报告编制前，对项目选址、产业政策等合理性方面进行了初步判定，具体为：</w:t>
      </w:r>
    </w:p>
    <w:p>
      <w:pPr>
        <w:pStyle w:val="4"/>
        <w:spacing w:line="480" w:lineRule="exact"/>
        <w:rPr>
          <w:rFonts w:ascii="Times New Roman" w:hAnsi="Times New Roman" w:cs="Times New Roman"/>
          <w:spacing w:val="0"/>
        </w:rPr>
      </w:pPr>
      <w:r>
        <w:rPr>
          <w:rFonts w:ascii="Times New Roman" w:hAnsi="Times New Roman" w:cs="Times New Roman"/>
          <w:spacing w:val="0"/>
        </w:rPr>
        <w:t>1、土地利用规划和城乡总体规划符合性判定</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项目选址位于湖州市经济技术开发区杨家埠霅水桥路618号，根据不动产权证书及土地证，建设用地为工业用地；</w:t>
      </w:r>
      <w:r>
        <w:rPr>
          <w:rFonts w:hint="eastAsia" w:ascii="Times New Roman" w:hAnsi="Times New Roman" w:cs="Times New Roman" w:eastAsiaTheme="minorEastAsia"/>
          <w:spacing w:val="0"/>
          <w:szCs w:val="28"/>
          <w:lang w:val="zh-CN"/>
        </w:rPr>
        <w:t>符合《湖州市城市总体规划(2017-2035年)》、</w:t>
      </w:r>
      <w:r>
        <w:rPr>
          <w:rFonts w:hint="eastAsia" w:ascii="Times New Roman" w:hAnsi="Times New Roman" w:cs="Times New Roman" w:eastAsiaTheme="minorEastAsia"/>
          <w:spacing w:val="0"/>
        </w:rPr>
        <w:t>《</w:t>
      </w:r>
      <w:r>
        <w:rPr>
          <w:spacing w:val="0"/>
          <w:szCs w:val="24"/>
        </w:rPr>
        <w:t>湖州南太湖产业集聚区</w:t>
      </w:r>
      <w:r>
        <w:rPr>
          <w:rFonts w:hint="eastAsia"/>
          <w:spacing w:val="0"/>
          <w:szCs w:val="24"/>
        </w:rPr>
        <w:t>杨家埠及枢纽片区</w:t>
      </w:r>
      <w:r>
        <w:rPr>
          <w:spacing w:val="0"/>
          <w:szCs w:val="24"/>
        </w:rPr>
        <w:t>控制性详细规划</w:t>
      </w:r>
      <w:r>
        <w:rPr>
          <w:rFonts w:hint="eastAsia" w:ascii="Times New Roman" w:hAnsi="Times New Roman" w:cs="Times New Roman" w:eastAsiaTheme="minorEastAsia"/>
          <w:spacing w:val="0"/>
        </w:rPr>
        <w:t>》</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2、环境功能区划符合性判定</w:t>
      </w:r>
    </w:p>
    <w:p>
      <w:pPr>
        <w:pStyle w:val="835"/>
        <w:spacing w:before="0" w:line="480" w:lineRule="exact"/>
        <w:ind w:firstLine="486"/>
        <w:rPr>
          <w:rFonts w:ascii="Times New Roman" w:hAnsi="Times New Roman"/>
          <w:bCs/>
        </w:rPr>
      </w:pPr>
      <w:r>
        <w:rPr>
          <w:rFonts w:ascii="Times New Roman" w:hAnsi="Times New Roman"/>
        </w:rPr>
        <w:t>根据《</w:t>
      </w:r>
      <w:r>
        <w:rPr>
          <w:rFonts w:hint="eastAsia" w:ascii="Times New Roman" w:hAnsi="Times New Roman"/>
        </w:rPr>
        <w:t>湖州</w:t>
      </w:r>
      <w:r>
        <w:rPr>
          <w:rFonts w:ascii="Times New Roman" w:hAnsi="Times New Roman"/>
        </w:rPr>
        <w:t>市</w:t>
      </w:r>
      <w:r>
        <w:rPr>
          <w:rFonts w:hint="eastAsia" w:ascii="Times New Roman" w:hAnsi="Times New Roman"/>
        </w:rPr>
        <w:t>区</w:t>
      </w:r>
      <w:r>
        <w:rPr>
          <w:rFonts w:ascii="Times New Roman" w:hAnsi="Times New Roman"/>
        </w:rPr>
        <w:t>环境功能区划》，项目所在地位于</w:t>
      </w:r>
      <w:r>
        <w:rPr>
          <w:rFonts w:hint="eastAsia" w:ascii="Times New Roman" w:hAnsi="Times New Roman"/>
          <w:bCs/>
        </w:rPr>
        <w:t>国家开发区环境重点</w:t>
      </w:r>
      <w:r>
        <w:rPr>
          <w:rFonts w:ascii="Times New Roman" w:hAnsi="Times New Roman"/>
          <w:bCs/>
        </w:rPr>
        <w:t>准入区(050</w:t>
      </w:r>
      <w:r>
        <w:rPr>
          <w:rFonts w:hint="eastAsia" w:ascii="Times New Roman" w:hAnsi="Times New Roman"/>
          <w:bCs/>
        </w:rPr>
        <w:t>2</w:t>
      </w:r>
      <w:r>
        <w:rPr>
          <w:rFonts w:ascii="Times New Roman" w:hAnsi="Times New Roman"/>
          <w:bCs/>
        </w:rPr>
        <w:t>-</w:t>
      </w:r>
      <w:r>
        <w:rPr>
          <w:rFonts w:hint="eastAsia" w:ascii="宋体" w:hAnsi="宋体"/>
          <w:bCs/>
        </w:rPr>
        <w:t>Ⅵ</w:t>
      </w:r>
      <w:r>
        <w:rPr>
          <w:rFonts w:ascii="Times New Roman" w:hAnsi="Times New Roman"/>
          <w:bCs/>
        </w:rPr>
        <w:t>-0-</w:t>
      </w:r>
      <w:r>
        <w:rPr>
          <w:rFonts w:hint="eastAsia" w:ascii="Times New Roman" w:hAnsi="Times New Roman"/>
          <w:bCs/>
        </w:rPr>
        <w:t>1</w:t>
      </w:r>
      <w:r>
        <w:rPr>
          <w:rFonts w:ascii="Times New Roman" w:hAnsi="Times New Roman"/>
          <w:bCs/>
        </w:rPr>
        <w:t>)</w:t>
      </w:r>
      <w:r>
        <w:rPr>
          <w:rFonts w:hint="eastAsia" w:ascii="Times New Roman" w:hAnsi="Times New Roman"/>
          <w:bCs/>
        </w:rPr>
        <w:t>。本项目不新增炼钢产能，为现有工程技改（技改内容为进行精炼和连铸），属于炼钢行业，为三类工业。项目无生产废水排放，不新增</w:t>
      </w:r>
      <w:r>
        <w:rPr>
          <w:rFonts w:hint="eastAsia" w:ascii="Times New Roman"/>
        </w:rPr>
        <w:t>水污染物排放和</w:t>
      </w:r>
      <w:r>
        <w:rPr>
          <w:rFonts w:hint="eastAsia" w:ascii="Times New Roman" w:hAnsi="Times New Roman"/>
          <w:bCs/>
        </w:rPr>
        <w:t>水环境风险；企业现有废水纳入市政截污管网，由凤凰污水处理厂处理后排放。项目距离西苕溪1250m，因此项目建设符合该环境功能小区的管控措施要求，且未列入负面清单。</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综上，项目建设符合</w:t>
      </w:r>
      <w:r>
        <w:rPr>
          <w:rFonts w:hint="eastAsia" w:ascii="Times New Roman" w:hAnsi="Times New Roman"/>
        </w:rPr>
        <w:t>湖州</w:t>
      </w:r>
      <w:r>
        <w:rPr>
          <w:rFonts w:ascii="Times New Roman" w:hAnsi="Times New Roman"/>
        </w:rPr>
        <w:t>市</w:t>
      </w:r>
      <w:r>
        <w:rPr>
          <w:rFonts w:hint="eastAsia" w:ascii="Times New Roman" w:hAnsi="Times New Roman"/>
        </w:rPr>
        <w:t>区</w:t>
      </w:r>
      <w:r>
        <w:rPr>
          <w:rFonts w:ascii="Times New Roman" w:hAnsi="Times New Roman"/>
        </w:rPr>
        <w:t>环境功能区划</w:t>
      </w:r>
      <w:r>
        <w:rPr>
          <w:rFonts w:hint="eastAsia" w:ascii="Times New Roman" w:hAnsi="Times New Roman" w:cs="Times New Roman"/>
          <w:spacing w:val="0"/>
        </w:rPr>
        <w:t>要求</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3、产业政策符合性判定</w:t>
      </w:r>
    </w:p>
    <w:p>
      <w:pPr>
        <w:pStyle w:val="4"/>
        <w:spacing w:line="480" w:lineRule="exact"/>
        <w:rPr>
          <w:rFonts w:ascii="Times New Roman" w:hAnsi="Times New Roman" w:cs="Times New Roman"/>
          <w:spacing w:val="0"/>
        </w:rPr>
      </w:pPr>
      <w:r>
        <w:rPr>
          <w:rFonts w:ascii="Times New Roman" w:hAnsi="Times New Roman" w:cs="Times New Roman"/>
          <w:spacing w:val="0"/>
        </w:rPr>
        <w:t>(1)国家产业政策</w:t>
      </w:r>
    </w:p>
    <w:p>
      <w:pPr>
        <w:pStyle w:val="4"/>
        <w:spacing w:line="480" w:lineRule="exact"/>
        <w:rPr>
          <w:rFonts w:ascii="Times New Roman" w:hAnsi="Times New Roman" w:cs="Times New Roman"/>
          <w:spacing w:val="0"/>
        </w:rPr>
      </w:pPr>
      <w:r>
        <w:rPr>
          <w:rFonts w:ascii="Times New Roman" w:hAnsi="Times New Roman" w:cs="Times New Roman"/>
          <w:spacing w:val="0"/>
        </w:rPr>
        <w:t>项目为特殊钢生产，根据国家发展和改革委员会令第21号《产业结构调整指导目录》（2013年修正），本项目属于鼓励类</w:t>
      </w:r>
      <w:r>
        <w:rPr>
          <w:rFonts w:cs="Times New Roman" w:asciiTheme="minorEastAsia" w:hAnsiTheme="minorEastAsia" w:eastAsiaTheme="minorEastAsia"/>
          <w:spacing w:val="0"/>
        </w:rPr>
        <w:t>项</w:t>
      </w:r>
      <w:r>
        <w:rPr>
          <w:rFonts w:ascii="Times New Roman" w:hAnsi="Times New Roman" w:cs="Times New Roman"/>
          <w:spacing w:val="0"/>
        </w:rPr>
        <w:t>目。</w:t>
      </w:r>
      <w:r>
        <w:rPr>
          <w:rFonts w:hint="eastAsia" w:ascii="Times New Roman" w:hAnsi="Times New Roman" w:cs="Times New Roman"/>
          <w:spacing w:val="0"/>
        </w:rPr>
        <w:t>根据分析可知本项目不新增钢铁产能，符合各项政策要求，因此项目建设符合《国务院关于钢铁行业化解过剩产能实现脱困发展的意见》(国发[2016]6号文)要求。本项目不新增钢铁产能且未列入产能置换方案，因此符合《钢铁工业调整升级规划（2016-2020年）》要求。</w:t>
      </w:r>
    </w:p>
    <w:p>
      <w:pPr>
        <w:pStyle w:val="4"/>
        <w:spacing w:line="480" w:lineRule="exact"/>
        <w:rPr>
          <w:rFonts w:ascii="Times New Roman" w:hAnsi="Times New Roman" w:cs="Times New Roman"/>
          <w:spacing w:val="0"/>
        </w:rPr>
      </w:pPr>
      <w:r>
        <w:rPr>
          <w:rFonts w:ascii="Times New Roman" w:hAnsi="Times New Roman" w:cs="Times New Roman"/>
          <w:spacing w:val="0"/>
        </w:rPr>
        <w:t>(2)</w:t>
      </w:r>
      <w:r>
        <w:rPr>
          <w:rFonts w:hint="eastAsia" w:ascii="Times New Roman" w:hAnsi="Times New Roman" w:cs="Times New Roman"/>
          <w:spacing w:val="0"/>
        </w:rPr>
        <w:t>湖州市产业政策</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项目不属于《湖州市产业发展导向目录（2012 年本）》中限制发展、禁止及淘汰类项目，为允许类项目。</w:t>
      </w:r>
    </w:p>
    <w:p>
      <w:pPr>
        <w:pStyle w:val="4"/>
        <w:spacing w:line="480" w:lineRule="exact"/>
        <w:rPr>
          <w:rFonts w:ascii="Times New Roman" w:hAnsi="Times New Roman" w:cs="Times New Roman"/>
          <w:spacing w:val="0"/>
        </w:rPr>
      </w:pPr>
      <w:r>
        <w:rPr>
          <w:rFonts w:ascii="Times New Roman" w:hAnsi="Times New Roman" w:cs="Times New Roman"/>
          <w:spacing w:val="0"/>
        </w:rPr>
        <w:t>(3)</w:t>
      </w:r>
      <w:r>
        <w:rPr>
          <w:rFonts w:hint="eastAsia" w:ascii="Times New Roman" w:hAnsi="Times New Roman" w:cs="Times New Roman"/>
          <w:spacing w:val="0"/>
        </w:rPr>
        <w:t>其他要求</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w:t>
      </w:r>
      <w:r>
        <w:rPr>
          <w:rFonts w:ascii="Times New Roman" w:hAnsi="Times New Roman" w:cs="Times New Roman"/>
          <w:spacing w:val="0"/>
        </w:rPr>
        <w:t>建设符合</w:t>
      </w:r>
      <w:r>
        <w:rPr>
          <w:rFonts w:hint="eastAsia" w:ascii="Times New Roman" w:hAnsi="Times New Roman" w:cs="Times New Roman"/>
          <w:spacing w:val="0"/>
        </w:rPr>
        <w:t>《钢铁行业规范条件》（2015年修订）、</w:t>
      </w:r>
      <w:r>
        <w:rPr>
          <w:rFonts w:ascii="Times New Roman" w:hAnsi="Times New Roman" w:cs="Times New Roman"/>
          <w:spacing w:val="0"/>
          <w:lang w:val="zh-CN"/>
        </w:rPr>
        <w:t>《关于规范火电等七个行业建设项目环境影响评价文件审批的通知》 (环办[2015]112号)中的</w:t>
      </w:r>
      <w:r>
        <w:rPr>
          <w:rFonts w:ascii="Times New Roman" w:hAnsi="Times New Roman" w:cs="Times New Roman"/>
          <w:spacing w:val="0"/>
        </w:rPr>
        <w:t>《钢铁建设项目环境影响评价文件审批原则（试行）》</w:t>
      </w:r>
      <w:r>
        <w:rPr>
          <w:rFonts w:hint="eastAsia" w:ascii="Times New Roman" w:hAnsi="Times New Roman" w:cs="Times New Roman"/>
          <w:spacing w:val="0"/>
        </w:rPr>
        <w:t>；符合《浙江省人民政府办公厅关于印发浙江省钢铁行业化解过剩产能实现脱困发展实施方案的通知》(浙政办发[2016]59号文)；</w:t>
      </w:r>
      <w:r>
        <w:rPr>
          <w:rFonts w:hint="eastAsia" w:ascii="Times New Roman" w:hAnsi="Times New Roman"/>
          <w:spacing w:val="0"/>
        </w:rPr>
        <w:t>符合</w:t>
      </w:r>
      <w:r>
        <w:rPr>
          <w:rFonts w:hint="eastAsia" w:ascii="Times New Roman" w:hAnsi="Times New Roman" w:cs="Times New Roman"/>
          <w:spacing w:val="0"/>
        </w:rPr>
        <w:t>《国务院关于印发打赢蓝天保卫战三年行动计划的通知》（国发[2018]22号）</w:t>
      </w:r>
      <w:r>
        <w:rPr>
          <w:rFonts w:ascii="Times New Roman" w:hAnsi="Times New Roman" w:cs="Times New Roman"/>
          <w:spacing w:val="0"/>
        </w:rPr>
        <w:t>要求</w:t>
      </w:r>
      <w:r>
        <w:rPr>
          <w:rFonts w:hint="eastAsia" w:ascii="Times New Roman" w:hAnsi="Times New Roman" w:cs="Times New Roman"/>
          <w:spacing w:val="0"/>
        </w:rPr>
        <w:t>；</w:t>
      </w:r>
      <w:r>
        <w:rPr>
          <w:rFonts w:hint="eastAsia" w:ascii="Times New Roman" w:hAnsi="Times New Roman"/>
          <w:spacing w:val="0"/>
        </w:rPr>
        <w:t>符合</w:t>
      </w:r>
      <w:r>
        <w:rPr>
          <w:rFonts w:hint="eastAsia" w:ascii="Times New Roman" w:hAnsi="Times New Roman" w:cs="Times New Roman"/>
          <w:spacing w:val="0"/>
        </w:rPr>
        <w:t>《浙江省</w:t>
      </w:r>
      <w:r>
        <w:rPr>
          <w:rFonts w:ascii="Times New Roman" w:hAnsi="Times New Roman" w:cs="Times New Roman"/>
          <w:spacing w:val="0"/>
        </w:rPr>
        <w:t>人民政府关于印发浙江省打赢蓝天保卫战三年行动计划的通知</w:t>
      </w:r>
      <w:r>
        <w:rPr>
          <w:rFonts w:hint="eastAsia" w:ascii="Times New Roman" w:hAnsi="Times New Roman" w:cs="Times New Roman"/>
          <w:spacing w:val="0"/>
        </w:rPr>
        <w:t>》(浙政发[2018]35号)</w:t>
      </w:r>
      <w:r>
        <w:rPr>
          <w:rFonts w:ascii="Times New Roman" w:hAnsi="Times New Roman" w:cs="Times New Roman"/>
          <w:spacing w:val="0"/>
        </w:rPr>
        <w:t>要求</w:t>
      </w:r>
      <w:r>
        <w:rPr>
          <w:rFonts w:hint="eastAsia"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综上所述，本项目建设符合国家、浙江省产业政策及相关行业要求。</w:t>
      </w:r>
    </w:p>
    <w:p>
      <w:pPr>
        <w:pStyle w:val="4"/>
        <w:spacing w:line="480" w:lineRule="exact"/>
        <w:rPr>
          <w:rFonts w:ascii="Times New Roman" w:hAnsi="Times New Roman" w:cs="Times New Roman"/>
          <w:spacing w:val="0"/>
        </w:rPr>
      </w:pPr>
      <w:r>
        <w:rPr>
          <w:rFonts w:ascii="Times New Roman" w:hAnsi="Times New Roman" w:cs="Times New Roman"/>
          <w:spacing w:val="0"/>
        </w:rPr>
        <w:t>5、“三线一单”对照情况</w:t>
      </w:r>
    </w:p>
    <w:p>
      <w:pPr>
        <w:pStyle w:val="4"/>
        <w:spacing w:line="480" w:lineRule="exact"/>
        <w:rPr>
          <w:rFonts w:ascii="Times New Roman" w:hAnsi="Times New Roman" w:cs="Times New Roman"/>
          <w:spacing w:val="0"/>
        </w:rPr>
      </w:pPr>
      <w:r>
        <w:rPr>
          <w:rFonts w:hint="eastAsia" w:ascii="宋体" w:hAnsi="宋体" w:cs="宋体"/>
          <w:spacing w:val="0"/>
        </w:rPr>
        <w:t>①</w:t>
      </w:r>
      <w:r>
        <w:rPr>
          <w:rFonts w:ascii="Times New Roman" w:hAnsi="Times New Roman" w:cs="Times New Roman"/>
          <w:spacing w:val="0"/>
        </w:rPr>
        <w:t>生态保护红线</w:t>
      </w:r>
    </w:p>
    <w:p>
      <w:pPr>
        <w:pStyle w:val="4"/>
        <w:spacing w:line="480" w:lineRule="exact"/>
        <w:rPr>
          <w:rFonts w:ascii="Times New Roman" w:hAnsi="Times New Roman" w:cs="Times New Roman"/>
          <w:spacing w:val="0"/>
        </w:rPr>
      </w:pPr>
      <w:r>
        <w:rPr>
          <w:rFonts w:ascii="Times New Roman" w:hAnsi="Times New Roman" w:cs="Times New Roman"/>
          <w:spacing w:val="0"/>
        </w:rPr>
        <w:t>项目位于</w:t>
      </w:r>
      <w:r>
        <w:rPr>
          <w:rFonts w:hint="eastAsia" w:ascii="Times New Roman" w:hAnsi="Times New Roman" w:cs="Times New Roman"/>
          <w:spacing w:val="0"/>
        </w:rPr>
        <w:t>湖州市经济技术开发区杨家埠霅水桥路618号</w:t>
      </w:r>
      <w:r>
        <w:rPr>
          <w:rFonts w:ascii="Times New Roman" w:hAnsi="Times New Roman" w:cs="Times New Roman"/>
          <w:spacing w:val="0"/>
        </w:rPr>
        <w:t>，项目用地为工业用地，</w:t>
      </w:r>
      <w:r>
        <w:rPr>
          <w:rFonts w:hint="eastAsia" w:ascii="Times New Roman" w:hAnsi="Times New Roman" w:cs="Times New Roman"/>
          <w:spacing w:val="0"/>
        </w:rPr>
        <w:t>且</w:t>
      </w:r>
      <w:r>
        <w:rPr>
          <w:rFonts w:ascii="Times New Roman" w:hAnsi="Times New Roman" w:cs="Times New Roman"/>
          <w:spacing w:val="0"/>
        </w:rPr>
        <w:t>不在当地饮用水源、风景区、自然保护区等生态保护区内，不涉及</w:t>
      </w:r>
      <w:r>
        <w:rPr>
          <w:rFonts w:hint="eastAsia" w:ascii="Times New Roman" w:hAnsi="Times New Roman" w:cs="Times New Roman"/>
          <w:spacing w:val="0"/>
        </w:rPr>
        <w:t>湖州市区环境功能区划</w:t>
      </w:r>
      <w:r>
        <w:rPr>
          <w:rFonts w:ascii="Times New Roman" w:hAnsi="Times New Roman" w:cs="Times New Roman"/>
          <w:spacing w:val="0"/>
        </w:rPr>
        <w:t>等相关文件划定的生态保护红线。同时根据浙政发[2018]30号《浙江省人民政府关于发布浙江省生态保护红线的通知》</w:t>
      </w:r>
      <w:r>
        <w:rPr>
          <w:rFonts w:hint="eastAsia" w:ascii="Times New Roman" w:hAnsi="Times New Roman" w:cs="Times New Roman"/>
          <w:spacing w:val="0"/>
        </w:rPr>
        <w:t>和《湖州市生态保护红线图》(详见附图9)</w:t>
      </w:r>
      <w:r>
        <w:rPr>
          <w:rFonts w:ascii="Times New Roman" w:hAnsi="Times New Roman" w:cs="Times New Roman"/>
          <w:spacing w:val="0"/>
        </w:rPr>
        <w:t>，项目所在地不在</w:t>
      </w:r>
      <w:r>
        <w:rPr>
          <w:rFonts w:hint="eastAsia" w:ascii="Times New Roman" w:hAnsi="Times New Roman" w:cs="Times New Roman"/>
          <w:spacing w:val="0"/>
        </w:rPr>
        <w:t>浙江省</w:t>
      </w:r>
      <w:r>
        <w:rPr>
          <w:rFonts w:ascii="Times New Roman" w:hAnsi="Times New Roman" w:cs="Times New Roman"/>
          <w:spacing w:val="0"/>
        </w:rPr>
        <w:t>生态保护红线</w:t>
      </w:r>
      <w:r>
        <w:rPr>
          <w:rFonts w:hint="eastAsia" w:ascii="Times New Roman" w:hAnsi="Times New Roman" w:cs="Times New Roman"/>
          <w:spacing w:val="0"/>
        </w:rPr>
        <w:t>和湖州市生态保护红线范围内。综上所述，</w:t>
      </w:r>
      <w:r>
        <w:rPr>
          <w:rFonts w:ascii="Times New Roman" w:hAnsi="Times New Roman" w:cs="Times New Roman"/>
          <w:spacing w:val="0"/>
        </w:rPr>
        <w:t>项目不</w:t>
      </w:r>
      <w:r>
        <w:rPr>
          <w:rFonts w:hint="eastAsia" w:ascii="Times New Roman" w:hAnsi="Times New Roman" w:cs="Times New Roman"/>
          <w:spacing w:val="0"/>
        </w:rPr>
        <w:t>涉及</w:t>
      </w:r>
      <w:r>
        <w:rPr>
          <w:rFonts w:ascii="Times New Roman" w:hAnsi="Times New Roman" w:cs="Times New Roman"/>
          <w:spacing w:val="0"/>
        </w:rPr>
        <w:t>生态保护红线。</w:t>
      </w:r>
    </w:p>
    <w:p>
      <w:pPr>
        <w:pStyle w:val="4"/>
        <w:spacing w:line="480" w:lineRule="exact"/>
        <w:rPr>
          <w:rFonts w:ascii="Times New Roman" w:hAnsi="Times New Roman" w:cs="Times New Roman"/>
          <w:spacing w:val="0"/>
        </w:rPr>
      </w:pPr>
      <w:r>
        <w:rPr>
          <w:rFonts w:hint="eastAsia" w:ascii="宋体" w:hAnsi="宋体" w:cs="宋体"/>
          <w:spacing w:val="0"/>
        </w:rPr>
        <w:t>②</w:t>
      </w:r>
      <w:r>
        <w:rPr>
          <w:rFonts w:ascii="Times New Roman" w:hAnsi="Times New Roman" w:cs="Times New Roman"/>
          <w:spacing w:val="0"/>
        </w:rPr>
        <w:t>环境质量底线</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根据《湖州市201</w:t>
      </w:r>
      <w:r>
        <w:rPr>
          <w:rFonts w:ascii="Times New Roman" w:hAnsi="Times New Roman" w:cs="Times New Roman"/>
          <w:spacing w:val="0"/>
        </w:rPr>
        <w:t>8</w:t>
      </w:r>
      <w:r>
        <w:rPr>
          <w:rFonts w:hint="eastAsia" w:ascii="Times New Roman" w:hAnsi="Times New Roman" w:cs="Times New Roman"/>
          <w:spacing w:val="0"/>
        </w:rPr>
        <w:t>年环境质量公报》，湖州市区除</w:t>
      </w:r>
      <w:r>
        <w:rPr>
          <w:rFonts w:ascii="Times New Roman" w:hAnsi="Times New Roman" w:cs="Times New Roman" w:eastAsiaTheme="minorEastAsia"/>
          <w:spacing w:val="0"/>
          <w:szCs w:val="24"/>
        </w:rPr>
        <w:t>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、O</w:t>
      </w:r>
      <w:r>
        <w:rPr>
          <w:rFonts w:ascii="Times New Roman" w:hAnsi="Times New Roman" w:cs="Times New Roman" w:eastAsiaTheme="minorEastAsia"/>
          <w:spacing w:val="0"/>
          <w:szCs w:val="24"/>
          <w:vertAlign w:val="subscript"/>
        </w:rPr>
        <w:t>3</w:t>
      </w:r>
      <w:r>
        <w:rPr>
          <w:rFonts w:hint="eastAsia" w:ascii="Times New Roman" w:hAnsi="Times New Roman" w:cs="Times New Roman"/>
          <w:spacing w:val="0"/>
        </w:rPr>
        <w:t>外其余基本污染物年均值</w:t>
      </w:r>
      <w:r>
        <w:rPr>
          <w:rFonts w:ascii="Times New Roman" w:hAnsi="Times New Roman" w:cs="Times New Roman"/>
          <w:spacing w:val="0"/>
        </w:rPr>
        <w:t>均符合《环境空气质量标准》(GB3095-2012)及修改单的二级标准</w:t>
      </w:r>
      <w:r>
        <w:rPr>
          <w:rFonts w:hint="eastAsia" w:ascii="Times New Roman" w:hAnsi="Times New Roman" w:cs="Times New Roman"/>
          <w:spacing w:val="0"/>
        </w:rPr>
        <w:t>，为不达标区。</w:t>
      </w:r>
      <w:r>
        <w:rPr>
          <w:rFonts w:ascii="Times New Roman" w:hAnsi="Times New Roman" w:cs="Times New Roman"/>
          <w:spacing w:val="0"/>
          <w:kern w:val="0"/>
          <w:szCs w:val="24"/>
        </w:rPr>
        <w:t>为进一步改善环境空气质量，接下来全市将进一步健全治气工作的体制机制，随着工作的持续推进，区域环境空气质量必将会进一步得到改善</w:t>
      </w:r>
      <w:r>
        <w:rPr>
          <w:rFonts w:hint="eastAsia" w:ascii="Times New Roman" w:hAnsi="Times New Roman" w:cs="Times New Roman"/>
          <w:spacing w:val="0"/>
          <w:kern w:val="0"/>
          <w:szCs w:val="24"/>
        </w:rPr>
        <w:t>。</w:t>
      </w:r>
      <w:r>
        <w:rPr>
          <w:rFonts w:hint="eastAsia" w:ascii="Times New Roman" w:hAnsi="Times New Roman" w:cs="Times New Roman"/>
          <w:spacing w:val="0"/>
        </w:rPr>
        <w:t>项目附近</w:t>
      </w:r>
      <w:r>
        <w:rPr>
          <w:rFonts w:ascii="Times New Roman" w:hAnsi="Times New Roman" w:cs="Times New Roman"/>
          <w:spacing w:val="0"/>
        </w:rPr>
        <w:t>城西水厂监测点位不达标因子为</w:t>
      </w:r>
      <w:r>
        <w:rPr>
          <w:rFonts w:hint="eastAsia" w:ascii="Times New Roman" w:hAnsi="Times New Roman" w:cs="Times New Roman" w:eastAsiaTheme="minorEastAsia"/>
          <w:spacing w:val="0"/>
          <w:szCs w:val="24"/>
        </w:rPr>
        <w:t>NO</w:t>
      </w:r>
      <w:r>
        <w:rPr>
          <w:rFonts w:hint="eastAsia" w:ascii="Times New Roman" w:hAnsi="Times New Roman" w:cs="Times New Roman" w:eastAsiaTheme="minorEastAsia"/>
          <w:spacing w:val="0"/>
          <w:szCs w:val="24"/>
          <w:vertAlign w:val="subscript"/>
        </w:rPr>
        <w:t>2</w:t>
      </w:r>
      <w:r>
        <w:rPr>
          <w:rFonts w:ascii="Times New Roman" w:hAnsi="Times New Roman" w:cs="Times New Roman" w:eastAsiaTheme="minorEastAsia"/>
          <w:spacing w:val="0"/>
          <w:szCs w:val="24"/>
        </w:rPr>
        <w:t>、PM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、O</w:t>
      </w:r>
      <w:r>
        <w:rPr>
          <w:rFonts w:ascii="Times New Roman" w:hAnsi="Times New Roman" w:cs="Times New Roman" w:eastAsiaTheme="minorEastAsia"/>
          <w:spacing w:val="0"/>
          <w:szCs w:val="24"/>
          <w:vertAlign w:val="subscript"/>
        </w:rPr>
        <w:t>3</w:t>
      </w:r>
      <w:r>
        <w:rPr>
          <w:rFonts w:hint="eastAsia" w:ascii="Times New Roman" w:hAnsi="Times New Roman" w:cs="Times New Roman"/>
          <w:spacing w:val="0"/>
        </w:rPr>
        <w:t>。</w:t>
      </w:r>
      <w:r>
        <w:rPr>
          <w:rFonts w:ascii="Times New Roman" w:hAnsi="Times New Roman" w:cs="Times New Roman"/>
          <w:spacing w:val="0"/>
        </w:rPr>
        <w:t>项目建设地附近地表水各监测因子监测值均可以达到《地表水环境质量标准》（GB3838-2002）中的</w:t>
      </w:r>
      <w:r>
        <w:rPr>
          <w:rFonts w:hint="eastAsia" w:ascii="宋体" w:hAnsi="宋体" w:cs="宋体"/>
          <w:spacing w:val="0"/>
        </w:rPr>
        <w:t>Ⅲ</w:t>
      </w:r>
      <w:r>
        <w:rPr>
          <w:rFonts w:ascii="Times New Roman" w:hAnsi="Times New Roman" w:cs="Times New Roman"/>
          <w:spacing w:val="0"/>
        </w:rPr>
        <w:t>类水质标准；地下水环境能够达到《地下水质量标准》(GB/T14848-2017)中的</w:t>
      </w:r>
      <w:r>
        <w:rPr>
          <w:rFonts w:hint="eastAsia" w:ascii="宋体" w:hAnsi="宋体" w:cs="宋体"/>
          <w:spacing w:val="0"/>
        </w:rPr>
        <w:t>Ⅲ</w:t>
      </w:r>
      <w:r>
        <w:rPr>
          <w:rFonts w:ascii="Times New Roman" w:hAnsi="Times New Roman" w:cs="Times New Roman"/>
          <w:spacing w:val="0"/>
        </w:rPr>
        <w:t>类水质标准；区域声环境质量能达《声环境质量标准》</w:t>
      </w:r>
      <w:r>
        <w:rPr>
          <w:rFonts w:hint="eastAsia" w:ascii="Times New Roman" w:hAnsi="Times New Roman" w:cs="Times New Roman"/>
          <w:spacing w:val="0"/>
        </w:rPr>
        <w:t>(</w:t>
      </w:r>
      <w:r>
        <w:rPr>
          <w:rFonts w:ascii="Times New Roman" w:hAnsi="Times New Roman" w:cs="Times New Roman"/>
          <w:spacing w:val="0"/>
        </w:rPr>
        <w:t>GB3096-2008</w:t>
      </w:r>
      <w:r>
        <w:rPr>
          <w:rFonts w:hint="eastAsia" w:ascii="Times New Roman" w:hAnsi="Times New Roman" w:cs="Times New Roman"/>
          <w:spacing w:val="0"/>
        </w:rPr>
        <w:t>)</w:t>
      </w:r>
      <w:r>
        <w:rPr>
          <w:rFonts w:ascii="Times New Roman" w:hAnsi="Times New Roman" w:cs="Times New Roman"/>
          <w:spacing w:val="0"/>
        </w:rPr>
        <w:t>中3</w:t>
      </w:r>
      <w:r>
        <w:rPr>
          <w:rFonts w:hint="eastAsia" w:ascii="Times New Roman" w:hAnsi="Times New Roman" w:cs="Times New Roman"/>
          <w:spacing w:val="0"/>
        </w:rPr>
        <w:t>、</w:t>
      </w:r>
      <w:r>
        <w:rPr>
          <w:rFonts w:ascii="Times New Roman" w:hAnsi="Times New Roman" w:cs="Times New Roman"/>
          <w:spacing w:val="0"/>
        </w:rPr>
        <w:t>4a类标准要求；项目场地</w:t>
      </w:r>
      <w:r>
        <w:rPr>
          <w:rFonts w:hint="eastAsia" w:ascii="Times New Roman" w:hAnsi="Times New Roman" w:cs="Times New Roman"/>
          <w:spacing w:val="0"/>
        </w:rPr>
        <w:t>内</w:t>
      </w:r>
      <w:r>
        <w:rPr>
          <w:rFonts w:ascii="Times New Roman" w:hAnsi="Times New Roman" w:cs="Times New Roman"/>
          <w:spacing w:val="0"/>
        </w:rPr>
        <w:t>土壤各监测指标均能满足《土壤环境质量 建设用地土壤污染风险管控标准(试行)》(GB366600-2018)中第二类用地基本项目</w:t>
      </w:r>
      <w:r>
        <w:rPr>
          <w:rFonts w:hint="eastAsia" w:ascii="Times New Roman" w:hAnsi="Times New Roman" w:cs="Times New Roman"/>
          <w:spacing w:val="0"/>
        </w:rPr>
        <w:t>及</w:t>
      </w:r>
      <w:r>
        <w:rPr>
          <w:rFonts w:ascii="Times New Roman" w:hAnsi="Times New Roman" w:cs="Times New Roman"/>
          <w:spacing w:val="0"/>
        </w:rPr>
        <w:t>二噁英因子的</w:t>
      </w:r>
      <w:r>
        <w:rPr>
          <w:rFonts w:hint="eastAsia" w:ascii="Times New Roman" w:hAnsi="Times New Roman" w:cs="Times New Roman"/>
          <w:spacing w:val="0"/>
        </w:rPr>
        <w:t>风险</w:t>
      </w:r>
      <w:r>
        <w:rPr>
          <w:rFonts w:ascii="Times New Roman" w:hAnsi="Times New Roman" w:cs="Times New Roman"/>
          <w:spacing w:val="0"/>
        </w:rPr>
        <w:t>筛选值标准</w:t>
      </w:r>
      <w:r>
        <w:rPr>
          <w:rFonts w:hint="eastAsia" w:ascii="Times New Roman" w:hAnsi="Times New Roman" w:cs="Times New Roman"/>
          <w:spacing w:val="0"/>
        </w:rPr>
        <w:t>，永兴家园土壤监测值满足《土壤环境质量 建设用地土壤污染风险管控标准（试行）》（G</w:t>
      </w:r>
      <w:r>
        <w:rPr>
          <w:rFonts w:ascii="Times New Roman" w:hAnsi="Times New Roman" w:cs="Times New Roman"/>
          <w:spacing w:val="0"/>
        </w:rPr>
        <w:t>B36600-2018</w:t>
      </w:r>
      <w:r>
        <w:rPr>
          <w:rFonts w:hint="eastAsia" w:ascii="Times New Roman" w:hAnsi="Times New Roman" w:cs="Times New Roman"/>
          <w:spacing w:val="0"/>
        </w:rPr>
        <w:t>）中第一类用地的相关风险筛选值标准；</w:t>
      </w:r>
      <w:r>
        <w:rPr>
          <w:rFonts w:ascii="Times New Roman" w:hAnsi="Times New Roman" w:cs="Times New Roman"/>
          <w:spacing w:val="0"/>
          <w:lang w:val="zh-CN"/>
        </w:rPr>
        <w:t>河道底泥各指标</w:t>
      </w:r>
      <w:r>
        <w:rPr>
          <w:rFonts w:hint="eastAsia" w:ascii="Times New Roman" w:hAnsi="Times New Roman" w:cs="Times New Roman"/>
          <w:spacing w:val="0"/>
          <w:lang w:val="zh-CN"/>
        </w:rPr>
        <w:t>监测值均</w:t>
      </w:r>
      <w:r>
        <w:rPr>
          <w:rFonts w:ascii="Times New Roman" w:hAnsi="Times New Roman" w:cs="Times New Roman"/>
          <w:spacing w:val="0"/>
          <w:lang w:val="zh-CN"/>
        </w:rPr>
        <w:t>低于《土壤环境质量 农用地土壤污染风险管控标准（试行）》（GB15618-2018）的</w:t>
      </w:r>
      <w:r>
        <w:rPr>
          <w:rFonts w:hint="eastAsia" w:ascii="Times New Roman" w:hAnsi="Times New Roman" w:cs="Times New Roman"/>
          <w:spacing w:val="0"/>
          <w:lang w:val="zh-CN"/>
        </w:rPr>
        <w:t>风险</w:t>
      </w:r>
      <w:r>
        <w:rPr>
          <w:rFonts w:ascii="Times New Roman" w:hAnsi="Times New Roman" w:cs="Times New Roman"/>
          <w:spacing w:val="0"/>
          <w:lang w:val="zh-CN"/>
        </w:rPr>
        <w:t>筛选值</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项目</w:t>
      </w:r>
      <w:r>
        <w:rPr>
          <w:rFonts w:hint="eastAsia" w:ascii="Times New Roman" w:hAnsi="Times New Roman" w:cs="Times New Roman"/>
          <w:spacing w:val="0"/>
        </w:rPr>
        <w:t>是对钢水浇注工艺进行技改</w:t>
      </w:r>
      <w:r>
        <w:rPr>
          <w:rFonts w:ascii="Times New Roman" w:hAnsi="Times New Roman" w:cs="Times New Roman"/>
          <w:spacing w:val="0"/>
        </w:rPr>
        <w:t>，营运过程中</w:t>
      </w:r>
      <w:r>
        <w:rPr>
          <w:rFonts w:hint="eastAsia" w:ascii="Times New Roman" w:hAnsi="Times New Roman" w:cs="Times New Roman"/>
          <w:spacing w:val="0"/>
        </w:rPr>
        <w:t>经采取治理措施后各项</w:t>
      </w:r>
      <w:r>
        <w:rPr>
          <w:rFonts w:ascii="Times New Roman" w:hAnsi="Times New Roman" w:cs="Times New Roman"/>
          <w:spacing w:val="0"/>
        </w:rPr>
        <w:t>废气能实现达标排放，根据预测结果最大落地点浓度及敏感目标预测值均能达标，符合环境空气功能区要求；</w:t>
      </w:r>
      <w:r>
        <w:rPr>
          <w:rFonts w:hint="eastAsia" w:ascii="Times New Roman" w:hAnsi="Times New Roman" w:cs="Times New Roman"/>
          <w:spacing w:val="0"/>
        </w:rPr>
        <w:t>项目无废水排放</w:t>
      </w:r>
      <w:r>
        <w:rPr>
          <w:rFonts w:ascii="Times New Roman" w:hAnsi="Times New Roman" w:cs="Times New Roman"/>
          <w:spacing w:val="0"/>
        </w:rPr>
        <w:t>，不会对周边地表水及地下水环境造成不良影响，能维持地表水环境功能区现状；项目设备噪声经隔声降噪后能够做到达标排放，不会改变区域环境功能区要求，能维持声环境功能区现状；其次，环评要求企业积极采取地面硬化、防腐防渗等措施，确保项目污染物不渗入地下水和土壤，对其影响也不大。因此项目建设不触及环境质量底线。</w:t>
      </w:r>
    </w:p>
    <w:p>
      <w:pPr>
        <w:pStyle w:val="4"/>
        <w:spacing w:line="480" w:lineRule="exact"/>
        <w:rPr>
          <w:rFonts w:ascii="Times New Roman" w:hAnsi="Times New Roman" w:cs="Times New Roman"/>
          <w:spacing w:val="0"/>
        </w:rPr>
      </w:pPr>
      <w:r>
        <w:rPr>
          <w:rFonts w:hint="eastAsia" w:ascii="宋体" w:hAnsi="宋体" w:cs="宋体"/>
          <w:spacing w:val="0"/>
        </w:rPr>
        <w:t>③</w:t>
      </w:r>
      <w:r>
        <w:rPr>
          <w:rFonts w:ascii="Times New Roman" w:hAnsi="Times New Roman" w:cs="Times New Roman"/>
          <w:spacing w:val="0"/>
        </w:rPr>
        <w:t>资源利用上线</w:t>
      </w:r>
    </w:p>
    <w:p>
      <w:pPr>
        <w:pStyle w:val="4"/>
        <w:spacing w:line="480" w:lineRule="exact"/>
        <w:rPr>
          <w:rFonts w:ascii="Times New Roman" w:hAnsi="Times New Roman" w:cs="Times New Roman"/>
          <w:spacing w:val="0"/>
        </w:rPr>
      </w:pPr>
      <w:r>
        <w:rPr>
          <w:rFonts w:ascii="Times New Roman" w:hAnsi="Times New Roman" w:cs="Times New Roman"/>
          <w:spacing w:val="0"/>
        </w:rPr>
        <w:t>项目</w:t>
      </w:r>
      <w:r>
        <w:rPr>
          <w:rFonts w:hint="eastAsia" w:ascii="Times New Roman" w:hAnsi="Times New Roman" w:cs="Times New Roman"/>
          <w:spacing w:val="0"/>
        </w:rPr>
        <w:t>不新增</w:t>
      </w:r>
      <w:r>
        <w:rPr>
          <w:rFonts w:ascii="Times New Roman" w:hAnsi="Times New Roman" w:cs="Times New Roman"/>
          <w:spacing w:val="0"/>
        </w:rPr>
        <w:t>用地，用水、用电利用量均在区域水、电资源量范围内，项目</w:t>
      </w:r>
      <w:r>
        <w:rPr>
          <w:rFonts w:hint="eastAsia" w:ascii="Times New Roman" w:hAnsi="Times New Roman" w:cs="Times New Roman"/>
          <w:spacing w:val="0"/>
        </w:rPr>
        <w:t>无</w:t>
      </w:r>
      <w:r>
        <w:rPr>
          <w:rFonts w:ascii="Times New Roman" w:hAnsi="Times New Roman" w:cs="Times New Roman"/>
          <w:spacing w:val="0"/>
        </w:rPr>
        <w:t>废水排放，因此项目不触及资源利用上线。</w:t>
      </w:r>
    </w:p>
    <w:p>
      <w:pPr>
        <w:pStyle w:val="4"/>
        <w:spacing w:line="480" w:lineRule="exact"/>
        <w:rPr>
          <w:rFonts w:ascii="Times New Roman" w:hAnsi="Times New Roman" w:cs="Times New Roman"/>
          <w:spacing w:val="0"/>
        </w:rPr>
      </w:pPr>
      <w:r>
        <w:rPr>
          <w:rFonts w:hint="eastAsia" w:ascii="宋体" w:hAnsi="宋体" w:cs="宋体"/>
          <w:spacing w:val="0"/>
        </w:rPr>
        <w:t>④</w:t>
      </w:r>
      <w:r>
        <w:rPr>
          <w:rFonts w:ascii="Times New Roman" w:hAnsi="Times New Roman" w:cs="Times New Roman"/>
          <w:spacing w:val="0"/>
        </w:rPr>
        <w:t>环境准入负面清单</w:t>
      </w:r>
    </w:p>
    <w:p>
      <w:pPr>
        <w:pStyle w:val="4"/>
        <w:spacing w:line="480" w:lineRule="exact"/>
        <w:rPr>
          <w:rFonts w:ascii="Times New Roman" w:hAnsi="Times New Roman" w:cs="Times New Roman"/>
          <w:spacing w:val="0"/>
        </w:rPr>
      </w:pPr>
      <w:r>
        <w:rPr>
          <w:rFonts w:ascii="Times New Roman" w:hAnsi="Times New Roman" w:cs="Times New Roman"/>
          <w:spacing w:val="0"/>
        </w:rPr>
        <w:t>根据《</w:t>
      </w:r>
      <w:r>
        <w:rPr>
          <w:rFonts w:hint="eastAsia" w:ascii="Times New Roman" w:hAnsi="Times New Roman" w:cs="Times New Roman"/>
          <w:spacing w:val="0"/>
        </w:rPr>
        <w:t>湖州市区环境功能区划</w:t>
      </w:r>
      <w:r>
        <w:rPr>
          <w:rFonts w:ascii="Times New Roman" w:hAnsi="Times New Roman" w:cs="Times New Roman"/>
          <w:spacing w:val="0"/>
        </w:rPr>
        <w:t>》，项目所在地位于</w:t>
      </w:r>
      <w:r>
        <w:rPr>
          <w:rFonts w:hint="eastAsia" w:ascii="Times New Roman" w:hAnsi="Times New Roman"/>
          <w:bCs/>
          <w:spacing w:val="0"/>
        </w:rPr>
        <w:t>国家开发区环境重点</w:t>
      </w:r>
      <w:r>
        <w:rPr>
          <w:rFonts w:ascii="Times New Roman" w:hAnsi="Times New Roman"/>
          <w:bCs/>
          <w:spacing w:val="0"/>
        </w:rPr>
        <w:t>准入区(050</w:t>
      </w:r>
      <w:r>
        <w:rPr>
          <w:rFonts w:hint="eastAsia" w:ascii="Times New Roman" w:hAnsi="Times New Roman"/>
          <w:bCs/>
          <w:spacing w:val="0"/>
        </w:rPr>
        <w:t>2</w:t>
      </w:r>
      <w:r>
        <w:rPr>
          <w:rFonts w:ascii="Times New Roman" w:hAnsi="Times New Roman"/>
          <w:bCs/>
          <w:spacing w:val="0"/>
        </w:rPr>
        <w:t>-</w:t>
      </w:r>
      <w:r>
        <w:rPr>
          <w:rFonts w:hint="eastAsia" w:ascii="宋体" w:hAnsi="宋体"/>
          <w:bCs/>
          <w:spacing w:val="0"/>
        </w:rPr>
        <w:t>Ⅵ</w:t>
      </w:r>
      <w:r>
        <w:rPr>
          <w:rFonts w:ascii="Times New Roman" w:hAnsi="Times New Roman"/>
          <w:bCs/>
          <w:spacing w:val="0"/>
        </w:rPr>
        <w:t>-0-</w:t>
      </w:r>
      <w:r>
        <w:rPr>
          <w:rFonts w:hint="eastAsia" w:ascii="Times New Roman" w:hAnsi="Times New Roman"/>
          <w:bCs/>
          <w:spacing w:val="0"/>
        </w:rPr>
        <w:t>1</w:t>
      </w:r>
      <w:r>
        <w:rPr>
          <w:rFonts w:ascii="Times New Roman" w:hAnsi="Times New Roman"/>
          <w:bCs/>
          <w:spacing w:val="0"/>
        </w:rPr>
        <w:t>)</w:t>
      </w:r>
      <w:r>
        <w:rPr>
          <w:rFonts w:ascii="Times New Roman" w:hAnsi="Times New Roman" w:cs="Times New Roman"/>
          <w:spacing w:val="0"/>
        </w:rPr>
        <w:t>，该小区与本项目相关的负面清单为：</w:t>
      </w:r>
      <w:r>
        <w:rPr>
          <w:rFonts w:hint="eastAsia" w:ascii="Times New Roman" w:hAnsi="Times New Roman" w:cs="Times New Roman"/>
          <w:spacing w:val="0"/>
        </w:rPr>
        <w:t>“</w:t>
      </w:r>
      <w:r>
        <w:rPr>
          <w:rFonts w:hint="eastAsia" w:ascii="Times New Roman"/>
          <w:spacing w:val="0"/>
        </w:rPr>
        <w:t>禁止新建废水排放量较大的以及不符合集聚区产业规划的三类工业项目，禁止扩建、改建有增加水污染物排放和水环境风险的三类工业项目。新建三类工业项目污染物排放水平需达到同行业国内先进水平</w:t>
      </w:r>
      <w:r>
        <w:rPr>
          <w:rFonts w:hint="eastAsia" w:ascii="Times New Roman" w:hAnsi="Times New Roman" w:cs="Times New Roman"/>
          <w:spacing w:val="0"/>
        </w:rPr>
        <w:t>。”本项目为技改项目，无废水排放，不增加水污染物排放及水环境风险，</w:t>
      </w:r>
      <w:r>
        <w:rPr>
          <w:rFonts w:ascii="Times New Roman" w:hAnsi="Times New Roman" w:cs="Times New Roman"/>
          <w:spacing w:val="0"/>
        </w:rPr>
        <w:t>因此</w:t>
      </w:r>
      <w:r>
        <w:rPr>
          <w:rFonts w:hint="eastAsia" w:ascii="Times New Roman" w:hAnsi="Times New Roman" w:cs="Times New Roman"/>
          <w:spacing w:val="0"/>
        </w:rPr>
        <w:t>本</w:t>
      </w:r>
      <w:r>
        <w:rPr>
          <w:rFonts w:ascii="Times New Roman" w:hAnsi="Times New Roman" w:cs="Times New Roman"/>
          <w:spacing w:val="0"/>
        </w:rPr>
        <w:t>项目未列入该环境功能区的负面清单。</w:t>
      </w:r>
    </w:p>
    <w:p>
      <w:pPr>
        <w:pStyle w:val="4"/>
        <w:spacing w:line="480" w:lineRule="exact"/>
        <w:rPr>
          <w:rFonts w:ascii="Times New Roman" w:hAnsi="Times New Roman" w:cs="Times New Roman"/>
          <w:spacing w:val="0"/>
        </w:rPr>
      </w:pPr>
      <w:r>
        <w:rPr>
          <w:rFonts w:ascii="Times New Roman" w:hAnsi="Times New Roman" w:cs="Times New Roman"/>
          <w:spacing w:val="0"/>
        </w:rPr>
        <w:t>综上所述，项目建设符合</w:t>
      </w:r>
      <w:r>
        <w:rPr>
          <w:rFonts w:hint="eastAsia" w:ascii="Times New Roman" w:hAnsi="Times New Roman" w:cs="Times New Roman"/>
          <w:spacing w:val="0"/>
        </w:rPr>
        <w:t>“</w:t>
      </w:r>
      <w:r>
        <w:rPr>
          <w:rFonts w:ascii="Times New Roman" w:hAnsi="Times New Roman" w:cs="Times New Roman"/>
          <w:spacing w:val="0"/>
        </w:rPr>
        <w:t>三线一单</w:t>
      </w:r>
      <w:r>
        <w:rPr>
          <w:rFonts w:hint="eastAsia" w:ascii="Times New Roman" w:hAnsi="Times New Roman" w:cs="Times New Roman"/>
          <w:spacing w:val="0"/>
        </w:rPr>
        <w:t>”</w:t>
      </w:r>
      <w:r>
        <w:rPr>
          <w:rFonts w:ascii="Times New Roman" w:hAnsi="Times New Roman" w:cs="Times New Roman"/>
          <w:spacing w:val="0"/>
        </w:rPr>
        <w:t>管理要求。</w:t>
      </w:r>
    </w:p>
    <w:p>
      <w:pPr>
        <w:pStyle w:val="4"/>
        <w:spacing w:line="480" w:lineRule="exact"/>
        <w:rPr>
          <w:rFonts w:ascii="Times New Roman" w:hAnsi="Times New Roman" w:cs="Times New Roman"/>
          <w:spacing w:val="0"/>
        </w:rPr>
      </w:pPr>
      <w:r>
        <w:rPr>
          <w:rFonts w:ascii="Times New Roman" w:hAnsi="Times New Roman" w:cs="Times New Roman"/>
          <w:spacing w:val="0"/>
        </w:rPr>
        <w:t>6、大气</w:t>
      </w:r>
      <w:r>
        <w:rPr>
          <w:rFonts w:hint="eastAsia" w:ascii="Times New Roman" w:hAnsi="Times New Roman" w:cs="Times New Roman"/>
          <w:spacing w:val="0"/>
        </w:rPr>
        <w:t>环境</w:t>
      </w:r>
      <w:r>
        <w:rPr>
          <w:rFonts w:ascii="Times New Roman" w:hAnsi="Times New Roman" w:cs="Times New Roman"/>
          <w:spacing w:val="0"/>
        </w:rPr>
        <w:t>防护距离判定</w:t>
      </w:r>
    </w:p>
    <w:p>
      <w:pPr>
        <w:pStyle w:val="4"/>
        <w:spacing w:line="480" w:lineRule="exact"/>
        <w:rPr>
          <w:rFonts w:ascii="Times New Roman" w:hAnsi="Times New Roman" w:cs="Times New Roman"/>
          <w:spacing w:val="0"/>
        </w:rPr>
      </w:pPr>
      <w:r>
        <w:rPr>
          <w:rFonts w:ascii="Times New Roman" w:hAnsi="Times New Roman" w:cs="Times New Roman"/>
          <w:spacing w:val="0"/>
        </w:rPr>
        <w:t>本项目无需设置大气环境防护距离。</w:t>
      </w:r>
    </w:p>
    <w:p>
      <w:pPr>
        <w:pStyle w:val="4"/>
        <w:spacing w:line="480" w:lineRule="exact"/>
        <w:rPr>
          <w:rFonts w:ascii="Times New Roman" w:hAnsi="Times New Roman" w:cs="Times New Roman"/>
          <w:spacing w:val="0"/>
        </w:rPr>
      </w:pPr>
      <w:r>
        <w:rPr>
          <w:rFonts w:ascii="Times New Roman" w:hAnsi="Times New Roman" w:cs="Times New Roman"/>
          <w:spacing w:val="0"/>
        </w:rPr>
        <w:t>7、规划环评符合性分析</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本项目为炼钢</w:t>
      </w:r>
      <w:r>
        <w:rPr>
          <w:rFonts w:ascii="Times New Roman" w:hAnsi="Times New Roman" w:cs="Times New Roman"/>
          <w:spacing w:val="0"/>
        </w:rPr>
        <w:t>行业的</w:t>
      </w:r>
      <w:r>
        <w:rPr>
          <w:rFonts w:hint="eastAsia" w:ascii="Times New Roman" w:hAnsi="Times New Roman" w:cs="Times New Roman"/>
          <w:spacing w:val="0"/>
        </w:rPr>
        <w:t>技改项目，属于特种钢</w:t>
      </w:r>
      <w:r>
        <w:rPr>
          <w:rFonts w:ascii="Times New Roman" w:hAnsi="Times New Roman" w:cs="Times New Roman"/>
          <w:spacing w:val="0"/>
        </w:rPr>
        <w:t>材料制造业，</w:t>
      </w:r>
      <w:r>
        <w:rPr>
          <w:rFonts w:hint="eastAsia" w:ascii="Times New Roman" w:hAnsi="Times New Roman" w:cs="Times New Roman"/>
          <w:spacing w:val="0"/>
        </w:rPr>
        <w:t>经分析本项目建设</w:t>
      </w:r>
      <w:r>
        <w:rPr>
          <w:rFonts w:hint="eastAsia"/>
        </w:rPr>
        <w:t>符合</w:t>
      </w:r>
      <w:r>
        <w:rPr>
          <w:rFonts w:ascii="Times New Roman" w:hAnsi="Times New Roman" w:cs="Times New Roman"/>
          <w:spacing w:val="0"/>
        </w:rPr>
        <w:t>规划环评结论</w:t>
      </w:r>
      <w:r>
        <w:rPr>
          <w:rFonts w:hint="eastAsia" w:ascii="Times New Roman" w:hAnsi="Times New Roman" w:cs="Times New Roman"/>
          <w:spacing w:val="0"/>
        </w:rPr>
        <w:t>六张</w:t>
      </w:r>
      <w:r>
        <w:rPr>
          <w:rFonts w:ascii="Times New Roman" w:hAnsi="Times New Roman" w:cs="Times New Roman"/>
          <w:spacing w:val="0"/>
        </w:rPr>
        <w:t>清单</w:t>
      </w:r>
      <w:r>
        <w:rPr>
          <w:rFonts w:hint="eastAsia" w:ascii="Times New Roman" w:hAnsi="Times New Roman" w:cs="Times New Roman"/>
          <w:spacing w:val="0"/>
        </w:rPr>
        <w:t>要求</w:t>
      </w:r>
      <w:r>
        <w:rPr>
          <w:rFonts w:hint="eastAsia"/>
        </w:rPr>
        <w:t>，因此</w:t>
      </w:r>
      <w:r>
        <w:rPr>
          <w:rFonts w:hint="eastAsia" w:ascii="Times New Roman" w:hAnsi="Times New Roman" w:cs="Times New Roman"/>
          <w:spacing w:val="0"/>
        </w:rPr>
        <w:t>项目建设符合规划环评要求</w:t>
      </w:r>
      <w:r>
        <w:rPr>
          <w:rFonts w:ascii="Times New Roman" w:hAnsi="Times New Roman" w:cs="Times New Roman"/>
          <w:spacing w:val="0"/>
        </w:rPr>
        <w:t>。</w:t>
      </w:r>
    </w:p>
    <w:p>
      <w:pPr>
        <w:pStyle w:val="3"/>
        <w:numPr>
          <w:ilvl w:val="1"/>
          <w:numId w:val="21"/>
        </w:numPr>
        <w:rPr>
          <w:rFonts w:ascii="Times New Roman" w:hAnsi="Times New Roman"/>
        </w:rPr>
      </w:pPr>
      <w:bookmarkStart w:id="41" w:name="_Toc10637129"/>
      <w:bookmarkStart w:id="42" w:name="_Toc345257120"/>
      <w:r>
        <w:rPr>
          <w:rFonts w:ascii="Times New Roman" w:hAnsi="Times New Roman"/>
        </w:rPr>
        <w:t>主要关注环境问题</w:t>
      </w:r>
      <w:r>
        <w:rPr>
          <w:rFonts w:ascii="Times New Roman" w:hAnsi="Times New Roman"/>
          <w:szCs w:val="21"/>
        </w:rPr>
        <w:t>、</w:t>
      </w:r>
      <w:r>
        <w:rPr>
          <w:rFonts w:ascii="Times New Roman" w:hAnsi="Times New Roman"/>
        </w:rPr>
        <w:t>污染治理措施及环境影响</w:t>
      </w:r>
      <w:bookmarkEnd w:id="41"/>
    </w:p>
    <w:p>
      <w:pPr>
        <w:pStyle w:val="4"/>
        <w:rPr>
          <w:rFonts w:ascii="Times New Roman" w:hAnsi="Times New Roman" w:cs="Times New Roman"/>
          <w:spacing w:val="0"/>
        </w:rPr>
      </w:pPr>
      <w:r>
        <w:rPr>
          <w:rFonts w:ascii="Times New Roman" w:hAnsi="Times New Roman" w:cs="Times New Roman"/>
          <w:spacing w:val="0"/>
        </w:rPr>
        <w:t>根据项目特点，本评价关注的主要环境问题为废气、</w:t>
      </w:r>
      <w:r>
        <w:rPr>
          <w:rFonts w:hint="eastAsia" w:ascii="Times New Roman" w:hAnsi="Times New Roman" w:cs="Times New Roman"/>
          <w:spacing w:val="0"/>
        </w:rPr>
        <w:t>噪声</w:t>
      </w:r>
      <w:r>
        <w:rPr>
          <w:rFonts w:ascii="Times New Roman" w:hAnsi="Times New Roman" w:cs="Times New Roman"/>
          <w:spacing w:val="0"/>
        </w:rPr>
        <w:t>对周围环境的影响，应提出相应的污染防治对策，同时兼顾固体废物对周围环境的影响分析及防治措施。具体为：</w:t>
      </w:r>
    </w:p>
    <w:p>
      <w:pPr>
        <w:pStyle w:val="4"/>
        <w:rPr>
          <w:rFonts w:ascii="Times New Roman" w:hAnsi="Times New Roman" w:cs="Times New Roman"/>
          <w:spacing w:val="0"/>
        </w:rPr>
      </w:pPr>
      <w:r>
        <w:rPr>
          <w:rFonts w:ascii="Times New Roman" w:hAnsi="Times New Roman" w:cs="Times New Roman"/>
          <w:spacing w:val="0"/>
        </w:rPr>
        <w:t>1、需关注本项目的</w:t>
      </w:r>
      <w:r>
        <w:rPr>
          <w:rFonts w:hint="eastAsia" w:ascii="Times New Roman" w:hAnsi="Times New Roman" w:cs="Times New Roman"/>
          <w:spacing w:val="0"/>
        </w:rPr>
        <w:t>生产</w:t>
      </w:r>
      <w:r>
        <w:rPr>
          <w:rFonts w:ascii="Times New Roman" w:hAnsi="Times New Roman" w:cs="Times New Roman"/>
          <w:spacing w:val="0"/>
        </w:rPr>
        <w:t>工艺过程，进行污染源</w:t>
      </w:r>
      <w:r>
        <w:rPr>
          <w:rFonts w:hint="eastAsia" w:ascii="Times New Roman" w:hAnsi="Times New Roman" w:cs="Times New Roman"/>
          <w:spacing w:val="0"/>
        </w:rPr>
        <w:t>源</w:t>
      </w:r>
      <w:r>
        <w:rPr>
          <w:rFonts w:ascii="Times New Roman" w:hAnsi="Times New Roman" w:cs="Times New Roman"/>
          <w:spacing w:val="0"/>
        </w:rPr>
        <w:t>强的计算和污染防治措施分析。</w:t>
      </w:r>
    </w:p>
    <w:p>
      <w:pPr>
        <w:pStyle w:val="4"/>
        <w:rPr>
          <w:rFonts w:ascii="Times New Roman" w:hAnsi="Times New Roman" w:cs="Times New Roman"/>
          <w:spacing w:val="0"/>
        </w:rPr>
      </w:pPr>
      <w:r>
        <w:rPr>
          <w:rFonts w:ascii="Times New Roman" w:hAnsi="Times New Roman" w:cs="Times New Roman"/>
          <w:spacing w:val="0"/>
        </w:rPr>
        <w:t>2、</w:t>
      </w:r>
      <w:r>
        <w:rPr>
          <w:rFonts w:hint="eastAsia" w:ascii="Times New Roman" w:hAnsi="Times New Roman" w:cs="Times New Roman"/>
          <w:spacing w:val="0"/>
        </w:rPr>
        <w:t>关注本项目生产</w:t>
      </w:r>
      <w:r>
        <w:rPr>
          <w:rFonts w:ascii="Times New Roman" w:hAnsi="Times New Roman" w:cs="Times New Roman"/>
          <w:spacing w:val="0"/>
        </w:rPr>
        <w:t>工艺</w:t>
      </w:r>
      <w:r>
        <w:rPr>
          <w:rFonts w:hint="eastAsia" w:ascii="Times New Roman" w:hAnsi="Times New Roman" w:cs="Times New Roman"/>
          <w:spacing w:val="0"/>
        </w:rPr>
        <w:t>与《钢铁行业规范条件》（2015年修订）、</w:t>
      </w:r>
      <w:r>
        <w:rPr>
          <w:rFonts w:hint="eastAsia" w:ascii="Times New Roman" w:hAnsi="Times New Roman"/>
          <w:spacing w:val="0"/>
        </w:rPr>
        <w:t>《</w:t>
      </w:r>
      <w:r>
        <w:rPr>
          <w:rFonts w:hint="eastAsia" w:ascii="Times New Roman"/>
          <w:spacing w:val="0"/>
        </w:rPr>
        <w:t>钢铁建设项目环境影响评价文件审批原则（试行）</w:t>
      </w:r>
      <w:r>
        <w:rPr>
          <w:rFonts w:hint="eastAsia" w:ascii="Times New Roman" w:hAnsi="Times New Roman"/>
          <w:spacing w:val="0"/>
        </w:rPr>
        <w:t>》</w:t>
      </w:r>
      <w:r>
        <w:rPr>
          <w:rFonts w:hint="eastAsia" w:ascii="Times New Roman" w:hAnsi="Times New Roman" w:cs="Times New Roman"/>
          <w:spacing w:val="0"/>
        </w:rPr>
        <w:t>及</w:t>
      </w:r>
      <w:r>
        <w:rPr>
          <w:rFonts w:ascii="Times New Roman" w:hAnsi="Times New Roman" w:cs="Times New Roman"/>
          <w:spacing w:val="0"/>
        </w:rPr>
        <w:t>相关文件</w:t>
      </w:r>
      <w:r>
        <w:rPr>
          <w:rFonts w:hint="eastAsia" w:ascii="Times New Roman" w:hAnsi="Times New Roman" w:cs="Times New Roman"/>
          <w:spacing w:val="0"/>
        </w:rPr>
        <w:t>的符合性</w:t>
      </w:r>
      <w:r>
        <w:rPr>
          <w:rFonts w:ascii="Times New Roman" w:hAnsi="Times New Roman" w:cs="Times New Roman"/>
          <w:spacing w:val="0"/>
        </w:rPr>
        <w:t>。</w:t>
      </w:r>
    </w:p>
    <w:p>
      <w:pPr>
        <w:pStyle w:val="4"/>
        <w:rPr>
          <w:rFonts w:ascii="Times New Roman" w:hAnsi="Times New Roman" w:cs="Times New Roman"/>
          <w:spacing w:val="0"/>
        </w:rPr>
      </w:pPr>
      <w:r>
        <w:rPr>
          <w:rFonts w:ascii="Times New Roman" w:hAnsi="Times New Roman" w:cs="Times New Roman"/>
          <w:spacing w:val="0"/>
        </w:rPr>
        <w:t>3</w:t>
      </w:r>
      <w:r>
        <w:rPr>
          <w:rFonts w:hint="eastAsia" w:ascii="Times New Roman" w:hAnsi="Times New Roman" w:cs="Times New Roman"/>
          <w:spacing w:val="0"/>
        </w:rPr>
        <w:t>、关注项目生产过程的环境风险及应对措施。</w:t>
      </w:r>
    </w:p>
    <w:bookmarkEnd w:id="28"/>
    <w:bookmarkEnd w:id="29"/>
    <w:bookmarkEnd w:id="30"/>
    <w:bookmarkEnd w:id="31"/>
    <w:bookmarkEnd w:id="32"/>
    <w:bookmarkEnd w:id="42"/>
    <w:p>
      <w:pPr>
        <w:pStyle w:val="2"/>
        <w:numPr>
          <w:ilvl w:val="0"/>
          <w:numId w:val="1"/>
        </w:numPr>
      </w:pPr>
      <w:bookmarkStart w:id="43" w:name="_Toc10637130"/>
      <w:r>
        <w:t>总则</w:t>
      </w:r>
      <w:bookmarkEnd w:id="43"/>
    </w:p>
    <w:bookmarkEnd w:id="3"/>
    <w:bookmarkEnd w:id="4"/>
    <w:bookmarkEnd w:id="5"/>
    <w:bookmarkEnd w:id="6"/>
    <w:bookmarkEnd w:id="7"/>
    <w:bookmarkEnd w:id="8"/>
    <w:bookmarkEnd w:id="9"/>
    <w:bookmarkEnd w:id="10"/>
    <w:bookmarkEnd w:id="11"/>
    <w:bookmarkEnd w:id="12"/>
    <w:bookmarkEnd w:id="13"/>
    <w:bookmarkEnd w:id="14"/>
    <w:bookmarkEnd w:id="15"/>
    <w:bookmarkEnd w:id="16"/>
    <w:p>
      <w:pPr>
        <w:pStyle w:val="3"/>
        <w:rPr>
          <w:rFonts w:ascii="Times New Roman" w:hAnsi="Times New Roman"/>
        </w:rPr>
      </w:pPr>
      <w:bookmarkStart w:id="44" w:name="_Toc10637131"/>
      <w:bookmarkStart w:id="45" w:name="_Toc229038133"/>
      <w:bookmarkStart w:id="46" w:name="_Toc84214454"/>
      <w:bookmarkStart w:id="47" w:name="_Toc82944668"/>
      <w:bookmarkStart w:id="48" w:name="_Toc80671729"/>
      <w:bookmarkStart w:id="49" w:name="_Toc76203365"/>
      <w:bookmarkStart w:id="50" w:name="_Toc41789787"/>
      <w:bookmarkStart w:id="51" w:name="_Toc38097147"/>
      <w:bookmarkStart w:id="52" w:name="_Toc38097023"/>
      <w:bookmarkStart w:id="53" w:name="_Toc38096963"/>
      <w:r>
        <w:rPr>
          <w:rFonts w:ascii="Times New Roman" w:hAnsi="Times New Roman"/>
        </w:rPr>
        <w:t>环境功能区划</w:t>
      </w:r>
      <w:bookmarkEnd w:id="44"/>
    </w:p>
    <w:p>
      <w:pPr>
        <w:pStyle w:val="835"/>
        <w:spacing w:before="0" w:line="480" w:lineRule="exact"/>
        <w:ind w:firstLine="486"/>
        <w:rPr>
          <w:rFonts w:ascii="Times New Roman" w:hAnsi="Times New Roman"/>
        </w:rPr>
      </w:pPr>
      <w:r>
        <w:rPr>
          <w:rFonts w:ascii="Times New Roman" w:hAnsi="Times New Roman"/>
        </w:rPr>
        <w:t>项目所在地环境功能区划汇总详见表2-</w:t>
      </w:r>
      <w:r>
        <w:rPr>
          <w:rFonts w:hint="eastAsia" w:ascii="Times New Roman" w:hAnsi="Times New Roman"/>
        </w:rPr>
        <w:t>1</w:t>
      </w:r>
      <w:r>
        <w:rPr>
          <w:rFonts w:ascii="Times New Roman" w:hAnsi="Times New Roman"/>
        </w:rPr>
        <w:t>。</w:t>
      </w:r>
    </w:p>
    <w:p>
      <w:pPr>
        <w:pStyle w:val="313"/>
        <w:tabs>
          <w:tab w:val="clear" w:pos="3908"/>
        </w:tabs>
        <w:ind w:left="1122" w:hanging="561"/>
        <w:rPr>
          <w:rFonts w:ascii="Times New Roman" w:hAnsi="Times New Roman"/>
        </w:rPr>
      </w:pPr>
      <w:r>
        <w:rPr>
          <w:rFonts w:ascii="Times New Roman" w:hAnsi="Times New Roman"/>
        </w:rPr>
        <w:t>项目所在地及区域环境功能区划一览表</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2833"/>
        <w:gridCol w:w="4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vAlign w:val="center"/>
          </w:tcPr>
          <w:p>
            <w:pPr>
              <w:spacing w:line="360" w:lineRule="exact"/>
              <w:jc w:val="center"/>
              <w:rPr>
                <w:rFonts w:eastAsia="宋体"/>
                <w:sz w:val="21"/>
                <w:szCs w:val="21"/>
              </w:rPr>
            </w:pPr>
            <w:r>
              <w:rPr>
                <w:rFonts w:eastAsia="宋体"/>
                <w:sz w:val="21"/>
                <w:szCs w:val="21"/>
              </w:rPr>
              <w:t>环境要素</w:t>
            </w:r>
          </w:p>
        </w:tc>
        <w:tc>
          <w:tcPr>
            <w:tcW w:w="2833" w:type="dxa"/>
            <w:vAlign w:val="center"/>
          </w:tcPr>
          <w:p>
            <w:pPr>
              <w:spacing w:line="360" w:lineRule="exact"/>
              <w:jc w:val="center"/>
              <w:rPr>
                <w:rFonts w:eastAsia="宋体"/>
                <w:sz w:val="21"/>
                <w:szCs w:val="21"/>
              </w:rPr>
            </w:pPr>
            <w:r>
              <w:rPr>
                <w:rFonts w:eastAsia="宋体"/>
                <w:sz w:val="21"/>
                <w:szCs w:val="21"/>
              </w:rPr>
              <w:t>项目所在区块环境功能区划</w:t>
            </w:r>
          </w:p>
        </w:tc>
        <w:tc>
          <w:tcPr>
            <w:tcW w:w="4803" w:type="dxa"/>
            <w:vAlign w:val="center"/>
          </w:tcPr>
          <w:p>
            <w:pPr>
              <w:spacing w:line="360" w:lineRule="exact"/>
              <w:jc w:val="center"/>
              <w:rPr>
                <w:rFonts w:eastAsia="宋体"/>
                <w:sz w:val="21"/>
                <w:szCs w:val="21"/>
              </w:rPr>
            </w:pPr>
            <w:r>
              <w:rPr>
                <w:rFonts w:eastAsia="宋体"/>
                <w:sz w:val="21"/>
                <w:szCs w:val="21"/>
              </w:rPr>
              <w:t>区划依据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shd w:val="clear" w:color="auto" w:fill="auto"/>
            <w:vAlign w:val="center"/>
          </w:tcPr>
          <w:p>
            <w:pPr>
              <w:spacing w:line="360" w:lineRule="exact"/>
              <w:jc w:val="center"/>
              <w:rPr>
                <w:rFonts w:eastAsia="宋体"/>
                <w:sz w:val="21"/>
                <w:szCs w:val="21"/>
              </w:rPr>
            </w:pPr>
            <w:r>
              <w:rPr>
                <w:rFonts w:eastAsia="宋体"/>
                <w:sz w:val="21"/>
                <w:szCs w:val="21"/>
              </w:rPr>
              <w:t>空气环境</w:t>
            </w:r>
          </w:p>
        </w:tc>
        <w:tc>
          <w:tcPr>
            <w:tcW w:w="2833" w:type="dxa"/>
            <w:shd w:val="clear" w:color="auto" w:fill="auto"/>
            <w:vAlign w:val="center"/>
          </w:tcPr>
          <w:p>
            <w:pPr>
              <w:spacing w:line="360" w:lineRule="exact"/>
              <w:jc w:val="center"/>
              <w:rPr>
                <w:rFonts w:eastAsia="宋体"/>
                <w:sz w:val="21"/>
                <w:szCs w:val="21"/>
              </w:rPr>
            </w:pPr>
            <w:r>
              <w:rPr>
                <w:rFonts w:eastAsia="宋体"/>
                <w:sz w:val="21"/>
                <w:szCs w:val="21"/>
              </w:rPr>
              <w:t>二类</w:t>
            </w:r>
          </w:p>
        </w:tc>
        <w:tc>
          <w:tcPr>
            <w:tcW w:w="4803" w:type="dxa"/>
            <w:shd w:val="clear" w:color="auto" w:fill="auto"/>
            <w:vAlign w:val="center"/>
          </w:tcPr>
          <w:p>
            <w:pPr>
              <w:spacing w:line="360" w:lineRule="exact"/>
              <w:jc w:val="center"/>
              <w:rPr>
                <w:rFonts w:eastAsia="宋体"/>
                <w:sz w:val="21"/>
                <w:szCs w:val="21"/>
              </w:rPr>
            </w:pPr>
            <w:r>
              <w:rPr>
                <w:rFonts w:eastAsia="宋体"/>
                <w:sz w:val="21"/>
                <w:szCs w:val="21"/>
              </w:rPr>
              <w:t>《</w:t>
            </w:r>
            <w:r>
              <w:rPr>
                <w:rFonts w:hint="eastAsia" w:eastAsia="宋体"/>
                <w:sz w:val="21"/>
                <w:szCs w:val="21"/>
              </w:rPr>
              <w:t>湖州市</w:t>
            </w:r>
            <w:r>
              <w:rPr>
                <w:rFonts w:eastAsia="宋体"/>
                <w:sz w:val="21"/>
                <w:szCs w:val="21"/>
              </w:rPr>
              <w:t>环境空气</w:t>
            </w:r>
            <w:r>
              <w:rPr>
                <w:rFonts w:hint="eastAsia" w:eastAsia="宋体"/>
                <w:sz w:val="21"/>
                <w:szCs w:val="21"/>
              </w:rPr>
              <w:t>质量</w:t>
            </w:r>
            <w:r>
              <w:rPr>
                <w:rFonts w:eastAsia="宋体"/>
                <w:sz w:val="21"/>
                <w:szCs w:val="21"/>
              </w:rPr>
              <w:t>功能区划分图》</w:t>
            </w: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shd w:val="clear" w:color="auto" w:fill="auto"/>
            <w:vAlign w:val="center"/>
          </w:tcPr>
          <w:p>
            <w:pPr>
              <w:spacing w:line="360" w:lineRule="exact"/>
              <w:jc w:val="center"/>
              <w:rPr>
                <w:rFonts w:eastAsia="宋体"/>
                <w:sz w:val="21"/>
                <w:szCs w:val="21"/>
              </w:rPr>
            </w:pPr>
            <w:r>
              <w:rPr>
                <w:rFonts w:eastAsia="宋体"/>
                <w:sz w:val="21"/>
                <w:szCs w:val="21"/>
              </w:rPr>
              <w:t>地表</w:t>
            </w:r>
          </w:p>
          <w:p>
            <w:pPr>
              <w:spacing w:line="360" w:lineRule="exact"/>
              <w:jc w:val="center"/>
              <w:rPr>
                <w:rFonts w:eastAsia="宋体"/>
                <w:sz w:val="21"/>
                <w:szCs w:val="21"/>
              </w:rPr>
            </w:pPr>
            <w:r>
              <w:rPr>
                <w:rFonts w:eastAsia="宋体"/>
                <w:sz w:val="21"/>
                <w:szCs w:val="21"/>
              </w:rPr>
              <w:t>水环境</w:t>
            </w:r>
          </w:p>
        </w:tc>
        <w:tc>
          <w:tcPr>
            <w:tcW w:w="2833" w:type="dxa"/>
            <w:shd w:val="clear" w:color="auto" w:fill="auto"/>
            <w:vAlign w:val="center"/>
          </w:tcPr>
          <w:p>
            <w:pPr>
              <w:spacing w:line="360" w:lineRule="exact"/>
              <w:jc w:val="center"/>
              <w:rPr>
                <w:rFonts w:eastAsia="宋体"/>
                <w:sz w:val="21"/>
                <w:szCs w:val="21"/>
              </w:rPr>
            </w:pPr>
            <w:r>
              <w:rPr>
                <w:rFonts w:hint="eastAsia" w:eastAsia="宋体"/>
                <w:sz w:val="21"/>
                <w:szCs w:val="21"/>
              </w:rPr>
              <w:t>Ⅲ</w:t>
            </w:r>
            <w:r>
              <w:rPr>
                <w:rFonts w:eastAsia="宋体"/>
                <w:sz w:val="21"/>
                <w:szCs w:val="21"/>
              </w:rPr>
              <w:t>类</w:t>
            </w:r>
          </w:p>
        </w:tc>
        <w:tc>
          <w:tcPr>
            <w:tcW w:w="4803" w:type="dxa"/>
            <w:shd w:val="clear" w:color="auto" w:fill="auto"/>
            <w:vAlign w:val="center"/>
          </w:tcPr>
          <w:p>
            <w:pPr>
              <w:adjustRightInd w:val="0"/>
              <w:snapToGrid w:val="0"/>
              <w:jc w:val="center"/>
              <w:rPr>
                <w:rFonts w:eastAsia="宋体"/>
                <w:sz w:val="21"/>
                <w:szCs w:val="21"/>
              </w:rPr>
            </w:pPr>
            <w:r>
              <w:rPr>
                <w:rFonts w:eastAsia="宋体"/>
                <w:sz w:val="21"/>
                <w:szCs w:val="21"/>
              </w:rPr>
              <w:t>《浙江省水功能区水环境功能区划分方案</w:t>
            </w:r>
            <w:r>
              <w:rPr>
                <w:rFonts w:hint="eastAsia" w:eastAsia="宋体"/>
                <w:sz w:val="21"/>
                <w:szCs w:val="21"/>
              </w:rPr>
              <w:t>（2015）</w:t>
            </w:r>
            <w:r>
              <w:rPr>
                <w:rFonts w:eastAsia="宋体"/>
                <w:sz w:val="21"/>
                <w:szCs w:val="21"/>
              </w:rPr>
              <w:t>》</w:t>
            </w: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shd w:val="clear" w:color="auto" w:fill="auto"/>
            <w:vAlign w:val="center"/>
          </w:tcPr>
          <w:p>
            <w:pPr>
              <w:spacing w:line="360" w:lineRule="exact"/>
              <w:jc w:val="center"/>
              <w:rPr>
                <w:rFonts w:eastAsia="宋体"/>
                <w:sz w:val="21"/>
                <w:szCs w:val="21"/>
              </w:rPr>
            </w:pPr>
            <w:r>
              <w:rPr>
                <w:rFonts w:eastAsia="宋体"/>
                <w:sz w:val="21"/>
                <w:szCs w:val="21"/>
              </w:rPr>
              <w:t>地下水环境</w:t>
            </w:r>
          </w:p>
        </w:tc>
        <w:tc>
          <w:tcPr>
            <w:tcW w:w="2833" w:type="dxa"/>
            <w:shd w:val="clear" w:color="auto" w:fill="auto"/>
            <w:vAlign w:val="center"/>
          </w:tcPr>
          <w:p>
            <w:pPr>
              <w:spacing w:line="360" w:lineRule="exact"/>
              <w:jc w:val="center"/>
              <w:rPr>
                <w:rFonts w:eastAsia="宋体"/>
                <w:sz w:val="21"/>
                <w:szCs w:val="21"/>
              </w:rPr>
            </w:pPr>
            <w:r>
              <w:rPr>
                <w:rFonts w:hint="eastAsia" w:ascii="宋体" w:hAnsi="宋体" w:eastAsia="宋体" w:cs="宋体"/>
                <w:sz w:val="21"/>
                <w:szCs w:val="21"/>
              </w:rPr>
              <w:t>Ⅲ</w:t>
            </w:r>
            <w:r>
              <w:rPr>
                <w:rFonts w:eastAsia="宋体"/>
                <w:sz w:val="21"/>
                <w:szCs w:val="21"/>
              </w:rPr>
              <w:t>类</w:t>
            </w:r>
          </w:p>
        </w:tc>
        <w:tc>
          <w:tcPr>
            <w:tcW w:w="4803" w:type="dxa"/>
            <w:shd w:val="clear" w:color="auto" w:fill="auto"/>
            <w:vAlign w:val="center"/>
          </w:tcPr>
          <w:p>
            <w:pPr>
              <w:adjustRightInd w:val="0"/>
              <w:snapToGrid w:val="0"/>
              <w:jc w:val="center"/>
              <w:rPr>
                <w:rFonts w:eastAsia="宋体"/>
                <w:sz w:val="21"/>
                <w:szCs w:val="21"/>
              </w:rPr>
            </w:pPr>
            <w:r>
              <w:rPr>
                <w:rFonts w:hint="eastAsia" w:eastAsia="宋体"/>
                <w:sz w:val="21"/>
                <w:szCs w:val="21"/>
              </w:rPr>
              <w:t>《</w:t>
            </w:r>
            <w:r>
              <w:rPr>
                <w:rFonts w:eastAsia="宋体"/>
                <w:sz w:val="21"/>
                <w:szCs w:val="21"/>
              </w:rPr>
              <w:t>湖州南太湖产业集聚区(生物医药园区、杨家埠及枢纽片区、西南分区、凤凰分区)控制性详细规划环境影响报告书》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shd w:val="clear" w:color="auto" w:fill="auto"/>
            <w:vAlign w:val="center"/>
          </w:tcPr>
          <w:p>
            <w:pPr>
              <w:spacing w:line="360" w:lineRule="exact"/>
              <w:jc w:val="center"/>
              <w:rPr>
                <w:rFonts w:eastAsia="宋体"/>
                <w:sz w:val="21"/>
                <w:szCs w:val="21"/>
              </w:rPr>
            </w:pPr>
            <w:r>
              <w:rPr>
                <w:rFonts w:eastAsia="宋体"/>
                <w:sz w:val="21"/>
                <w:szCs w:val="21"/>
              </w:rPr>
              <w:t>声环境</w:t>
            </w:r>
          </w:p>
        </w:tc>
        <w:tc>
          <w:tcPr>
            <w:tcW w:w="2833" w:type="dxa"/>
            <w:vAlign w:val="center"/>
          </w:tcPr>
          <w:p>
            <w:pPr>
              <w:spacing w:line="360" w:lineRule="exact"/>
              <w:jc w:val="center"/>
              <w:rPr>
                <w:rFonts w:eastAsia="宋体"/>
                <w:sz w:val="21"/>
                <w:szCs w:val="21"/>
              </w:rPr>
            </w:pPr>
            <w:r>
              <w:rPr>
                <w:rFonts w:eastAsia="宋体"/>
                <w:sz w:val="21"/>
                <w:szCs w:val="21"/>
              </w:rPr>
              <w:t>3类</w:t>
            </w:r>
            <w:r>
              <w:rPr>
                <w:rFonts w:hint="eastAsia" w:eastAsia="宋体"/>
                <w:sz w:val="21"/>
                <w:szCs w:val="21"/>
              </w:rPr>
              <w:t>、4a、4</w:t>
            </w:r>
            <w:r>
              <w:rPr>
                <w:rFonts w:eastAsia="宋体"/>
                <w:sz w:val="21"/>
                <w:szCs w:val="21"/>
              </w:rPr>
              <w:t>b</w:t>
            </w:r>
            <w:r>
              <w:rPr>
                <w:rFonts w:hint="eastAsia" w:eastAsia="宋体"/>
                <w:sz w:val="21"/>
                <w:szCs w:val="21"/>
              </w:rPr>
              <w:t>类</w:t>
            </w:r>
          </w:p>
        </w:tc>
        <w:tc>
          <w:tcPr>
            <w:tcW w:w="4803" w:type="dxa"/>
            <w:vAlign w:val="center"/>
          </w:tcPr>
          <w:p>
            <w:pPr>
              <w:adjustRightInd w:val="0"/>
              <w:snapToGrid w:val="0"/>
              <w:jc w:val="center"/>
              <w:rPr>
                <w:rFonts w:eastAsia="宋体"/>
                <w:sz w:val="21"/>
                <w:szCs w:val="21"/>
              </w:rPr>
            </w:pPr>
            <w:r>
              <w:rPr>
                <w:rFonts w:hint="eastAsia" w:eastAsia="宋体"/>
                <w:sz w:val="21"/>
                <w:szCs w:val="21"/>
              </w:rPr>
              <w:t>《</w:t>
            </w:r>
            <w:r>
              <w:rPr>
                <w:rFonts w:eastAsia="宋体"/>
                <w:sz w:val="21"/>
                <w:szCs w:val="21"/>
              </w:rPr>
              <w:t>湖州南太湖产业集聚区(生物医药园区、杨家埠及枢纽片区、西南分区、凤凰分区)控制性详细规划环境影响报告书》</w:t>
            </w:r>
            <w:r>
              <w:rPr>
                <w:rFonts w:hint="eastAsia" w:eastAsia="宋体"/>
                <w:sz w:val="21"/>
                <w:szCs w:val="21"/>
              </w:rPr>
              <w:t>、声环境功能区划分技术规范》(GB/T15190-2014)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131" w:type="dxa"/>
            <w:vAlign w:val="center"/>
          </w:tcPr>
          <w:p>
            <w:pPr>
              <w:spacing w:line="360" w:lineRule="exact"/>
              <w:jc w:val="center"/>
              <w:rPr>
                <w:rFonts w:eastAsia="宋体"/>
                <w:sz w:val="21"/>
                <w:szCs w:val="21"/>
              </w:rPr>
            </w:pPr>
            <w:r>
              <w:rPr>
                <w:rFonts w:eastAsia="宋体"/>
                <w:sz w:val="21"/>
                <w:szCs w:val="21"/>
              </w:rPr>
              <w:t>环境功能</w:t>
            </w:r>
          </w:p>
        </w:tc>
        <w:tc>
          <w:tcPr>
            <w:tcW w:w="2833" w:type="dxa"/>
            <w:vAlign w:val="center"/>
          </w:tcPr>
          <w:p>
            <w:pPr>
              <w:spacing w:line="360" w:lineRule="exact"/>
              <w:jc w:val="center"/>
              <w:rPr>
                <w:rFonts w:eastAsia="宋体"/>
                <w:sz w:val="21"/>
                <w:szCs w:val="21"/>
              </w:rPr>
            </w:pPr>
            <w:r>
              <w:rPr>
                <w:rFonts w:eastAsia="宋体"/>
                <w:sz w:val="21"/>
                <w:szCs w:val="21"/>
              </w:rPr>
              <w:t>国家开发区环境重点准入区(0502-</w:t>
            </w:r>
            <w:r>
              <w:rPr>
                <w:rFonts w:hint="eastAsia" w:eastAsia="宋体"/>
                <w:sz w:val="21"/>
                <w:szCs w:val="21"/>
              </w:rPr>
              <w:t>Ⅵ</w:t>
            </w:r>
            <w:r>
              <w:rPr>
                <w:rFonts w:eastAsia="宋体"/>
                <w:sz w:val="21"/>
                <w:szCs w:val="21"/>
              </w:rPr>
              <w:t>-0-1)</w:t>
            </w:r>
          </w:p>
        </w:tc>
        <w:tc>
          <w:tcPr>
            <w:tcW w:w="4803" w:type="dxa"/>
            <w:vAlign w:val="center"/>
          </w:tcPr>
          <w:p>
            <w:pPr>
              <w:spacing w:line="360" w:lineRule="exact"/>
              <w:jc w:val="center"/>
              <w:rPr>
                <w:rFonts w:eastAsia="宋体"/>
                <w:sz w:val="21"/>
                <w:szCs w:val="21"/>
              </w:rPr>
            </w:pPr>
            <w:r>
              <w:rPr>
                <w:rFonts w:eastAsia="宋体"/>
                <w:sz w:val="21"/>
                <w:szCs w:val="21"/>
              </w:rPr>
              <w:t>《</w:t>
            </w:r>
            <w:r>
              <w:rPr>
                <w:rFonts w:hint="eastAsia" w:eastAsia="宋体"/>
                <w:sz w:val="21"/>
                <w:szCs w:val="21"/>
              </w:rPr>
              <w:t>湖州市区环境功能区划</w:t>
            </w:r>
            <w:r>
              <w:rPr>
                <w:rFonts w:eastAsia="宋体"/>
                <w:sz w:val="21"/>
                <w:szCs w:val="21"/>
              </w:rPr>
              <w:t>》</w:t>
            </w:r>
          </w:p>
        </w:tc>
      </w:tr>
      <w:bookmarkEnd w:id="45"/>
    </w:tbl>
    <w:p>
      <w:pPr>
        <w:pStyle w:val="3"/>
        <w:rPr>
          <w:rFonts w:ascii="Times New Roman" w:hAnsi="Times New Roman"/>
        </w:rPr>
      </w:pPr>
      <w:bookmarkStart w:id="54" w:name="_Toc229038135"/>
      <w:bookmarkStart w:id="55" w:name="_Toc10637132"/>
      <w:bookmarkStart w:id="56" w:name="_Toc154983254"/>
      <w:bookmarkStart w:id="57" w:name="_Toc119834329"/>
      <w:bookmarkStart w:id="58" w:name="_Toc115751948"/>
      <w:bookmarkStart w:id="59" w:name="_Toc236722001"/>
      <w:r>
        <w:rPr>
          <w:rFonts w:ascii="Times New Roman" w:hAnsi="Times New Roman"/>
        </w:rPr>
        <w:t>评价标准</w:t>
      </w:r>
      <w:bookmarkEnd w:id="54"/>
      <w:bookmarkEnd w:id="55"/>
      <w:bookmarkEnd w:id="56"/>
      <w:bookmarkEnd w:id="57"/>
      <w:bookmarkEnd w:id="58"/>
      <w:bookmarkEnd w:id="59"/>
    </w:p>
    <w:p>
      <w:pPr>
        <w:pStyle w:val="5"/>
        <w:rPr>
          <w:rFonts w:ascii="Times New Roman"/>
        </w:rPr>
      </w:pPr>
      <w:bookmarkStart w:id="60" w:name="_Toc82944391"/>
      <w:bookmarkStart w:id="61" w:name="_Toc82944670"/>
      <w:r>
        <w:rPr>
          <w:rFonts w:ascii="Times New Roman"/>
        </w:rPr>
        <w:t>环境质量标准</w:t>
      </w:r>
      <w:bookmarkEnd w:id="60"/>
      <w:bookmarkEnd w:id="61"/>
    </w:p>
    <w:p>
      <w:pPr>
        <w:pStyle w:val="4"/>
        <w:spacing w:line="480" w:lineRule="exact"/>
        <w:ind w:firstLine="488"/>
        <w:rPr>
          <w:rFonts w:ascii="Times New Roman" w:hAnsi="Times New Roman" w:cs="Times New Roman"/>
          <w:spacing w:val="0"/>
        </w:rPr>
      </w:pPr>
      <w:r>
        <w:rPr>
          <w:rFonts w:ascii="Times New Roman" w:hAnsi="Times New Roman" w:cs="Times New Roman"/>
          <w:spacing w:val="0"/>
        </w:rPr>
        <w:t>1．环境空气质量标准</w:t>
      </w:r>
    </w:p>
    <w:p>
      <w:pPr>
        <w:pStyle w:val="4"/>
        <w:spacing w:line="480" w:lineRule="exact"/>
        <w:ind w:firstLine="488"/>
        <w:rPr>
          <w:rFonts w:ascii="Times New Roman" w:hAnsi="Times New Roman" w:cs="Times New Roman"/>
          <w:spacing w:val="0"/>
        </w:rPr>
      </w:pPr>
      <w:r>
        <w:rPr>
          <w:rFonts w:hint="eastAsia" w:ascii="Times New Roman" w:hAnsi="Times New Roman" w:cs="Times New Roman"/>
          <w:spacing w:val="0"/>
        </w:rPr>
        <w:t>根据环境空气质量功能区分类，项目所在地属二类区</w:t>
      </w:r>
      <w:r>
        <w:rPr>
          <w:rFonts w:ascii="Times New Roman" w:hAnsi="Times New Roman" w:cs="Times New Roman"/>
          <w:spacing w:val="0"/>
        </w:rPr>
        <w:t>，环境空气质量执行《环境空气质量标准》(GB3095-2012)中的二级标准及修改单要求</w:t>
      </w:r>
      <w:r>
        <w:rPr>
          <w:rFonts w:hint="eastAsia" w:ascii="Times New Roman" w:hAnsi="Times New Roman" w:cs="Times New Roman"/>
          <w:spacing w:val="0"/>
        </w:rPr>
        <w:t>。项目无特征污染物排放；企业现状特征因子氟化物</w:t>
      </w:r>
      <w:r>
        <w:rPr>
          <w:rFonts w:ascii="Times New Roman" w:hAnsi="Times New Roman" w:cs="Times New Roman"/>
          <w:spacing w:val="0"/>
        </w:rPr>
        <w:t>执行《环境空气质量标准》(GB3095-2012)中</w:t>
      </w:r>
      <w:r>
        <w:rPr>
          <w:rFonts w:hint="eastAsia" w:ascii="Times New Roman" w:hAnsi="Times New Roman" w:cs="Times New Roman"/>
          <w:spacing w:val="0"/>
        </w:rPr>
        <w:t>附录A环境</w:t>
      </w:r>
      <w:r>
        <w:rPr>
          <w:rFonts w:ascii="Times New Roman" w:hAnsi="Times New Roman" w:cs="Times New Roman"/>
          <w:spacing w:val="0"/>
        </w:rPr>
        <w:t>空气中镉、汞、砷、六价铬和氟化物参考浓度限值</w:t>
      </w:r>
      <w:r>
        <w:rPr>
          <w:rFonts w:hint="eastAsia" w:ascii="Times New Roman" w:hAnsi="Times New Roman" w:cs="Times New Roman"/>
          <w:spacing w:val="0"/>
        </w:rPr>
        <w:t>的</w:t>
      </w:r>
      <w:r>
        <w:rPr>
          <w:rFonts w:ascii="Times New Roman" w:hAnsi="Times New Roman" w:cs="Times New Roman"/>
          <w:spacing w:val="0"/>
        </w:rPr>
        <w:t>二级标准</w:t>
      </w:r>
      <w:r>
        <w:rPr>
          <w:rFonts w:hint="eastAsia" w:ascii="Times New Roman" w:hAnsi="Times New Roman" w:cs="Times New Roman"/>
          <w:spacing w:val="0"/>
        </w:rPr>
        <w:t>；硫酸雾(硫酸)执行《环境影响评价技术导则 大气环境》(HJ2.2-2018)附录D其他污染物空气质量浓度参考限</w:t>
      </w:r>
      <w:r>
        <w:rPr>
          <w:rFonts w:ascii="Times New Roman" w:hAnsi="Times New Roman" w:cs="Times New Roman"/>
          <w:spacing w:val="0"/>
        </w:rPr>
        <w:t>值</w:t>
      </w:r>
      <w:r>
        <w:rPr>
          <w:rFonts w:hint="eastAsia" w:ascii="Times New Roman" w:hAnsi="Times New Roman" w:cs="Times New Roman"/>
          <w:spacing w:val="0"/>
        </w:rPr>
        <w:t>；</w:t>
      </w:r>
      <w:r>
        <w:rPr>
          <w:rFonts w:ascii="Times New Roman" w:hAnsi="Times New Roman" w:cs="Times New Roman"/>
          <w:spacing w:val="0"/>
        </w:rPr>
        <w:t>二噁英根据</w:t>
      </w:r>
      <w:r>
        <w:rPr>
          <w:rFonts w:hint="eastAsia" w:ascii="Times New Roman" w:hAnsi="Times New Roman" w:cs="Times New Roman"/>
          <w:spacing w:val="0"/>
        </w:rPr>
        <w:t>《关于进一步加强生物质发电项目环境影响评价管理工作的通知》（环发[2008]82 号）</w:t>
      </w:r>
      <w:r>
        <w:rPr>
          <w:rFonts w:ascii="Times New Roman" w:hAnsi="Times New Roman" w:cs="Times New Roman"/>
          <w:spacing w:val="0"/>
        </w:rPr>
        <w:t>的要求参照执行日本年均浓度标准限值0.6pg-TEQ/m</w:t>
      </w:r>
      <w:r>
        <w:rPr>
          <w:rFonts w:ascii="Times New Roman" w:hAnsi="Times New Roman" w:cs="Times New Roman"/>
          <w:spacing w:val="0"/>
          <w:vertAlign w:val="superscript"/>
        </w:rPr>
        <w:t>3</w:t>
      </w:r>
      <w:r>
        <w:rPr>
          <w:rFonts w:hint="eastAsia" w:ascii="Times New Roman" w:hAnsi="Times New Roman" w:cs="Times New Roman"/>
          <w:spacing w:val="0"/>
        </w:rPr>
        <w:t>(出自日本《二噁英对策特别措施法》)</w:t>
      </w:r>
      <w:r>
        <w:rPr>
          <w:rFonts w:ascii="Times New Roman" w:hAnsi="Times New Roman" w:cs="Times New Roman"/>
          <w:spacing w:val="0"/>
        </w:rPr>
        <w:t>，具体标准值见表2-2。</w:t>
      </w:r>
    </w:p>
    <w:p>
      <w:pPr>
        <w:pStyle w:val="313"/>
        <w:tabs>
          <w:tab w:val="clear" w:pos="3908"/>
        </w:tabs>
        <w:ind w:left="1122" w:hanging="561"/>
        <w:rPr>
          <w:rFonts w:ascii="Times New Roman" w:hAnsi="Times New Roman"/>
        </w:rPr>
      </w:pPr>
      <w:r>
        <w:rPr>
          <w:rFonts w:ascii="Times New Roman" w:hAnsi="Times New Roman"/>
        </w:rPr>
        <w:t>环境空气质量标准</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3"/>
        <w:gridCol w:w="1061"/>
        <w:gridCol w:w="1482"/>
        <w:gridCol w:w="1485"/>
        <w:gridCol w:w="982"/>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6" w:hRule="atLeast"/>
          <w:tblHeader/>
          <w:jc w:val="center"/>
        </w:trPr>
        <w:tc>
          <w:tcPr>
            <w:tcW w:w="1413" w:type="dxa"/>
            <w:vMerge w:val="restart"/>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污染物名称</w:t>
            </w:r>
          </w:p>
        </w:tc>
        <w:tc>
          <w:tcPr>
            <w:tcW w:w="4028" w:type="dxa"/>
            <w:gridSpan w:val="3"/>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浓度限值</w:t>
            </w:r>
          </w:p>
        </w:tc>
        <w:tc>
          <w:tcPr>
            <w:tcW w:w="982" w:type="dxa"/>
            <w:vMerge w:val="restart"/>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单位</w:t>
            </w:r>
          </w:p>
        </w:tc>
        <w:tc>
          <w:tcPr>
            <w:tcW w:w="2344" w:type="dxa"/>
            <w:vMerge w:val="restart"/>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Merge w:val="continue"/>
            <w:vAlign w:val="center"/>
          </w:tcPr>
          <w:p>
            <w:pPr>
              <w:widowControl/>
              <w:adjustRightInd w:val="0"/>
              <w:snapToGrid w:val="0"/>
              <w:spacing w:line="360" w:lineRule="exact"/>
              <w:jc w:val="center"/>
              <w:rPr>
                <w:rFonts w:eastAsia="宋体"/>
                <w:sz w:val="21"/>
                <w:szCs w:val="21"/>
              </w:rPr>
            </w:pP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年平均</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24小时平均</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1小时平均</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SO</w:t>
            </w:r>
            <w:r>
              <w:rPr>
                <w:rFonts w:eastAsia="宋体"/>
                <w:sz w:val="21"/>
                <w:szCs w:val="21"/>
                <w:vertAlign w:val="subscript"/>
              </w:rPr>
              <w:t>2</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60</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150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500</w:t>
            </w:r>
          </w:p>
        </w:tc>
        <w:tc>
          <w:tcPr>
            <w:tcW w:w="982" w:type="dxa"/>
            <w:vMerge w:val="restart"/>
            <w:vAlign w:val="center"/>
          </w:tcPr>
          <w:p>
            <w:pPr>
              <w:widowControl/>
              <w:adjustRightInd w:val="0"/>
              <w:snapToGrid w:val="0"/>
              <w:spacing w:line="360" w:lineRule="exact"/>
              <w:jc w:val="center"/>
              <w:rPr>
                <w:rFonts w:eastAsia="宋体"/>
                <w:sz w:val="21"/>
                <w:szCs w:val="21"/>
              </w:rPr>
            </w:pPr>
            <w:r>
              <w:rPr>
                <w:rFonts w:eastAsia="宋体"/>
                <w:sz w:val="21"/>
                <w:szCs w:val="21"/>
              </w:rPr>
              <w:t>μg/m</w:t>
            </w:r>
            <w:r>
              <w:rPr>
                <w:rFonts w:eastAsia="宋体"/>
                <w:sz w:val="21"/>
                <w:szCs w:val="21"/>
                <w:vertAlign w:val="superscript"/>
              </w:rPr>
              <w:t>3</w:t>
            </w:r>
          </w:p>
        </w:tc>
        <w:tc>
          <w:tcPr>
            <w:tcW w:w="2344" w:type="dxa"/>
            <w:vMerge w:val="restart"/>
            <w:vAlign w:val="center"/>
          </w:tcPr>
          <w:p>
            <w:pPr>
              <w:widowControl/>
              <w:adjustRightInd w:val="0"/>
              <w:snapToGrid w:val="0"/>
              <w:spacing w:line="360" w:lineRule="exact"/>
              <w:jc w:val="center"/>
              <w:rPr>
                <w:rFonts w:eastAsia="宋体"/>
                <w:sz w:val="21"/>
                <w:szCs w:val="21"/>
              </w:rPr>
            </w:pPr>
            <w:r>
              <w:rPr>
                <w:rFonts w:eastAsia="宋体"/>
                <w:sz w:val="21"/>
                <w:szCs w:val="21"/>
              </w:rPr>
              <w:t>《环境空气质量标准》(GB3095-2012)及修改单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NO</w:t>
            </w:r>
            <w:r>
              <w:rPr>
                <w:rFonts w:eastAsia="宋体"/>
                <w:sz w:val="21"/>
                <w:szCs w:val="21"/>
                <w:vertAlign w:val="subscript"/>
              </w:rPr>
              <w:t>2</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40</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80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200</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NOx</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50</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100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250</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TSP</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200</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300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PM</w:t>
            </w:r>
            <w:r>
              <w:rPr>
                <w:rFonts w:eastAsia="宋体"/>
                <w:sz w:val="21"/>
                <w:szCs w:val="21"/>
                <w:vertAlign w:val="subscript"/>
              </w:rPr>
              <w:t>10</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70</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150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宋体"/>
                <w:sz w:val="21"/>
                <w:szCs w:val="21"/>
              </w:rPr>
              <w:t>/</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宋体"/>
                <w:sz w:val="21"/>
                <w:szCs w:val="21"/>
              </w:rPr>
              <w:t>PM</w:t>
            </w:r>
            <w:r>
              <w:rPr>
                <w:rFonts w:hint="eastAsia" w:eastAsia="宋体"/>
                <w:sz w:val="21"/>
                <w:szCs w:val="21"/>
                <w:vertAlign w:val="subscript"/>
              </w:rPr>
              <w:t>2.5</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35</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75</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O</w:t>
            </w:r>
            <w:r>
              <w:rPr>
                <w:rFonts w:hint="eastAsia" w:eastAsia="宋体"/>
                <w:sz w:val="21"/>
                <w:szCs w:val="21"/>
                <w:vertAlign w:val="subscript"/>
              </w:rPr>
              <w:t>3</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160(日最大8小时平均)</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200</w:t>
            </w:r>
          </w:p>
        </w:tc>
        <w:tc>
          <w:tcPr>
            <w:tcW w:w="982" w:type="dxa"/>
            <w:vMerge w:val="continue"/>
            <w:vAlign w:val="center"/>
          </w:tcPr>
          <w:p>
            <w:pPr>
              <w:widowControl/>
              <w:adjustRightInd w:val="0"/>
              <w:snapToGrid w:val="0"/>
              <w:spacing w:line="360" w:lineRule="exact"/>
              <w:jc w:val="center"/>
              <w:rPr>
                <w:rFonts w:eastAsia="宋体"/>
                <w:sz w:val="21"/>
                <w:szCs w:val="21"/>
              </w:rPr>
            </w:pP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CO</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4</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10</w:t>
            </w:r>
          </w:p>
        </w:tc>
        <w:tc>
          <w:tcPr>
            <w:tcW w:w="982"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m</w:t>
            </w:r>
            <w:r>
              <w:rPr>
                <w:rFonts w:eastAsia="宋体"/>
                <w:sz w:val="21"/>
                <w:szCs w:val="21"/>
              </w:rPr>
              <w:t>g/m</w:t>
            </w:r>
            <w:r>
              <w:rPr>
                <w:rFonts w:eastAsia="宋体"/>
                <w:sz w:val="21"/>
                <w:szCs w:val="21"/>
                <w:vertAlign w:val="superscript"/>
              </w:rPr>
              <w:t>3</w:t>
            </w:r>
          </w:p>
        </w:tc>
        <w:tc>
          <w:tcPr>
            <w:tcW w:w="2344"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eastAsiaTheme="minorEastAsia"/>
                <w:sz w:val="21"/>
                <w:szCs w:val="21"/>
              </w:rPr>
              <w:t xml:space="preserve">氟化物(F) </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eastAsiaTheme="minorEastAsia"/>
                <w:sz w:val="21"/>
                <w:szCs w:val="21"/>
              </w:rPr>
              <w:t>/</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eastAsiaTheme="minorEastAsia"/>
                <w:sz w:val="21"/>
                <w:szCs w:val="21"/>
              </w:rPr>
              <w:t>7</w:t>
            </w:r>
            <w:r>
              <w:rPr>
                <w:rFonts w:hint="eastAsia" w:ascii="宋体" w:hAnsi="宋体" w:eastAsia="宋体" w:cs="宋体"/>
                <w:sz w:val="21"/>
                <w:szCs w:val="21"/>
                <w:vertAlign w:val="superscript"/>
                <w:lang w:eastAsia="ja-JP"/>
              </w:rPr>
              <w:t>①</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eastAsiaTheme="minorEastAsia"/>
                <w:sz w:val="21"/>
                <w:szCs w:val="21"/>
              </w:rPr>
              <w:t>20</w:t>
            </w:r>
            <w:r>
              <w:rPr>
                <w:rFonts w:hint="eastAsia" w:ascii="宋体" w:hAnsi="宋体" w:eastAsia="宋体" w:cs="宋体"/>
                <w:sz w:val="21"/>
                <w:szCs w:val="21"/>
                <w:vertAlign w:val="superscript"/>
                <w:lang w:eastAsia="ja-JP"/>
              </w:rPr>
              <w:t>①</w:t>
            </w:r>
          </w:p>
        </w:tc>
        <w:tc>
          <w:tcPr>
            <w:tcW w:w="982" w:type="dxa"/>
            <w:vAlign w:val="center"/>
          </w:tcPr>
          <w:p>
            <w:pPr>
              <w:widowControl/>
              <w:adjustRightInd w:val="0"/>
              <w:snapToGrid w:val="0"/>
              <w:spacing w:line="360" w:lineRule="exact"/>
              <w:jc w:val="center"/>
              <w:rPr>
                <w:rFonts w:eastAsia="宋体"/>
                <w:sz w:val="21"/>
                <w:szCs w:val="21"/>
              </w:rPr>
            </w:pPr>
            <w:r>
              <w:rPr>
                <w:rFonts w:eastAsia="宋体"/>
                <w:sz w:val="21"/>
                <w:szCs w:val="21"/>
              </w:rPr>
              <w:t>μ</w:t>
            </w:r>
            <w:r>
              <w:rPr>
                <w:rFonts w:eastAsiaTheme="minorEastAsia"/>
                <w:sz w:val="21"/>
                <w:szCs w:val="21"/>
              </w:rPr>
              <w:t>g/m</w:t>
            </w:r>
            <w:r>
              <w:rPr>
                <w:rFonts w:eastAsiaTheme="minorEastAsia"/>
                <w:sz w:val="21"/>
                <w:szCs w:val="21"/>
                <w:vertAlign w:val="superscript"/>
              </w:rPr>
              <w:t>3</w:t>
            </w:r>
          </w:p>
        </w:tc>
        <w:tc>
          <w:tcPr>
            <w:tcW w:w="2344" w:type="dxa"/>
            <w:vAlign w:val="center"/>
          </w:tcPr>
          <w:p>
            <w:pPr>
              <w:widowControl/>
              <w:adjustRightInd w:val="0"/>
              <w:snapToGrid w:val="0"/>
              <w:spacing w:line="360" w:lineRule="exact"/>
              <w:jc w:val="center"/>
              <w:rPr>
                <w:rFonts w:eastAsia="宋体"/>
                <w:sz w:val="21"/>
                <w:szCs w:val="21"/>
              </w:rPr>
            </w:pPr>
            <w:r>
              <w:rPr>
                <w:rFonts w:eastAsia="宋体"/>
                <w:sz w:val="21"/>
                <w:szCs w:val="21"/>
              </w:rPr>
              <w:t>《环境空气质量标准》(GB3095-2012)</w:t>
            </w:r>
            <w:r>
              <w:rPr>
                <w:rFonts w:hint="eastAsia" w:eastAsia="宋体"/>
                <w:sz w:val="21"/>
                <w:szCs w:val="21"/>
              </w:rPr>
              <w:t>附录A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硫酸</w:t>
            </w:r>
          </w:p>
        </w:tc>
        <w:tc>
          <w:tcPr>
            <w:tcW w:w="1061"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482"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100</w:t>
            </w:r>
          </w:p>
        </w:tc>
        <w:tc>
          <w:tcPr>
            <w:tcW w:w="1485" w:type="dxa"/>
            <w:shd w:val="clear" w:color="auto" w:fill="auto"/>
            <w:vAlign w:val="center"/>
          </w:tcPr>
          <w:p>
            <w:pPr>
              <w:widowControl/>
              <w:adjustRightInd w:val="0"/>
              <w:snapToGrid w:val="0"/>
              <w:spacing w:line="360" w:lineRule="exact"/>
              <w:jc w:val="center"/>
              <w:rPr>
                <w:rFonts w:eastAsia="宋体"/>
                <w:sz w:val="21"/>
                <w:szCs w:val="21"/>
              </w:rPr>
            </w:pPr>
            <w:r>
              <w:rPr>
                <w:rFonts w:hint="eastAsia" w:eastAsia="宋体"/>
                <w:sz w:val="21"/>
                <w:szCs w:val="21"/>
              </w:rPr>
              <w:t>300</w:t>
            </w:r>
          </w:p>
        </w:tc>
        <w:tc>
          <w:tcPr>
            <w:tcW w:w="982" w:type="dxa"/>
            <w:vAlign w:val="center"/>
          </w:tcPr>
          <w:p>
            <w:pPr>
              <w:widowControl/>
              <w:adjustRightInd w:val="0"/>
              <w:snapToGrid w:val="0"/>
              <w:spacing w:line="360" w:lineRule="exact"/>
              <w:jc w:val="center"/>
              <w:rPr>
                <w:rFonts w:eastAsia="宋体"/>
                <w:sz w:val="21"/>
                <w:szCs w:val="21"/>
              </w:rPr>
            </w:pPr>
            <w:r>
              <w:rPr>
                <w:rFonts w:eastAsia="宋体"/>
                <w:sz w:val="21"/>
                <w:szCs w:val="21"/>
              </w:rPr>
              <w:t>μg/m</w:t>
            </w:r>
            <w:r>
              <w:rPr>
                <w:rFonts w:eastAsia="宋体"/>
                <w:sz w:val="21"/>
                <w:szCs w:val="21"/>
                <w:vertAlign w:val="superscript"/>
              </w:rPr>
              <w:t>3</w:t>
            </w:r>
          </w:p>
        </w:tc>
        <w:tc>
          <w:tcPr>
            <w:tcW w:w="2344"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 w:hRule="atLeast"/>
          <w:tblHeader/>
          <w:jc w:val="center"/>
        </w:trPr>
        <w:tc>
          <w:tcPr>
            <w:tcW w:w="1413" w:type="dxa"/>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二噁英</w:t>
            </w:r>
          </w:p>
        </w:tc>
        <w:tc>
          <w:tcPr>
            <w:tcW w:w="1061" w:type="dxa"/>
            <w:shd w:val="clear" w:color="auto" w:fill="auto"/>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0.6</w:t>
            </w:r>
          </w:p>
        </w:tc>
        <w:tc>
          <w:tcPr>
            <w:tcW w:w="1482" w:type="dxa"/>
            <w:shd w:val="clear" w:color="auto" w:fill="auto"/>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w:t>
            </w:r>
          </w:p>
        </w:tc>
        <w:tc>
          <w:tcPr>
            <w:tcW w:w="1485" w:type="dxa"/>
            <w:shd w:val="clear" w:color="auto" w:fill="auto"/>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w:t>
            </w:r>
          </w:p>
        </w:tc>
        <w:tc>
          <w:tcPr>
            <w:tcW w:w="982" w:type="dxa"/>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pg-TEQ/m</w:t>
            </w:r>
            <w:r>
              <w:rPr>
                <w:rFonts w:eastAsiaTheme="minorEastAsia"/>
                <w:sz w:val="21"/>
                <w:szCs w:val="21"/>
                <w:vertAlign w:val="superscript"/>
              </w:rPr>
              <w:t>3</w:t>
            </w:r>
          </w:p>
        </w:tc>
        <w:tc>
          <w:tcPr>
            <w:tcW w:w="2344" w:type="dxa"/>
            <w:vAlign w:val="center"/>
          </w:tcPr>
          <w:p>
            <w:pPr>
              <w:widowControl/>
              <w:adjustRightInd w:val="0"/>
              <w:snapToGrid w:val="0"/>
              <w:spacing w:line="360" w:lineRule="exact"/>
              <w:jc w:val="center"/>
              <w:rPr>
                <w:rFonts w:eastAsiaTheme="minorEastAsia"/>
                <w:sz w:val="21"/>
                <w:szCs w:val="21"/>
              </w:rPr>
            </w:pPr>
            <w:r>
              <w:rPr>
                <w:rFonts w:eastAsiaTheme="minorEastAsia"/>
                <w:sz w:val="21"/>
                <w:szCs w:val="21"/>
              </w:rPr>
              <w:t>日本环境质量标准</w:t>
            </w:r>
          </w:p>
        </w:tc>
      </w:tr>
    </w:tbl>
    <w:p>
      <w:pPr>
        <w:pStyle w:val="4"/>
        <w:spacing w:line="480" w:lineRule="exact"/>
        <w:ind w:firstLine="0"/>
        <w:rPr>
          <w:rFonts w:ascii="宋体" w:hAnsi="宋体" w:eastAsia="MS Mincho" w:cs="宋体"/>
          <w:spacing w:val="0"/>
          <w:sz w:val="21"/>
          <w:szCs w:val="21"/>
          <w:lang w:eastAsia="ja-JP"/>
        </w:rPr>
      </w:pPr>
      <w:r>
        <w:rPr>
          <w:rFonts w:hint="eastAsia" w:ascii="Times New Roman" w:hAnsi="Times New Roman" w:cs="Times New Roman"/>
          <w:spacing w:val="0"/>
          <w:sz w:val="21"/>
          <w:szCs w:val="21"/>
        </w:rPr>
        <w:t>注</w:t>
      </w:r>
      <w:r>
        <w:rPr>
          <w:rFonts w:ascii="Times New Roman" w:hAnsi="Times New Roman" w:cs="Times New Roman"/>
          <w:spacing w:val="0"/>
          <w:sz w:val="21"/>
          <w:szCs w:val="21"/>
        </w:rPr>
        <w:t>：</w:t>
      </w:r>
      <w:r>
        <w:rPr>
          <w:rFonts w:hint="eastAsia" w:ascii="宋体" w:hAnsi="宋体" w:cs="宋体"/>
          <w:spacing w:val="0"/>
          <w:sz w:val="21"/>
          <w:szCs w:val="21"/>
          <w:lang w:eastAsia="ja-JP"/>
        </w:rPr>
        <w:t>①适用于城市地区</w:t>
      </w:r>
    </w:p>
    <w:p>
      <w:pPr>
        <w:pStyle w:val="4"/>
        <w:spacing w:line="480" w:lineRule="exact"/>
        <w:ind w:firstLine="488"/>
        <w:rPr>
          <w:rFonts w:ascii="Times New Roman" w:hAnsi="Times New Roman" w:cs="Times New Roman"/>
          <w:spacing w:val="0"/>
        </w:rPr>
      </w:pPr>
      <w:r>
        <w:rPr>
          <w:rFonts w:ascii="Times New Roman" w:hAnsi="Times New Roman" w:cs="Times New Roman"/>
          <w:spacing w:val="0"/>
        </w:rPr>
        <w:t>2．水环境质量标准</w:t>
      </w:r>
    </w:p>
    <w:p>
      <w:pPr>
        <w:pStyle w:val="4"/>
        <w:spacing w:line="480" w:lineRule="exact"/>
        <w:ind w:firstLine="488"/>
        <w:rPr>
          <w:rFonts w:ascii="Times New Roman" w:hAnsi="Times New Roman" w:cs="Times New Roman"/>
          <w:spacing w:val="0"/>
        </w:rPr>
      </w:pPr>
      <w:r>
        <w:rPr>
          <w:rFonts w:ascii="Times New Roman" w:hAnsi="Times New Roman" w:cs="Times New Roman"/>
          <w:spacing w:val="0"/>
        </w:rPr>
        <w:t>（1）地表水</w:t>
      </w:r>
    </w:p>
    <w:p>
      <w:pPr>
        <w:pStyle w:val="4"/>
        <w:spacing w:line="480" w:lineRule="exact"/>
        <w:ind w:firstLine="488"/>
        <w:rPr>
          <w:rFonts w:ascii="Times New Roman" w:hAnsi="Times New Roman" w:cs="Times New Roman"/>
          <w:spacing w:val="0"/>
        </w:rPr>
      </w:pPr>
      <w:r>
        <w:rPr>
          <w:rFonts w:ascii="Times New Roman" w:hAnsi="Times New Roman" w:cs="Times New Roman"/>
          <w:spacing w:val="0"/>
        </w:rPr>
        <w:t>地表水环境执行《地表水环境质量标准》（GB3838-2002）中</w:t>
      </w:r>
      <w:r>
        <w:rPr>
          <w:rFonts w:hint="eastAsia" w:ascii="宋体" w:hAnsi="宋体" w:cs="宋体"/>
          <w:spacing w:val="0"/>
        </w:rPr>
        <w:t>Ⅲ</w:t>
      </w:r>
      <w:r>
        <w:rPr>
          <w:rFonts w:ascii="Times New Roman" w:hAnsi="Times New Roman" w:cs="Times New Roman"/>
          <w:spacing w:val="0"/>
        </w:rPr>
        <w:t>类标准。具体标准值详见表2-3。</w:t>
      </w:r>
    </w:p>
    <w:p>
      <w:pPr>
        <w:pStyle w:val="313"/>
        <w:tabs>
          <w:tab w:val="clear" w:pos="3908"/>
        </w:tabs>
        <w:ind w:left="1122" w:hanging="561"/>
        <w:rPr>
          <w:rFonts w:ascii="Times New Roman" w:hAnsi="Times New Roman"/>
        </w:rPr>
      </w:pPr>
      <w:r>
        <w:rPr>
          <w:rFonts w:ascii="Times New Roman" w:hAnsi="Times New Roman"/>
        </w:rPr>
        <w:t>《地表水环境质量标准》</w:t>
      </w:r>
      <w:r>
        <w:rPr>
          <w:rFonts w:ascii="Times New Roman" w:hAnsi="Times New Roman"/>
          <w:lang w:eastAsia="zh-CN"/>
        </w:rPr>
        <w:t>(</w:t>
      </w:r>
      <w:r>
        <w:rPr>
          <w:rFonts w:ascii="Times New Roman" w:hAnsi="Times New Roman"/>
        </w:rPr>
        <w:t>GB3838-2002</w:t>
      </w:r>
      <w:r>
        <w:rPr>
          <w:rFonts w:ascii="Times New Roman" w:hAnsi="Times New Roman"/>
          <w:lang w:eastAsia="zh-CN"/>
        </w:rPr>
        <w:t>)</w:t>
      </w:r>
      <w:r>
        <w:rPr>
          <w:rFonts w:ascii="Times New Roman" w:hAnsi="Times New Roman"/>
        </w:rPr>
        <w:t>（单位：mg/L（除pH外））</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2"/>
        <w:gridCol w:w="1011"/>
        <w:gridCol w:w="708"/>
        <w:gridCol w:w="850"/>
        <w:gridCol w:w="852"/>
        <w:gridCol w:w="742"/>
        <w:gridCol w:w="743"/>
        <w:gridCol w:w="146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jc w:val="center"/>
        </w:trPr>
        <w:tc>
          <w:tcPr>
            <w:tcW w:w="972" w:type="dxa"/>
            <w:vAlign w:val="center"/>
          </w:tcPr>
          <w:p>
            <w:pPr>
              <w:pStyle w:val="770"/>
              <w:rPr>
                <w:rFonts w:ascii="Times New Roman" w:hAnsi="Times New Roman"/>
                <w:lang w:val="en-US" w:eastAsia="zh-CN"/>
              </w:rPr>
            </w:pPr>
            <w:r>
              <w:rPr>
                <w:rFonts w:ascii="Times New Roman" w:hAnsi="Times New Roman"/>
                <w:lang w:val="en-US" w:eastAsia="zh-CN"/>
              </w:rPr>
              <w:t>项目</w:t>
            </w:r>
          </w:p>
        </w:tc>
        <w:tc>
          <w:tcPr>
            <w:tcW w:w="1011" w:type="dxa"/>
            <w:vAlign w:val="center"/>
          </w:tcPr>
          <w:p>
            <w:pPr>
              <w:pStyle w:val="770"/>
              <w:rPr>
                <w:rFonts w:ascii="Times New Roman" w:hAnsi="Times New Roman"/>
                <w:lang w:val="en-US" w:eastAsia="zh-CN"/>
              </w:rPr>
            </w:pPr>
            <w:r>
              <w:rPr>
                <w:rFonts w:ascii="Times New Roman" w:hAnsi="Times New Roman"/>
                <w:lang w:val="en-US" w:eastAsia="zh-CN"/>
              </w:rPr>
              <w:t>pH值</w:t>
            </w:r>
          </w:p>
        </w:tc>
        <w:tc>
          <w:tcPr>
            <w:tcW w:w="708" w:type="dxa"/>
            <w:vAlign w:val="center"/>
          </w:tcPr>
          <w:p>
            <w:pPr>
              <w:pStyle w:val="770"/>
              <w:rPr>
                <w:rFonts w:ascii="Times New Roman" w:hAnsi="Times New Roman"/>
                <w:lang w:val="en-US" w:eastAsia="zh-CN"/>
              </w:rPr>
            </w:pPr>
            <w:r>
              <w:rPr>
                <w:rFonts w:ascii="Times New Roman" w:hAnsi="Times New Roman"/>
                <w:lang w:val="en-US" w:eastAsia="zh-CN"/>
              </w:rPr>
              <w:t>DO</w:t>
            </w:r>
          </w:p>
        </w:tc>
        <w:tc>
          <w:tcPr>
            <w:tcW w:w="850" w:type="dxa"/>
            <w:vAlign w:val="center"/>
          </w:tcPr>
          <w:p>
            <w:pPr>
              <w:pStyle w:val="770"/>
              <w:rPr>
                <w:rFonts w:ascii="Times New Roman" w:hAnsi="Times New Roman"/>
                <w:lang w:val="en-US" w:eastAsia="zh-CN"/>
              </w:rPr>
            </w:pPr>
            <w:r>
              <w:rPr>
                <w:rFonts w:ascii="Times New Roman" w:hAnsi="Times New Roman"/>
                <w:lang w:val="en-US" w:eastAsia="zh-CN"/>
              </w:rPr>
              <w:t>石油类</w:t>
            </w:r>
          </w:p>
        </w:tc>
        <w:tc>
          <w:tcPr>
            <w:tcW w:w="852" w:type="dxa"/>
            <w:vAlign w:val="center"/>
          </w:tcPr>
          <w:p>
            <w:pPr>
              <w:pStyle w:val="770"/>
              <w:rPr>
                <w:rFonts w:ascii="Times New Roman" w:hAnsi="Times New Roman"/>
                <w:lang w:val="en-US" w:eastAsia="zh-CN"/>
              </w:rPr>
            </w:pPr>
            <w:r>
              <w:rPr>
                <w:rFonts w:ascii="Times New Roman" w:hAnsi="Times New Roman"/>
                <w:lang w:val="en-US" w:eastAsia="zh-CN"/>
              </w:rPr>
              <w:t>COD</w:t>
            </w:r>
            <w:r>
              <w:rPr>
                <w:rFonts w:ascii="Times New Roman" w:hAnsi="Times New Roman"/>
                <w:vertAlign w:val="subscript"/>
                <w:lang w:val="en-US" w:eastAsia="zh-CN"/>
              </w:rPr>
              <w:t>Cr</w:t>
            </w:r>
          </w:p>
        </w:tc>
        <w:tc>
          <w:tcPr>
            <w:tcW w:w="742" w:type="dxa"/>
            <w:vAlign w:val="center"/>
          </w:tcPr>
          <w:p>
            <w:pPr>
              <w:pStyle w:val="770"/>
              <w:rPr>
                <w:rFonts w:ascii="Times New Roman" w:hAnsi="Times New Roman"/>
                <w:lang w:val="en-US" w:eastAsia="zh-CN"/>
              </w:rPr>
            </w:pPr>
            <w:r>
              <w:rPr>
                <w:rFonts w:ascii="Times New Roman" w:hAnsi="Times New Roman"/>
                <w:lang w:val="en-US" w:eastAsia="zh-CN"/>
              </w:rPr>
              <w:t>氨氮</w:t>
            </w:r>
          </w:p>
        </w:tc>
        <w:tc>
          <w:tcPr>
            <w:tcW w:w="743" w:type="dxa"/>
            <w:vAlign w:val="center"/>
          </w:tcPr>
          <w:p>
            <w:pPr>
              <w:pStyle w:val="770"/>
              <w:rPr>
                <w:rFonts w:ascii="Times New Roman" w:hAnsi="Times New Roman"/>
                <w:lang w:val="en-US" w:eastAsia="zh-CN"/>
              </w:rPr>
            </w:pPr>
            <w:r>
              <w:rPr>
                <w:rFonts w:hint="eastAsia" w:ascii="Times New Roman" w:hAnsi="Times New Roman"/>
                <w:lang w:val="en-US" w:eastAsia="zh-CN"/>
              </w:rPr>
              <w:t>挥发酚</w:t>
            </w:r>
          </w:p>
        </w:tc>
        <w:tc>
          <w:tcPr>
            <w:tcW w:w="1469" w:type="dxa"/>
            <w:vAlign w:val="center"/>
          </w:tcPr>
          <w:p>
            <w:pPr>
              <w:pStyle w:val="770"/>
              <w:rPr>
                <w:rFonts w:ascii="Times New Roman" w:hAnsi="Times New Roman"/>
                <w:lang w:val="en-US" w:eastAsia="zh-CN"/>
              </w:rPr>
            </w:pPr>
            <w:r>
              <w:rPr>
                <w:rFonts w:ascii="Times New Roman" w:hAnsi="Times New Roman"/>
                <w:lang w:val="en-US" w:eastAsia="zh-CN"/>
              </w:rPr>
              <w:t>总磷(以P计)</w:t>
            </w:r>
          </w:p>
        </w:tc>
        <w:tc>
          <w:tcPr>
            <w:tcW w:w="1420" w:type="dxa"/>
            <w:vAlign w:val="center"/>
          </w:tcPr>
          <w:p>
            <w:pPr>
              <w:pStyle w:val="770"/>
              <w:rPr>
                <w:rFonts w:ascii="Times New Roman" w:hAnsi="Times New Roman"/>
                <w:lang w:val="en-US" w:eastAsia="zh-CN"/>
              </w:rPr>
            </w:pPr>
            <w:r>
              <w:rPr>
                <w:rFonts w:hint="eastAsia" w:ascii="Times New Roman" w:hAnsi="Times New Roman"/>
                <w:lang w:val="en-US" w:eastAsia="zh-CN"/>
              </w:rPr>
              <w:t>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0" w:hRule="atLeast"/>
          <w:jc w:val="center"/>
        </w:trPr>
        <w:tc>
          <w:tcPr>
            <w:tcW w:w="972" w:type="dxa"/>
            <w:vAlign w:val="center"/>
          </w:tcPr>
          <w:p>
            <w:pPr>
              <w:pStyle w:val="770"/>
              <w:rPr>
                <w:rFonts w:ascii="Times New Roman" w:hAnsi="Times New Roman"/>
                <w:lang w:val="en-US" w:eastAsia="zh-CN"/>
              </w:rPr>
            </w:pPr>
            <w:r>
              <w:rPr>
                <w:rFonts w:hint="eastAsia" w:ascii="宋体" w:hAnsi="宋体" w:cs="宋体"/>
                <w:lang w:val="en-US" w:eastAsia="zh-CN"/>
              </w:rPr>
              <w:t>Ⅲ</w:t>
            </w:r>
            <w:r>
              <w:rPr>
                <w:rFonts w:ascii="Times New Roman" w:hAnsi="Times New Roman"/>
                <w:lang w:val="en-US" w:eastAsia="zh-CN"/>
              </w:rPr>
              <w:t>类</w:t>
            </w:r>
          </w:p>
        </w:tc>
        <w:tc>
          <w:tcPr>
            <w:tcW w:w="1011" w:type="dxa"/>
            <w:vAlign w:val="center"/>
          </w:tcPr>
          <w:p>
            <w:pPr>
              <w:pStyle w:val="770"/>
              <w:rPr>
                <w:rFonts w:ascii="Times New Roman" w:hAnsi="Times New Roman"/>
                <w:lang w:val="en-US" w:eastAsia="zh-CN"/>
              </w:rPr>
            </w:pPr>
            <w:r>
              <w:rPr>
                <w:rFonts w:ascii="Times New Roman" w:hAnsi="Times New Roman"/>
                <w:lang w:val="en-US" w:eastAsia="zh-CN"/>
              </w:rPr>
              <w:t>6～9</w:t>
            </w:r>
          </w:p>
        </w:tc>
        <w:tc>
          <w:tcPr>
            <w:tcW w:w="708" w:type="dxa"/>
            <w:vAlign w:val="center"/>
          </w:tcPr>
          <w:p>
            <w:pPr>
              <w:pStyle w:val="770"/>
              <w:rPr>
                <w:rFonts w:ascii="Times New Roman" w:hAnsi="Times New Roman"/>
                <w:lang w:val="en-US" w:eastAsia="zh-CN"/>
              </w:rPr>
            </w:pPr>
            <w:r>
              <w:rPr>
                <w:rFonts w:ascii="Times New Roman" w:hAnsi="Times New Roman"/>
                <w:lang w:val="en-US" w:eastAsia="zh-CN"/>
              </w:rPr>
              <w:t>≥5</w:t>
            </w:r>
          </w:p>
        </w:tc>
        <w:tc>
          <w:tcPr>
            <w:tcW w:w="850" w:type="dxa"/>
            <w:vAlign w:val="center"/>
          </w:tcPr>
          <w:p>
            <w:pPr>
              <w:pStyle w:val="770"/>
              <w:rPr>
                <w:rFonts w:ascii="Times New Roman" w:hAnsi="Times New Roman"/>
                <w:lang w:val="en-US" w:eastAsia="zh-CN"/>
              </w:rPr>
            </w:pPr>
            <w:r>
              <w:rPr>
                <w:rFonts w:ascii="Times New Roman" w:hAnsi="Times New Roman"/>
                <w:lang w:val="en-US" w:eastAsia="zh-CN"/>
              </w:rPr>
              <w:t>≤0.05</w:t>
            </w:r>
          </w:p>
        </w:tc>
        <w:tc>
          <w:tcPr>
            <w:tcW w:w="852" w:type="dxa"/>
          </w:tcPr>
          <w:p>
            <w:pPr>
              <w:pStyle w:val="770"/>
              <w:rPr>
                <w:rFonts w:ascii="Times New Roman" w:hAnsi="Times New Roman"/>
                <w:lang w:val="en-US" w:eastAsia="zh-CN"/>
              </w:rPr>
            </w:pPr>
            <w:r>
              <w:rPr>
                <w:rFonts w:ascii="Times New Roman" w:hAnsi="Times New Roman"/>
                <w:lang w:val="en-US" w:eastAsia="zh-CN"/>
              </w:rPr>
              <w:t>≤20</w:t>
            </w:r>
          </w:p>
        </w:tc>
        <w:tc>
          <w:tcPr>
            <w:tcW w:w="742" w:type="dxa"/>
            <w:vAlign w:val="center"/>
          </w:tcPr>
          <w:p>
            <w:pPr>
              <w:pStyle w:val="770"/>
              <w:rPr>
                <w:rFonts w:ascii="Times New Roman" w:hAnsi="Times New Roman"/>
                <w:lang w:val="en-US" w:eastAsia="zh-CN"/>
              </w:rPr>
            </w:pPr>
            <w:r>
              <w:rPr>
                <w:rFonts w:ascii="Times New Roman" w:hAnsi="Times New Roman"/>
                <w:lang w:val="en-US" w:eastAsia="zh-CN"/>
              </w:rPr>
              <w:t>≤1.0</w:t>
            </w:r>
          </w:p>
        </w:tc>
        <w:tc>
          <w:tcPr>
            <w:tcW w:w="743" w:type="dxa"/>
            <w:vAlign w:val="center"/>
          </w:tcPr>
          <w:p>
            <w:pPr>
              <w:pStyle w:val="770"/>
              <w:rPr>
                <w:rFonts w:ascii="Times New Roman" w:hAnsi="Times New Roman"/>
                <w:lang w:val="en-US" w:eastAsia="zh-CN"/>
              </w:rPr>
            </w:pPr>
            <w:r>
              <w:rPr>
                <w:rFonts w:ascii="Times New Roman" w:hAnsi="Times New Roman"/>
                <w:lang w:val="en-US" w:eastAsia="zh-CN"/>
              </w:rPr>
              <w:t>≤</w:t>
            </w:r>
            <w:r>
              <w:rPr>
                <w:rFonts w:hint="eastAsia" w:ascii="Times New Roman" w:hAnsi="Times New Roman"/>
                <w:lang w:val="en-US" w:eastAsia="zh-CN"/>
              </w:rPr>
              <w:t>0.005</w:t>
            </w:r>
          </w:p>
        </w:tc>
        <w:tc>
          <w:tcPr>
            <w:tcW w:w="1469" w:type="dxa"/>
            <w:vAlign w:val="center"/>
          </w:tcPr>
          <w:p>
            <w:pPr>
              <w:pStyle w:val="770"/>
              <w:rPr>
                <w:rFonts w:ascii="Times New Roman" w:hAnsi="Times New Roman"/>
                <w:lang w:val="en-US" w:eastAsia="zh-CN"/>
              </w:rPr>
            </w:pPr>
            <w:r>
              <w:rPr>
                <w:rFonts w:ascii="Times New Roman" w:hAnsi="Times New Roman"/>
                <w:lang w:val="en-US" w:eastAsia="zh-CN"/>
              </w:rPr>
              <w:t>≤0.2</w:t>
            </w:r>
          </w:p>
        </w:tc>
        <w:tc>
          <w:tcPr>
            <w:tcW w:w="1420" w:type="dxa"/>
            <w:vAlign w:val="center"/>
          </w:tcPr>
          <w:p>
            <w:pPr>
              <w:pStyle w:val="770"/>
              <w:rPr>
                <w:rFonts w:ascii="Times New Roman" w:hAnsi="Times New Roman"/>
                <w:lang w:val="en-US" w:eastAsia="zh-CN"/>
              </w:rPr>
            </w:pPr>
            <w:r>
              <w:rPr>
                <w:rFonts w:hint="eastAsia" w:ascii="Times New Roman" w:hAnsi="Times New Roman"/>
                <w:lang w:val="en-US" w:eastAsia="zh-CN"/>
              </w:rPr>
              <w:t>≤6</w:t>
            </w:r>
          </w:p>
        </w:tc>
      </w:tr>
    </w:tbl>
    <w:p>
      <w:pPr>
        <w:pStyle w:val="4"/>
        <w:spacing w:line="480" w:lineRule="exact"/>
        <w:ind w:firstLine="488"/>
        <w:rPr>
          <w:rFonts w:ascii="Times New Roman" w:hAnsi="Times New Roman" w:cs="Times New Roman"/>
          <w:spacing w:val="0"/>
        </w:rPr>
      </w:pPr>
      <w:r>
        <w:rPr>
          <w:rFonts w:ascii="Times New Roman" w:hAnsi="Times New Roman" w:cs="Times New Roman"/>
          <w:spacing w:val="0"/>
        </w:rPr>
        <w:t>（2）地下水</w:t>
      </w:r>
    </w:p>
    <w:p>
      <w:pPr>
        <w:pStyle w:val="4"/>
        <w:spacing w:line="480" w:lineRule="exact"/>
        <w:ind w:firstLine="488"/>
        <w:rPr>
          <w:rFonts w:ascii="Times New Roman" w:hAnsi="Times New Roman" w:cs="Times New Roman"/>
          <w:spacing w:val="0"/>
        </w:rPr>
      </w:pPr>
      <w:r>
        <w:rPr>
          <w:rFonts w:hint="eastAsia" w:ascii="Times New Roman" w:hAnsi="Times New Roman" w:cs="Times New Roman"/>
          <w:spacing w:val="0"/>
        </w:rPr>
        <w:t>地下水执行</w:t>
      </w:r>
      <w:r>
        <w:rPr>
          <w:rFonts w:ascii="Times New Roman" w:hAnsi="Times New Roman" w:cs="Times New Roman"/>
          <w:spacing w:val="0"/>
        </w:rPr>
        <w:t>《地下水质量标准》(GB/T14848-2017)</w:t>
      </w:r>
      <w:r>
        <w:rPr>
          <w:rFonts w:hint="eastAsia" w:ascii="宋体" w:hAnsi="宋体" w:cs="宋体"/>
          <w:spacing w:val="0"/>
        </w:rPr>
        <w:t>Ⅲ</w:t>
      </w:r>
      <w:r>
        <w:rPr>
          <w:rFonts w:ascii="Times New Roman" w:hAnsi="Times New Roman" w:cs="Times New Roman"/>
          <w:spacing w:val="0"/>
        </w:rPr>
        <w:t>类标准，具体标准值详见表2-4。</w:t>
      </w:r>
    </w:p>
    <w:p>
      <w:pPr>
        <w:pStyle w:val="313"/>
        <w:tabs>
          <w:tab w:val="clear" w:pos="3908"/>
        </w:tabs>
        <w:ind w:left="1122" w:hanging="561"/>
        <w:rPr>
          <w:rFonts w:ascii="Times New Roman" w:hAnsi="Times New Roman"/>
        </w:rPr>
      </w:pPr>
      <w:r>
        <w:rPr>
          <w:rFonts w:ascii="Times New Roman" w:hAnsi="Times New Roman"/>
        </w:rPr>
        <w:t>《地下水质量标准》</w:t>
      </w:r>
      <w:r>
        <w:rPr>
          <w:rFonts w:ascii="Times New Roman" w:hAnsi="Times New Roman"/>
          <w:lang w:eastAsia="zh-CN"/>
        </w:rPr>
        <w:t>(</w:t>
      </w:r>
      <w:r>
        <w:rPr>
          <w:rFonts w:ascii="Times New Roman" w:hAnsi="Times New Roman"/>
        </w:rPr>
        <w:t>GB/T14848-2017</w:t>
      </w:r>
      <w:r>
        <w:rPr>
          <w:rFonts w:ascii="Times New Roman" w:hAnsi="Times New Roman"/>
          <w:lang w:eastAsia="zh-CN"/>
        </w:rPr>
        <w:t>)</w:t>
      </w:r>
      <w:r>
        <w:rPr>
          <w:rFonts w:ascii="Times New Roman" w:hAnsi="Times New Roman"/>
        </w:rPr>
        <w:t>（单位：mg/L（除pH外））</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3027"/>
        <w:gridCol w:w="1020"/>
        <w:gridCol w:w="922"/>
        <w:gridCol w:w="1015"/>
        <w:gridCol w:w="1094"/>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序号</w:t>
            </w:r>
          </w:p>
        </w:tc>
        <w:tc>
          <w:tcPr>
            <w:tcW w:w="3027" w:type="dxa"/>
            <w:tcBorders>
              <w:tl2br w:val="single" w:color="auto" w:sz="4" w:space="0"/>
            </w:tcBorders>
            <w:shd w:val="clear" w:color="auto" w:fill="auto"/>
            <w:vAlign w:val="center"/>
          </w:tcPr>
          <w:p>
            <w:pPr>
              <w:snapToGrid w:val="0"/>
              <w:jc w:val="right"/>
              <w:rPr>
                <w:rFonts w:eastAsia="宋体"/>
                <w:sz w:val="21"/>
                <w:szCs w:val="21"/>
              </w:rPr>
            </w:pPr>
            <w:r>
              <w:rPr>
                <w:rFonts w:eastAsia="宋体"/>
                <w:sz w:val="21"/>
                <w:szCs w:val="21"/>
              </w:rPr>
              <w:t>标准值</w:t>
            </w:r>
          </w:p>
          <w:p>
            <w:pPr>
              <w:snapToGrid w:val="0"/>
              <w:rPr>
                <w:rFonts w:eastAsia="宋体"/>
                <w:sz w:val="21"/>
                <w:szCs w:val="21"/>
              </w:rPr>
            </w:pPr>
            <w:r>
              <w:rPr>
                <w:rFonts w:eastAsia="宋体"/>
                <w:sz w:val="21"/>
                <w:szCs w:val="21"/>
              </w:rPr>
              <w:t>项目名称</w:t>
            </w:r>
          </w:p>
        </w:tc>
        <w:tc>
          <w:tcPr>
            <w:tcW w:w="1020" w:type="dxa"/>
            <w:shd w:val="clear" w:color="auto" w:fill="auto"/>
            <w:vAlign w:val="center"/>
          </w:tcPr>
          <w:p>
            <w:pPr>
              <w:snapToGrid w:val="0"/>
              <w:jc w:val="center"/>
              <w:rPr>
                <w:rFonts w:eastAsia="宋体"/>
                <w:sz w:val="21"/>
                <w:szCs w:val="21"/>
              </w:rPr>
            </w:pPr>
            <w:r>
              <w:rPr>
                <w:rFonts w:hint="eastAsia" w:ascii="宋体" w:hAnsi="宋体" w:eastAsia="宋体" w:cs="宋体"/>
                <w:sz w:val="21"/>
                <w:szCs w:val="21"/>
              </w:rPr>
              <w:t>Ⅰ</w:t>
            </w:r>
            <w:r>
              <w:rPr>
                <w:rFonts w:eastAsia="宋体"/>
                <w:sz w:val="21"/>
                <w:szCs w:val="21"/>
              </w:rPr>
              <w:t>类</w:t>
            </w:r>
          </w:p>
        </w:tc>
        <w:tc>
          <w:tcPr>
            <w:tcW w:w="922" w:type="dxa"/>
            <w:shd w:val="clear" w:color="auto" w:fill="auto"/>
            <w:vAlign w:val="center"/>
          </w:tcPr>
          <w:p>
            <w:pPr>
              <w:snapToGrid w:val="0"/>
              <w:jc w:val="center"/>
              <w:rPr>
                <w:rFonts w:eastAsia="宋体"/>
                <w:sz w:val="21"/>
                <w:szCs w:val="21"/>
              </w:rPr>
            </w:pPr>
            <w:r>
              <w:rPr>
                <w:rFonts w:hint="eastAsia" w:ascii="宋体" w:hAnsi="宋体" w:eastAsia="宋体" w:cs="宋体"/>
                <w:sz w:val="21"/>
                <w:szCs w:val="21"/>
              </w:rPr>
              <w:t>Ⅱ</w:t>
            </w:r>
            <w:r>
              <w:rPr>
                <w:rFonts w:eastAsia="宋体"/>
                <w:sz w:val="21"/>
                <w:szCs w:val="21"/>
              </w:rPr>
              <w:t>类</w:t>
            </w:r>
          </w:p>
        </w:tc>
        <w:tc>
          <w:tcPr>
            <w:tcW w:w="1015" w:type="dxa"/>
            <w:shd w:val="clear" w:color="auto" w:fill="auto"/>
            <w:vAlign w:val="center"/>
          </w:tcPr>
          <w:p>
            <w:pPr>
              <w:snapToGrid w:val="0"/>
              <w:jc w:val="center"/>
              <w:rPr>
                <w:rFonts w:eastAsia="宋体"/>
                <w:sz w:val="21"/>
                <w:szCs w:val="21"/>
              </w:rPr>
            </w:pPr>
            <w:r>
              <w:rPr>
                <w:rFonts w:hint="eastAsia" w:ascii="宋体" w:hAnsi="宋体" w:eastAsia="宋体" w:cs="宋体"/>
                <w:sz w:val="21"/>
                <w:szCs w:val="21"/>
              </w:rPr>
              <w:t>Ⅲ</w:t>
            </w:r>
            <w:r>
              <w:rPr>
                <w:rFonts w:eastAsia="宋体"/>
                <w:sz w:val="21"/>
                <w:szCs w:val="21"/>
              </w:rPr>
              <w:t>类</w:t>
            </w:r>
          </w:p>
        </w:tc>
        <w:tc>
          <w:tcPr>
            <w:tcW w:w="1094" w:type="dxa"/>
            <w:shd w:val="clear" w:color="auto" w:fill="auto"/>
            <w:vAlign w:val="center"/>
          </w:tcPr>
          <w:p>
            <w:pPr>
              <w:snapToGrid w:val="0"/>
              <w:jc w:val="center"/>
              <w:rPr>
                <w:rFonts w:eastAsia="宋体"/>
                <w:sz w:val="21"/>
                <w:szCs w:val="21"/>
              </w:rPr>
            </w:pPr>
            <w:r>
              <w:rPr>
                <w:rFonts w:hint="eastAsia" w:ascii="宋体" w:hAnsi="宋体" w:eastAsia="宋体" w:cs="宋体"/>
                <w:sz w:val="21"/>
                <w:szCs w:val="21"/>
              </w:rPr>
              <w:t>Ⅳ</w:t>
            </w:r>
            <w:r>
              <w:rPr>
                <w:rFonts w:eastAsia="宋体"/>
                <w:sz w:val="21"/>
                <w:szCs w:val="21"/>
              </w:rPr>
              <w:t>类</w:t>
            </w:r>
          </w:p>
        </w:tc>
        <w:tc>
          <w:tcPr>
            <w:tcW w:w="1185" w:type="dxa"/>
            <w:vAlign w:val="center"/>
          </w:tcPr>
          <w:p>
            <w:pPr>
              <w:snapToGrid w:val="0"/>
              <w:jc w:val="center"/>
              <w:rPr>
                <w:rFonts w:eastAsia="宋体"/>
                <w:sz w:val="21"/>
                <w:szCs w:val="21"/>
              </w:rPr>
            </w:pPr>
            <w:r>
              <w:rPr>
                <w:rFonts w:hint="eastAsia" w:ascii="宋体" w:hAnsi="宋体" w:eastAsia="宋体" w:cs="宋体"/>
                <w:sz w:val="21"/>
                <w:szCs w:val="21"/>
              </w:rPr>
              <w:t>Ⅴ</w:t>
            </w:r>
            <w:r>
              <w:rPr>
                <w:rFonts w:eastAsia="宋体"/>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1</w:t>
            </w:r>
          </w:p>
        </w:tc>
        <w:tc>
          <w:tcPr>
            <w:tcW w:w="3027" w:type="dxa"/>
            <w:shd w:val="clear" w:color="auto" w:fill="auto"/>
            <w:vAlign w:val="center"/>
          </w:tcPr>
          <w:p>
            <w:pPr>
              <w:snapToGrid w:val="0"/>
              <w:jc w:val="center"/>
              <w:rPr>
                <w:rFonts w:eastAsia="宋体"/>
                <w:sz w:val="21"/>
                <w:szCs w:val="21"/>
              </w:rPr>
            </w:pPr>
            <w:r>
              <w:rPr>
                <w:rFonts w:eastAsia="宋体"/>
                <w:sz w:val="21"/>
                <w:szCs w:val="21"/>
              </w:rPr>
              <w:t>pH</w:t>
            </w:r>
          </w:p>
        </w:tc>
        <w:tc>
          <w:tcPr>
            <w:tcW w:w="2957" w:type="dxa"/>
            <w:gridSpan w:val="3"/>
            <w:shd w:val="clear" w:color="auto" w:fill="auto"/>
            <w:vAlign w:val="center"/>
          </w:tcPr>
          <w:p>
            <w:pPr>
              <w:snapToGrid w:val="0"/>
              <w:jc w:val="center"/>
              <w:rPr>
                <w:rFonts w:eastAsia="宋体"/>
                <w:sz w:val="21"/>
                <w:szCs w:val="21"/>
              </w:rPr>
            </w:pPr>
            <w:r>
              <w:rPr>
                <w:rFonts w:eastAsia="宋体"/>
                <w:sz w:val="21"/>
                <w:szCs w:val="21"/>
              </w:rPr>
              <w:t>6.5≤pH≤8.5</w:t>
            </w:r>
          </w:p>
        </w:tc>
        <w:tc>
          <w:tcPr>
            <w:tcW w:w="1094" w:type="dxa"/>
            <w:shd w:val="clear" w:color="auto" w:fill="auto"/>
            <w:vAlign w:val="center"/>
          </w:tcPr>
          <w:p>
            <w:pPr>
              <w:snapToGrid w:val="0"/>
              <w:jc w:val="center"/>
              <w:rPr>
                <w:rFonts w:eastAsia="宋体"/>
                <w:sz w:val="21"/>
                <w:szCs w:val="21"/>
              </w:rPr>
            </w:pPr>
            <w:r>
              <w:rPr>
                <w:rFonts w:eastAsia="宋体"/>
                <w:sz w:val="21"/>
                <w:szCs w:val="21"/>
              </w:rPr>
              <w:t>5.5≤pH＜6.5，8.5＜pH≤ 9</w:t>
            </w:r>
          </w:p>
        </w:tc>
        <w:tc>
          <w:tcPr>
            <w:tcW w:w="1185" w:type="dxa"/>
            <w:vAlign w:val="center"/>
          </w:tcPr>
          <w:p>
            <w:pPr>
              <w:snapToGrid w:val="0"/>
              <w:jc w:val="center"/>
              <w:rPr>
                <w:rFonts w:eastAsia="宋体"/>
                <w:sz w:val="21"/>
                <w:szCs w:val="21"/>
              </w:rPr>
            </w:pPr>
            <w:r>
              <w:rPr>
                <w:rFonts w:eastAsia="宋体"/>
                <w:sz w:val="21"/>
                <w:szCs w:val="21"/>
              </w:rPr>
              <w:t>＜5.5或＞9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2</w:t>
            </w:r>
          </w:p>
        </w:tc>
        <w:tc>
          <w:tcPr>
            <w:tcW w:w="3027" w:type="dxa"/>
            <w:shd w:val="clear" w:color="auto" w:fill="auto"/>
            <w:vAlign w:val="center"/>
          </w:tcPr>
          <w:p>
            <w:pPr>
              <w:snapToGrid w:val="0"/>
              <w:jc w:val="center"/>
              <w:rPr>
                <w:rFonts w:eastAsia="宋体"/>
                <w:sz w:val="21"/>
                <w:szCs w:val="21"/>
              </w:rPr>
            </w:pPr>
            <w:r>
              <w:rPr>
                <w:rFonts w:eastAsia="宋体"/>
                <w:sz w:val="21"/>
                <w:szCs w:val="21"/>
              </w:rPr>
              <w:t>总硬度（以CaCO</w:t>
            </w:r>
            <w:r>
              <w:rPr>
                <w:rFonts w:eastAsia="宋体"/>
                <w:sz w:val="21"/>
                <w:szCs w:val="21"/>
                <w:vertAlign w:val="subscript"/>
              </w:rPr>
              <w:t>3</w:t>
            </w:r>
            <w:r>
              <w:rPr>
                <w:rFonts w:eastAsia="宋体"/>
                <w:sz w:val="21"/>
                <w:szCs w:val="21"/>
              </w:rPr>
              <w:t>计）</w:t>
            </w:r>
          </w:p>
        </w:tc>
        <w:tc>
          <w:tcPr>
            <w:tcW w:w="1020" w:type="dxa"/>
            <w:shd w:val="clear" w:color="auto" w:fill="auto"/>
            <w:vAlign w:val="center"/>
          </w:tcPr>
          <w:p>
            <w:pPr>
              <w:snapToGrid w:val="0"/>
              <w:jc w:val="center"/>
              <w:rPr>
                <w:rFonts w:eastAsia="宋体"/>
                <w:sz w:val="21"/>
                <w:szCs w:val="21"/>
              </w:rPr>
            </w:pPr>
            <w:r>
              <w:rPr>
                <w:rFonts w:eastAsia="宋体"/>
                <w:sz w:val="21"/>
                <w:szCs w:val="21"/>
              </w:rPr>
              <w:t>≤150</w:t>
            </w:r>
          </w:p>
        </w:tc>
        <w:tc>
          <w:tcPr>
            <w:tcW w:w="922" w:type="dxa"/>
            <w:shd w:val="clear" w:color="auto" w:fill="auto"/>
            <w:vAlign w:val="center"/>
          </w:tcPr>
          <w:p>
            <w:pPr>
              <w:snapToGrid w:val="0"/>
              <w:jc w:val="center"/>
              <w:rPr>
                <w:rFonts w:eastAsia="宋体"/>
                <w:sz w:val="21"/>
                <w:szCs w:val="21"/>
              </w:rPr>
            </w:pPr>
            <w:r>
              <w:rPr>
                <w:rFonts w:eastAsia="宋体"/>
                <w:sz w:val="21"/>
                <w:szCs w:val="21"/>
              </w:rPr>
              <w:t>≤300</w:t>
            </w:r>
          </w:p>
        </w:tc>
        <w:tc>
          <w:tcPr>
            <w:tcW w:w="1015" w:type="dxa"/>
            <w:shd w:val="clear" w:color="auto" w:fill="auto"/>
            <w:vAlign w:val="center"/>
          </w:tcPr>
          <w:p>
            <w:pPr>
              <w:snapToGrid w:val="0"/>
              <w:jc w:val="center"/>
              <w:rPr>
                <w:rFonts w:eastAsia="宋体"/>
                <w:sz w:val="21"/>
                <w:szCs w:val="21"/>
              </w:rPr>
            </w:pPr>
            <w:r>
              <w:rPr>
                <w:rFonts w:eastAsia="宋体"/>
                <w:sz w:val="21"/>
                <w:szCs w:val="21"/>
              </w:rPr>
              <w:t>≤450</w:t>
            </w:r>
          </w:p>
        </w:tc>
        <w:tc>
          <w:tcPr>
            <w:tcW w:w="1094" w:type="dxa"/>
            <w:shd w:val="clear" w:color="auto" w:fill="auto"/>
            <w:vAlign w:val="center"/>
          </w:tcPr>
          <w:p>
            <w:pPr>
              <w:snapToGrid w:val="0"/>
              <w:jc w:val="center"/>
              <w:rPr>
                <w:rFonts w:eastAsia="宋体"/>
                <w:sz w:val="21"/>
                <w:szCs w:val="21"/>
              </w:rPr>
            </w:pPr>
            <w:r>
              <w:rPr>
                <w:rFonts w:eastAsia="宋体"/>
                <w:sz w:val="21"/>
                <w:szCs w:val="21"/>
              </w:rPr>
              <w:t>≤650</w:t>
            </w:r>
          </w:p>
        </w:tc>
        <w:tc>
          <w:tcPr>
            <w:tcW w:w="1185" w:type="dxa"/>
            <w:vAlign w:val="center"/>
          </w:tcPr>
          <w:p>
            <w:pPr>
              <w:snapToGrid w:val="0"/>
              <w:jc w:val="center"/>
              <w:rPr>
                <w:rFonts w:eastAsia="宋体"/>
                <w:sz w:val="21"/>
                <w:szCs w:val="21"/>
              </w:rPr>
            </w:pPr>
            <w:r>
              <w:rPr>
                <w:rFonts w:eastAsia="宋体"/>
                <w:sz w:val="21"/>
                <w:szCs w:val="21"/>
              </w:rPr>
              <w:t>&gt;650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3</w:t>
            </w:r>
          </w:p>
        </w:tc>
        <w:tc>
          <w:tcPr>
            <w:tcW w:w="3027" w:type="dxa"/>
            <w:shd w:val="clear" w:color="auto" w:fill="auto"/>
            <w:vAlign w:val="center"/>
          </w:tcPr>
          <w:p>
            <w:pPr>
              <w:snapToGrid w:val="0"/>
              <w:jc w:val="center"/>
              <w:rPr>
                <w:rFonts w:eastAsia="宋体"/>
                <w:sz w:val="21"/>
                <w:szCs w:val="21"/>
              </w:rPr>
            </w:pPr>
            <w:r>
              <w:rPr>
                <w:rFonts w:eastAsia="宋体"/>
                <w:sz w:val="21"/>
                <w:szCs w:val="21"/>
              </w:rPr>
              <w:t>溶解性总固体</w:t>
            </w:r>
          </w:p>
        </w:tc>
        <w:tc>
          <w:tcPr>
            <w:tcW w:w="1020" w:type="dxa"/>
            <w:shd w:val="clear" w:color="auto" w:fill="auto"/>
            <w:vAlign w:val="center"/>
          </w:tcPr>
          <w:p>
            <w:pPr>
              <w:snapToGrid w:val="0"/>
              <w:jc w:val="center"/>
              <w:rPr>
                <w:rFonts w:eastAsia="宋体"/>
                <w:sz w:val="21"/>
                <w:szCs w:val="21"/>
              </w:rPr>
            </w:pPr>
            <w:r>
              <w:rPr>
                <w:rFonts w:eastAsia="宋体"/>
                <w:sz w:val="21"/>
                <w:szCs w:val="21"/>
              </w:rPr>
              <w:t>≤300</w:t>
            </w:r>
          </w:p>
        </w:tc>
        <w:tc>
          <w:tcPr>
            <w:tcW w:w="922" w:type="dxa"/>
            <w:shd w:val="clear" w:color="auto" w:fill="auto"/>
            <w:vAlign w:val="center"/>
          </w:tcPr>
          <w:p>
            <w:pPr>
              <w:snapToGrid w:val="0"/>
              <w:jc w:val="center"/>
              <w:rPr>
                <w:rFonts w:eastAsia="宋体"/>
                <w:sz w:val="21"/>
                <w:szCs w:val="21"/>
              </w:rPr>
            </w:pPr>
            <w:r>
              <w:rPr>
                <w:rFonts w:eastAsia="宋体"/>
                <w:sz w:val="21"/>
                <w:szCs w:val="21"/>
              </w:rPr>
              <w:t>≤500</w:t>
            </w:r>
          </w:p>
        </w:tc>
        <w:tc>
          <w:tcPr>
            <w:tcW w:w="1015" w:type="dxa"/>
            <w:shd w:val="clear" w:color="auto" w:fill="auto"/>
            <w:vAlign w:val="center"/>
          </w:tcPr>
          <w:p>
            <w:pPr>
              <w:snapToGrid w:val="0"/>
              <w:jc w:val="center"/>
              <w:rPr>
                <w:rFonts w:eastAsia="宋体"/>
                <w:sz w:val="21"/>
                <w:szCs w:val="21"/>
              </w:rPr>
            </w:pPr>
            <w:r>
              <w:rPr>
                <w:rFonts w:eastAsia="宋体"/>
                <w:sz w:val="21"/>
                <w:szCs w:val="21"/>
              </w:rPr>
              <w:t>≤1000</w:t>
            </w:r>
          </w:p>
        </w:tc>
        <w:tc>
          <w:tcPr>
            <w:tcW w:w="1094" w:type="dxa"/>
            <w:shd w:val="clear" w:color="auto" w:fill="auto"/>
            <w:vAlign w:val="center"/>
          </w:tcPr>
          <w:p>
            <w:pPr>
              <w:snapToGrid w:val="0"/>
              <w:jc w:val="center"/>
              <w:rPr>
                <w:rFonts w:eastAsia="宋体"/>
                <w:sz w:val="21"/>
                <w:szCs w:val="21"/>
              </w:rPr>
            </w:pPr>
            <w:r>
              <w:rPr>
                <w:rFonts w:eastAsia="宋体"/>
                <w:sz w:val="21"/>
                <w:szCs w:val="21"/>
              </w:rPr>
              <w:t>≤2000</w:t>
            </w:r>
          </w:p>
        </w:tc>
        <w:tc>
          <w:tcPr>
            <w:tcW w:w="1185" w:type="dxa"/>
            <w:vAlign w:val="center"/>
          </w:tcPr>
          <w:p>
            <w:pPr>
              <w:snapToGrid w:val="0"/>
              <w:jc w:val="center"/>
              <w:rPr>
                <w:rFonts w:eastAsia="宋体"/>
                <w:sz w:val="21"/>
                <w:szCs w:val="21"/>
              </w:rPr>
            </w:pPr>
            <w:r>
              <w:rPr>
                <w:rFonts w:eastAsia="宋体"/>
                <w:sz w:val="21"/>
                <w:szCs w:val="21"/>
              </w:rPr>
              <w:t>&gt;2000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4</w:t>
            </w:r>
          </w:p>
        </w:tc>
        <w:tc>
          <w:tcPr>
            <w:tcW w:w="3027" w:type="dxa"/>
            <w:shd w:val="clear" w:color="auto" w:fill="auto"/>
            <w:vAlign w:val="center"/>
          </w:tcPr>
          <w:p>
            <w:pPr>
              <w:snapToGrid w:val="0"/>
              <w:jc w:val="center"/>
              <w:rPr>
                <w:rFonts w:eastAsia="宋体"/>
                <w:sz w:val="21"/>
                <w:szCs w:val="21"/>
              </w:rPr>
            </w:pPr>
            <w:r>
              <w:rPr>
                <w:rFonts w:eastAsia="宋体"/>
                <w:sz w:val="21"/>
                <w:szCs w:val="21"/>
              </w:rPr>
              <w:t>硫酸盐</w:t>
            </w:r>
          </w:p>
        </w:tc>
        <w:tc>
          <w:tcPr>
            <w:tcW w:w="1020" w:type="dxa"/>
            <w:shd w:val="clear" w:color="auto" w:fill="auto"/>
            <w:vAlign w:val="center"/>
          </w:tcPr>
          <w:p>
            <w:pPr>
              <w:snapToGrid w:val="0"/>
              <w:jc w:val="center"/>
              <w:rPr>
                <w:rFonts w:eastAsia="宋体"/>
                <w:sz w:val="21"/>
                <w:szCs w:val="21"/>
              </w:rPr>
            </w:pPr>
            <w:r>
              <w:rPr>
                <w:rFonts w:eastAsia="宋体"/>
                <w:sz w:val="21"/>
                <w:szCs w:val="21"/>
              </w:rPr>
              <w:t>≤50</w:t>
            </w:r>
          </w:p>
        </w:tc>
        <w:tc>
          <w:tcPr>
            <w:tcW w:w="922" w:type="dxa"/>
            <w:shd w:val="clear" w:color="auto" w:fill="auto"/>
            <w:vAlign w:val="center"/>
          </w:tcPr>
          <w:p>
            <w:pPr>
              <w:snapToGrid w:val="0"/>
              <w:jc w:val="center"/>
              <w:rPr>
                <w:rFonts w:eastAsia="宋体"/>
                <w:sz w:val="21"/>
                <w:szCs w:val="21"/>
              </w:rPr>
            </w:pPr>
            <w:r>
              <w:rPr>
                <w:rFonts w:eastAsia="宋体"/>
                <w:sz w:val="21"/>
                <w:szCs w:val="21"/>
              </w:rPr>
              <w:t>≤150</w:t>
            </w:r>
          </w:p>
        </w:tc>
        <w:tc>
          <w:tcPr>
            <w:tcW w:w="1015" w:type="dxa"/>
            <w:shd w:val="clear" w:color="auto" w:fill="auto"/>
            <w:vAlign w:val="center"/>
          </w:tcPr>
          <w:p>
            <w:pPr>
              <w:snapToGrid w:val="0"/>
              <w:jc w:val="center"/>
              <w:rPr>
                <w:rFonts w:eastAsia="宋体"/>
                <w:sz w:val="21"/>
                <w:szCs w:val="21"/>
              </w:rPr>
            </w:pPr>
            <w:r>
              <w:rPr>
                <w:rFonts w:eastAsia="宋体"/>
                <w:sz w:val="21"/>
                <w:szCs w:val="21"/>
              </w:rPr>
              <w:t>≤250</w:t>
            </w:r>
          </w:p>
        </w:tc>
        <w:tc>
          <w:tcPr>
            <w:tcW w:w="1094" w:type="dxa"/>
            <w:shd w:val="clear" w:color="auto" w:fill="auto"/>
            <w:vAlign w:val="center"/>
          </w:tcPr>
          <w:p>
            <w:pPr>
              <w:snapToGrid w:val="0"/>
              <w:jc w:val="center"/>
              <w:rPr>
                <w:rFonts w:eastAsia="宋体"/>
                <w:sz w:val="21"/>
                <w:szCs w:val="21"/>
              </w:rPr>
            </w:pPr>
            <w:r>
              <w:rPr>
                <w:rFonts w:eastAsia="宋体"/>
                <w:sz w:val="21"/>
                <w:szCs w:val="21"/>
              </w:rPr>
              <w:t>≤350</w:t>
            </w:r>
          </w:p>
        </w:tc>
        <w:tc>
          <w:tcPr>
            <w:tcW w:w="1185" w:type="dxa"/>
            <w:vAlign w:val="center"/>
          </w:tcPr>
          <w:p>
            <w:pPr>
              <w:snapToGrid w:val="0"/>
              <w:jc w:val="center"/>
              <w:rPr>
                <w:rFonts w:eastAsia="宋体"/>
                <w:sz w:val="21"/>
                <w:szCs w:val="21"/>
              </w:rPr>
            </w:pPr>
            <w:r>
              <w:rPr>
                <w:rFonts w:eastAsia="宋体"/>
                <w:sz w:val="21"/>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5</w:t>
            </w:r>
          </w:p>
        </w:tc>
        <w:tc>
          <w:tcPr>
            <w:tcW w:w="3027" w:type="dxa"/>
            <w:shd w:val="clear" w:color="auto" w:fill="auto"/>
            <w:vAlign w:val="center"/>
          </w:tcPr>
          <w:p>
            <w:pPr>
              <w:snapToGrid w:val="0"/>
              <w:jc w:val="center"/>
              <w:rPr>
                <w:rFonts w:eastAsia="宋体"/>
                <w:sz w:val="21"/>
                <w:szCs w:val="21"/>
              </w:rPr>
            </w:pPr>
            <w:r>
              <w:rPr>
                <w:rFonts w:eastAsia="宋体"/>
                <w:sz w:val="21"/>
                <w:szCs w:val="21"/>
              </w:rPr>
              <w:t>氯化物</w:t>
            </w:r>
          </w:p>
        </w:tc>
        <w:tc>
          <w:tcPr>
            <w:tcW w:w="1020" w:type="dxa"/>
            <w:shd w:val="clear" w:color="auto" w:fill="auto"/>
            <w:vAlign w:val="center"/>
          </w:tcPr>
          <w:p>
            <w:pPr>
              <w:snapToGrid w:val="0"/>
              <w:jc w:val="center"/>
              <w:rPr>
                <w:rFonts w:eastAsia="宋体"/>
                <w:sz w:val="21"/>
                <w:szCs w:val="21"/>
              </w:rPr>
            </w:pPr>
            <w:r>
              <w:rPr>
                <w:rFonts w:eastAsia="宋体"/>
                <w:sz w:val="21"/>
                <w:szCs w:val="21"/>
              </w:rPr>
              <w:t>≤50</w:t>
            </w:r>
          </w:p>
        </w:tc>
        <w:tc>
          <w:tcPr>
            <w:tcW w:w="922" w:type="dxa"/>
            <w:shd w:val="clear" w:color="auto" w:fill="auto"/>
            <w:vAlign w:val="center"/>
          </w:tcPr>
          <w:p>
            <w:pPr>
              <w:snapToGrid w:val="0"/>
              <w:jc w:val="center"/>
              <w:rPr>
                <w:rFonts w:eastAsia="宋体"/>
                <w:sz w:val="21"/>
                <w:szCs w:val="21"/>
              </w:rPr>
            </w:pPr>
            <w:r>
              <w:rPr>
                <w:rFonts w:eastAsia="宋体"/>
                <w:sz w:val="21"/>
                <w:szCs w:val="21"/>
              </w:rPr>
              <w:t>≤150</w:t>
            </w:r>
          </w:p>
        </w:tc>
        <w:tc>
          <w:tcPr>
            <w:tcW w:w="1015" w:type="dxa"/>
            <w:shd w:val="clear" w:color="auto" w:fill="auto"/>
            <w:vAlign w:val="center"/>
          </w:tcPr>
          <w:p>
            <w:pPr>
              <w:snapToGrid w:val="0"/>
              <w:jc w:val="center"/>
              <w:rPr>
                <w:rFonts w:eastAsia="宋体"/>
                <w:sz w:val="21"/>
                <w:szCs w:val="21"/>
              </w:rPr>
            </w:pPr>
            <w:r>
              <w:rPr>
                <w:rFonts w:eastAsia="宋体"/>
                <w:sz w:val="21"/>
                <w:szCs w:val="21"/>
              </w:rPr>
              <w:t>≤250</w:t>
            </w:r>
          </w:p>
        </w:tc>
        <w:tc>
          <w:tcPr>
            <w:tcW w:w="1094" w:type="dxa"/>
            <w:shd w:val="clear" w:color="auto" w:fill="auto"/>
            <w:vAlign w:val="center"/>
          </w:tcPr>
          <w:p>
            <w:pPr>
              <w:snapToGrid w:val="0"/>
              <w:jc w:val="center"/>
              <w:rPr>
                <w:rFonts w:eastAsia="宋体"/>
                <w:sz w:val="21"/>
                <w:szCs w:val="21"/>
              </w:rPr>
            </w:pPr>
            <w:r>
              <w:rPr>
                <w:rFonts w:eastAsia="宋体"/>
                <w:sz w:val="21"/>
                <w:szCs w:val="21"/>
              </w:rPr>
              <w:t>≤350</w:t>
            </w:r>
          </w:p>
        </w:tc>
        <w:tc>
          <w:tcPr>
            <w:tcW w:w="1185" w:type="dxa"/>
            <w:vAlign w:val="center"/>
          </w:tcPr>
          <w:p>
            <w:pPr>
              <w:snapToGrid w:val="0"/>
              <w:jc w:val="center"/>
              <w:rPr>
                <w:rFonts w:eastAsia="宋体"/>
                <w:sz w:val="21"/>
                <w:szCs w:val="21"/>
              </w:rPr>
            </w:pPr>
            <w:r>
              <w:rPr>
                <w:rFonts w:eastAsia="宋体"/>
                <w:sz w:val="21"/>
                <w:szCs w:val="21"/>
              </w:rPr>
              <w:t>&gt;350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6</w:t>
            </w:r>
          </w:p>
        </w:tc>
        <w:tc>
          <w:tcPr>
            <w:tcW w:w="3027" w:type="dxa"/>
            <w:shd w:val="clear" w:color="auto" w:fill="auto"/>
            <w:vAlign w:val="center"/>
          </w:tcPr>
          <w:p>
            <w:pPr>
              <w:snapToGrid w:val="0"/>
              <w:jc w:val="center"/>
              <w:rPr>
                <w:rFonts w:eastAsia="宋体"/>
                <w:sz w:val="21"/>
                <w:szCs w:val="21"/>
              </w:rPr>
            </w:pPr>
            <w:r>
              <w:rPr>
                <w:rFonts w:eastAsia="宋体"/>
                <w:sz w:val="21"/>
                <w:szCs w:val="21"/>
              </w:rPr>
              <w:t>铁（Fe）</w:t>
            </w:r>
          </w:p>
        </w:tc>
        <w:tc>
          <w:tcPr>
            <w:tcW w:w="1020" w:type="dxa"/>
            <w:shd w:val="clear" w:color="auto" w:fill="auto"/>
            <w:vAlign w:val="center"/>
          </w:tcPr>
          <w:p>
            <w:pPr>
              <w:snapToGrid w:val="0"/>
              <w:jc w:val="center"/>
              <w:rPr>
                <w:rFonts w:eastAsia="宋体"/>
                <w:sz w:val="21"/>
                <w:szCs w:val="21"/>
              </w:rPr>
            </w:pPr>
            <w:r>
              <w:rPr>
                <w:rFonts w:eastAsia="宋体"/>
                <w:sz w:val="21"/>
                <w:szCs w:val="21"/>
              </w:rPr>
              <w:t>≤0.1</w:t>
            </w:r>
          </w:p>
        </w:tc>
        <w:tc>
          <w:tcPr>
            <w:tcW w:w="922" w:type="dxa"/>
            <w:shd w:val="clear" w:color="auto" w:fill="auto"/>
            <w:vAlign w:val="center"/>
          </w:tcPr>
          <w:p>
            <w:pPr>
              <w:snapToGrid w:val="0"/>
              <w:jc w:val="center"/>
              <w:rPr>
                <w:rFonts w:eastAsia="宋体"/>
                <w:sz w:val="21"/>
                <w:szCs w:val="21"/>
              </w:rPr>
            </w:pPr>
            <w:r>
              <w:rPr>
                <w:rFonts w:eastAsia="宋体"/>
                <w:sz w:val="21"/>
                <w:szCs w:val="21"/>
              </w:rPr>
              <w:t>≤0.2</w:t>
            </w:r>
          </w:p>
        </w:tc>
        <w:tc>
          <w:tcPr>
            <w:tcW w:w="1015" w:type="dxa"/>
            <w:shd w:val="clear" w:color="auto" w:fill="auto"/>
            <w:vAlign w:val="center"/>
          </w:tcPr>
          <w:p>
            <w:pPr>
              <w:snapToGrid w:val="0"/>
              <w:jc w:val="center"/>
              <w:rPr>
                <w:rFonts w:eastAsia="宋体"/>
                <w:sz w:val="21"/>
                <w:szCs w:val="21"/>
              </w:rPr>
            </w:pPr>
            <w:r>
              <w:rPr>
                <w:rFonts w:eastAsia="宋体"/>
                <w:sz w:val="21"/>
                <w:szCs w:val="21"/>
              </w:rPr>
              <w:t>≤0.3</w:t>
            </w:r>
          </w:p>
        </w:tc>
        <w:tc>
          <w:tcPr>
            <w:tcW w:w="1094" w:type="dxa"/>
            <w:shd w:val="clear" w:color="auto" w:fill="auto"/>
            <w:vAlign w:val="center"/>
          </w:tcPr>
          <w:p>
            <w:pPr>
              <w:snapToGrid w:val="0"/>
              <w:jc w:val="center"/>
              <w:rPr>
                <w:rFonts w:eastAsia="宋体"/>
                <w:sz w:val="21"/>
                <w:szCs w:val="21"/>
              </w:rPr>
            </w:pPr>
            <w:r>
              <w:rPr>
                <w:rFonts w:eastAsia="宋体"/>
                <w:sz w:val="21"/>
                <w:szCs w:val="21"/>
              </w:rPr>
              <w:t>≤2.0</w:t>
            </w:r>
          </w:p>
        </w:tc>
        <w:tc>
          <w:tcPr>
            <w:tcW w:w="1185" w:type="dxa"/>
            <w:vAlign w:val="center"/>
          </w:tcPr>
          <w:p>
            <w:pPr>
              <w:snapToGrid w:val="0"/>
              <w:jc w:val="center"/>
              <w:rPr>
                <w:rFonts w:eastAsia="宋体"/>
                <w:sz w:val="21"/>
                <w:szCs w:val="21"/>
              </w:rPr>
            </w:pPr>
            <w:r>
              <w:rPr>
                <w:rFonts w:eastAsia="宋体"/>
                <w:sz w:val="21"/>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7</w:t>
            </w:r>
          </w:p>
        </w:tc>
        <w:tc>
          <w:tcPr>
            <w:tcW w:w="3027" w:type="dxa"/>
            <w:shd w:val="clear" w:color="auto" w:fill="auto"/>
            <w:vAlign w:val="center"/>
          </w:tcPr>
          <w:p>
            <w:pPr>
              <w:snapToGrid w:val="0"/>
              <w:jc w:val="center"/>
              <w:rPr>
                <w:rFonts w:eastAsia="宋体"/>
                <w:sz w:val="21"/>
                <w:szCs w:val="21"/>
              </w:rPr>
            </w:pPr>
            <w:r>
              <w:rPr>
                <w:rFonts w:eastAsia="宋体"/>
                <w:sz w:val="21"/>
                <w:szCs w:val="21"/>
              </w:rPr>
              <w:t>锰（Mn）</w:t>
            </w:r>
          </w:p>
        </w:tc>
        <w:tc>
          <w:tcPr>
            <w:tcW w:w="1020" w:type="dxa"/>
            <w:shd w:val="clear" w:color="auto" w:fill="auto"/>
            <w:vAlign w:val="center"/>
          </w:tcPr>
          <w:p>
            <w:pPr>
              <w:snapToGrid w:val="0"/>
              <w:jc w:val="center"/>
              <w:rPr>
                <w:rFonts w:eastAsia="宋体"/>
                <w:sz w:val="21"/>
                <w:szCs w:val="21"/>
              </w:rPr>
            </w:pPr>
            <w:r>
              <w:rPr>
                <w:rFonts w:eastAsia="宋体"/>
                <w:sz w:val="21"/>
                <w:szCs w:val="21"/>
              </w:rPr>
              <w:t>≤0.05</w:t>
            </w:r>
          </w:p>
        </w:tc>
        <w:tc>
          <w:tcPr>
            <w:tcW w:w="922" w:type="dxa"/>
            <w:shd w:val="clear" w:color="auto" w:fill="auto"/>
            <w:vAlign w:val="center"/>
          </w:tcPr>
          <w:p>
            <w:pPr>
              <w:snapToGrid w:val="0"/>
              <w:jc w:val="center"/>
              <w:rPr>
                <w:rFonts w:eastAsia="宋体"/>
                <w:sz w:val="21"/>
                <w:szCs w:val="21"/>
              </w:rPr>
            </w:pPr>
            <w:r>
              <w:rPr>
                <w:rFonts w:eastAsia="宋体"/>
                <w:sz w:val="21"/>
                <w:szCs w:val="21"/>
              </w:rPr>
              <w:t>≤0.05</w:t>
            </w:r>
          </w:p>
        </w:tc>
        <w:tc>
          <w:tcPr>
            <w:tcW w:w="1015" w:type="dxa"/>
            <w:shd w:val="clear" w:color="auto" w:fill="auto"/>
            <w:vAlign w:val="center"/>
          </w:tcPr>
          <w:p>
            <w:pPr>
              <w:snapToGrid w:val="0"/>
              <w:jc w:val="center"/>
              <w:rPr>
                <w:rFonts w:eastAsia="宋体"/>
                <w:sz w:val="21"/>
                <w:szCs w:val="21"/>
              </w:rPr>
            </w:pPr>
            <w:r>
              <w:rPr>
                <w:rFonts w:eastAsia="宋体"/>
                <w:sz w:val="21"/>
                <w:szCs w:val="21"/>
              </w:rPr>
              <w:t>≤0.10</w:t>
            </w:r>
          </w:p>
        </w:tc>
        <w:tc>
          <w:tcPr>
            <w:tcW w:w="1094" w:type="dxa"/>
            <w:shd w:val="clear" w:color="auto" w:fill="auto"/>
            <w:vAlign w:val="center"/>
          </w:tcPr>
          <w:p>
            <w:pPr>
              <w:snapToGrid w:val="0"/>
              <w:jc w:val="center"/>
              <w:rPr>
                <w:rFonts w:eastAsia="宋体"/>
                <w:sz w:val="21"/>
                <w:szCs w:val="21"/>
              </w:rPr>
            </w:pPr>
            <w:r>
              <w:rPr>
                <w:rFonts w:eastAsia="宋体"/>
                <w:sz w:val="21"/>
                <w:szCs w:val="21"/>
              </w:rPr>
              <w:t>≤1.5</w:t>
            </w:r>
          </w:p>
        </w:tc>
        <w:tc>
          <w:tcPr>
            <w:tcW w:w="1185" w:type="dxa"/>
            <w:vAlign w:val="center"/>
          </w:tcPr>
          <w:p>
            <w:pPr>
              <w:snapToGrid w:val="0"/>
              <w:jc w:val="center"/>
              <w:rPr>
                <w:rFonts w:eastAsia="宋体"/>
                <w:sz w:val="21"/>
                <w:szCs w:val="21"/>
              </w:rPr>
            </w:pPr>
            <w:r>
              <w:rPr>
                <w:rFonts w:eastAsia="宋体"/>
                <w:sz w:val="21"/>
                <w:szCs w:val="21"/>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8</w:t>
            </w:r>
          </w:p>
        </w:tc>
        <w:tc>
          <w:tcPr>
            <w:tcW w:w="3027" w:type="dxa"/>
            <w:shd w:val="clear" w:color="auto" w:fill="auto"/>
            <w:vAlign w:val="center"/>
          </w:tcPr>
          <w:p>
            <w:pPr>
              <w:snapToGrid w:val="0"/>
              <w:jc w:val="center"/>
              <w:rPr>
                <w:rFonts w:eastAsia="宋体"/>
                <w:sz w:val="21"/>
                <w:szCs w:val="21"/>
              </w:rPr>
            </w:pPr>
            <w:r>
              <w:rPr>
                <w:rFonts w:eastAsia="宋体"/>
                <w:sz w:val="21"/>
                <w:szCs w:val="21"/>
              </w:rPr>
              <w:t>挥发性酚类（以苯酚计）</w:t>
            </w:r>
          </w:p>
        </w:tc>
        <w:tc>
          <w:tcPr>
            <w:tcW w:w="1020" w:type="dxa"/>
            <w:shd w:val="clear" w:color="auto" w:fill="auto"/>
            <w:vAlign w:val="center"/>
          </w:tcPr>
          <w:p>
            <w:pPr>
              <w:snapToGrid w:val="0"/>
              <w:jc w:val="center"/>
              <w:rPr>
                <w:rFonts w:eastAsia="宋体"/>
                <w:sz w:val="21"/>
                <w:szCs w:val="21"/>
              </w:rPr>
            </w:pPr>
            <w:r>
              <w:rPr>
                <w:rFonts w:eastAsia="宋体"/>
                <w:sz w:val="21"/>
                <w:szCs w:val="21"/>
              </w:rPr>
              <w:t>≤0.001</w:t>
            </w:r>
          </w:p>
        </w:tc>
        <w:tc>
          <w:tcPr>
            <w:tcW w:w="922" w:type="dxa"/>
            <w:shd w:val="clear" w:color="auto" w:fill="auto"/>
            <w:vAlign w:val="center"/>
          </w:tcPr>
          <w:p>
            <w:pPr>
              <w:snapToGrid w:val="0"/>
              <w:jc w:val="center"/>
              <w:rPr>
                <w:rFonts w:eastAsia="宋体"/>
                <w:sz w:val="21"/>
                <w:szCs w:val="21"/>
              </w:rPr>
            </w:pPr>
            <w:r>
              <w:rPr>
                <w:rFonts w:eastAsia="宋体"/>
                <w:sz w:val="21"/>
                <w:szCs w:val="21"/>
              </w:rPr>
              <w:t>≤0.001</w:t>
            </w:r>
          </w:p>
        </w:tc>
        <w:tc>
          <w:tcPr>
            <w:tcW w:w="1015" w:type="dxa"/>
            <w:shd w:val="clear" w:color="auto" w:fill="auto"/>
            <w:vAlign w:val="center"/>
          </w:tcPr>
          <w:p>
            <w:pPr>
              <w:snapToGrid w:val="0"/>
              <w:jc w:val="center"/>
              <w:rPr>
                <w:rFonts w:eastAsia="宋体"/>
                <w:sz w:val="21"/>
                <w:szCs w:val="21"/>
              </w:rPr>
            </w:pPr>
            <w:r>
              <w:rPr>
                <w:rFonts w:eastAsia="宋体"/>
                <w:sz w:val="21"/>
                <w:szCs w:val="21"/>
              </w:rPr>
              <w:t>≤0.002</w:t>
            </w:r>
          </w:p>
        </w:tc>
        <w:tc>
          <w:tcPr>
            <w:tcW w:w="1094" w:type="dxa"/>
            <w:shd w:val="clear" w:color="auto" w:fill="auto"/>
            <w:vAlign w:val="center"/>
          </w:tcPr>
          <w:p>
            <w:pPr>
              <w:snapToGrid w:val="0"/>
              <w:jc w:val="center"/>
              <w:rPr>
                <w:rFonts w:eastAsia="宋体"/>
                <w:sz w:val="21"/>
                <w:szCs w:val="21"/>
              </w:rPr>
            </w:pPr>
            <w:r>
              <w:rPr>
                <w:rFonts w:eastAsia="宋体"/>
                <w:sz w:val="21"/>
                <w:szCs w:val="21"/>
              </w:rPr>
              <w:t>≤0.01</w:t>
            </w:r>
          </w:p>
        </w:tc>
        <w:tc>
          <w:tcPr>
            <w:tcW w:w="1185" w:type="dxa"/>
            <w:vAlign w:val="center"/>
          </w:tcPr>
          <w:p>
            <w:pPr>
              <w:snapToGrid w:val="0"/>
              <w:jc w:val="center"/>
              <w:rPr>
                <w:rFonts w:eastAsia="宋体"/>
                <w:sz w:val="21"/>
                <w:szCs w:val="21"/>
              </w:rPr>
            </w:pPr>
            <w:r>
              <w:rPr>
                <w:rFonts w:eastAsia="宋体"/>
                <w:sz w:val="21"/>
                <w:szCs w:val="21"/>
              </w:rP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shd w:val="clear" w:color="auto" w:fill="auto"/>
            <w:vAlign w:val="center"/>
          </w:tcPr>
          <w:p>
            <w:pPr>
              <w:snapToGrid w:val="0"/>
              <w:jc w:val="center"/>
              <w:rPr>
                <w:rFonts w:eastAsia="宋体"/>
                <w:sz w:val="21"/>
                <w:szCs w:val="21"/>
              </w:rPr>
            </w:pPr>
            <w:r>
              <w:rPr>
                <w:rFonts w:eastAsia="宋体"/>
                <w:sz w:val="21"/>
                <w:szCs w:val="21"/>
              </w:rPr>
              <w:t>9</w:t>
            </w:r>
          </w:p>
        </w:tc>
        <w:tc>
          <w:tcPr>
            <w:tcW w:w="3027" w:type="dxa"/>
            <w:shd w:val="clear" w:color="auto" w:fill="auto"/>
            <w:vAlign w:val="center"/>
          </w:tcPr>
          <w:p>
            <w:pPr>
              <w:snapToGrid w:val="0"/>
              <w:jc w:val="center"/>
              <w:rPr>
                <w:rFonts w:eastAsia="宋体"/>
                <w:sz w:val="21"/>
                <w:szCs w:val="21"/>
              </w:rPr>
            </w:pPr>
            <w:r>
              <w:rPr>
                <w:rFonts w:eastAsia="宋体"/>
                <w:sz w:val="21"/>
                <w:szCs w:val="21"/>
              </w:rPr>
              <w:t>耗氧量</w:t>
            </w:r>
            <w:r>
              <w:rPr>
                <w:rFonts w:hint="eastAsia" w:eastAsia="宋体"/>
                <w:sz w:val="21"/>
                <w:szCs w:val="21"/>
              </w:rPr>
              <w:t>(</w:t>
            </w:r>
            <w:r>
              <w:rPr>
                <w:rFonts w:eastAsia="宋体"/>
                <w:sz w:val="21"/>
                <w:szCs w:val="21"/>
              </w:rPr>
              <w:t>COD</w:t>
            </w:r>
            <w:r>
              <w:rPr>
                <w:rFonts w:eastAsia="宋体"/>
                <w:sz w:val="21"/>
                <w:szCs w:val="21"/>
                <w:vertAlign w:val="subscript"/>
              </w:rPr>
              <w:t>Mn</w:t>
            </w:r>
            <w:r>
              <w:rPr>
                <w:rFonts w:eastAsia="宋体"/>
                <w:sz w:val="21"/>
                <w:szCs w:val="21"/>
              </w:rPr>
              <w:t>法，以O</w:t>
            </w:r>
            <w:r>
              <w:rPr>
                <w:rFonts w:eastAsia="宋体"/>
                <w:sz w:val="21"/>
                <w:szCs w:val="21"/>
                <w:vertAlign w:val="subscript"/>
              </w:rPr>
              <w:t>2</w:t>
            </w:r>
            <w:r>
              <w:rPr>
                <w:rFonts w:eastAsia="宋体"/>
                <w:sz w:val="21"/>
                <w:szCs w:val="21"/>
              </w:rPr>
              <w:t>计</w:t>
            </w:r>
            <w:r>
              <w:rPr>
                <w:rFonts w:hint="eastAsia" w:eastAsia="宋体"/>
                <w:sz w:val="21"/>
                <w:szCs w:val="21"/>
              </w:rPr>
              <w:t>)</w:t>
            </w:r>
          </w:p>
        </w:tc>
        <w:tc>
          <w:tcPr>
            <w:tcW w:w="1020" w:type="dxa"/>
            <w:shd w:val="clear" w:color="auto" w:fill="auto"/>
            <w:vAlign w:val="center"/>
          </w:tcPr>
          <w:p>
            <w:pPr>
              <w:snapToGrid w:val="0"/>
              <w:jc w:val="center"/>
              <w:rPr>
                <w:rFonts w:eastAsia="宋体"/>
                <w:sz w:val="21"/>
                <w:szCs w:val="21"/>
              </w:rPr>
            </w:pPr>
            <w:r>
              <w:rPr>
                <w:rFonts w:eastAsia="宋体"/>
                <w:sz w:val="21"/>
                <w:szCs w:val="21"/>
              </w:rPr>
              <w:t>≤1.0</w:t>
            </w:r>
          </w:p>
        </w:tc>
        <w:tc>
          <w:tcPr>
            <w:tcW w:w="922" w:type="dxa"/>
            <w:shd w:val="clear" w:color="auto" w:fill="auto"/>
            <w:vAlign w:val="center"/>
          </w:tcPr>
          <w:p>
            <w:pPr>
              <w:snapToGrid w:val="0"/>
              <w:jc w:val="center"/>
              <w:rPr>
                <w:rFonts w:eastAsia="宋体"/>
                <w:sz w:val="21"/>
                <w:szCs w:val="21"/>
              </w:rPr>
            </w:pPr>
            <w:r>
              <w:rPr>
                <w:rFonts w:eastAsia="宋体"/>
                <w:sz w:val="21"/>
                <w:szCs w:val="21"/>
              </w:rPr>
              <w:t>≤2.0</w:t>
            </w:r>
          </w:p>
        </w:tc>
        <w:tc>
          <w:tcPr>
            <w:tcW w:w="1015" w:type="dxa"/>
            <w:shd w:val="clear" w:color="auto" w:fill="auto"/>
            <w:vAlign w:val="center"/>
          </w:tcPr>
          <w:p>
            <w:pPr>
              <w:snapToGrid w:val="0"/>
              <w:jc w:val="center"/>
              <w:rPr>
                <w:rFonts w:eastAsia="宋体"/>
                <w:sz w:val="21"/>
                <w:szCs w:val="21"/>
              </w:rPr>
            </w:pPr>
            <w:r>
              <w:rPr>
                <w:rFonts w:eastAsia="宋体"/>
                <w:sz w:val="21"/>
                <w:szCs w:val="21"/>
              </w:rPr>
              <w:t>≤3.0</w:t>
            </w:r>
          </w:p>
        </w:tc>
        <w:tc>
          <w:tcPr>
            <w:tcW w:w="1094" w:type="dxa"/>
            <w:shd w:val="clear" w:color="auto" w:fill="auto"/>
            <w:vAlign w:val="center"/>
          </w:tcPr>
          <w:p>
            <w:pPr>
              <w:snapToGrid w:val="0"/>
              <w:jc w:val="center"/>
              <w:rPr>
                <w:rFonts w:eastAsia="宋体"/>
                <w:sz w:val="21"/>
                <w:szCs w:val="21"/>
              </w:rPr>
            </w:pPr>
            <w:r>
              <w:rPr>
                <w:rFonts w:eastAsia="宋体"/>
                <w:sz w:val="21"/>
                <w:szCs w:val="21"/>
              </w:rPr>
              <w:t>≤10.0</w:t>
            </w:r>
          </w:p>
        </w:tc>
        <w:tc>
          <w:tcPr>
            <w:tcW w:w="1185" w:type="dxa"/>
            <w:vAlign w:val="center"/>
          </w:tcPr>
          <w:p>
            <w:pPr>
              <w:snapToGrid w:val="0"/>
              <w:jc w:val="center"/>
              <w:rPr>
                <w:rFonts w:eastAsia="宋体"/>
                <w:sz w:val="21"/>
                <w:szCs w:val="21"/>
              </w:rPr>
            </w:pPr>
            <w:r>
              <w:rPr>
                <w:rFonts w:eastAsia="宋体"/>
                <w:sz w:val="21"/>
                <w:szCs w:val="21"/>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硝酸盐（以N计）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≤5.0</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≤20.0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≤30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11</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亚硝酸盐（以N计）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≤4.8</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12</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氨氮（以N计）</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≤0.10</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≤0.50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13</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氟化物</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14</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氰化物</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≤0.05</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15</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汞（Hg）</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≤0.001</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≤0.002</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16</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砷（As）</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17</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镉（Cd）</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≤0.005</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18</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铬（六价）（Cr</w:t>
            </w:r>
            <w:r>
              <w:rPr>
                <w:rFonts w:eastAsia="宋体"/>
                <w:sz w:val="21"/>
                <w:szCs w:val="21"/>
                <w:vertAlign w:val="superscript"/>
              </w:rPr>
              <w:t>6+</w:t>
            </w:r>
            <w:r>
              <w:rPr>
                <w:rFonts w:eastAsia="宋体"/>
                <w:sz w:val="21"/>
                <w:szCs w:val="21"/>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≤0.05</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19</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铅（Pb）</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≤0.005</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20</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总大肠菌群（CFU/100mL）</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≤3.0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≤3.0</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≤3.0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21</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菌落总数（CFU/mL）</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≤1000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22</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锌（Zn）</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≤0.05</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≤0.5</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≤5.0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23</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铜（Cu）</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≤0.01</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≤0.05</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≤1.0</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≤1.5</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24</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镍（Ni）</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≤0.002</w:t>
            </w:r>
          </w:p>
        </w:tc>
        <w:tc>
          <w:tcPr>
            <w:tcW w:w="922"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≤0.002</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≤0.02</w:t>
            </w:r>
          </w:p>
        </w:tc>
        <w:tc>
          <w:tcPr>
            <w:tcW w:w="1094"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sz w:val="21"/>
                <w:szCs w:val="21"/>
              </w:rPr>
            </w:pPr>
            <w:r>
              <w:rPr>
                <w:rFonts w:eastAsia="宋体"/>
                <w:sz w:val="21"/>
                <w:szCs w:val="21"/>
              </w:rPr>
              <w:t>≤0.10</w:t>
            </w:r>
          </w:p>
        </w:tc>
        <w:tc>
          <w:tcPr>
            <w:tcW w:w="1185"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宋体"/>
                <w:sz w:val="21"/>
                <w:szCs w:val="21"/>
              </w:rPr>
            </w:pPr>
            <w:r>
              <w:rPr>
                <w:rFonts w:eastAsia="宋体"/>
                <w:sz w:val="21"/>
                <w:szCs w:val="21"/>
              </w:rPr>
              <w:t>&gt;0.10</w:t>
            </w:r>
          </w:p>
        </w:tc>
      </w:tr>
    </w:tbl>
    <w:p>
      <w:pPr>
        <w:pStyle w:val="4"/>
        <w:spacing w:line="480" w:lineRule="exact"/>
        <w:ind w:firstLine="489"/>
        <w:rPr>
          <w:rFonts w:ascii="Times New Roman" w:hAnsi="Times New Roman" w:cs="Times New Roman"/>
          <w:spacing w:val="0"/>
        </w:rPr>
      </w:pPr>
      <w:r>
        <w:rPr>
          <w:rFonts w:hint="eastAsia" w:ascii="Times New Roman" w:hAnsi="Times New Roman" w:cs="Times New Roman"/>
          <w:spacing w:val="0"/>
        </w:rPr>
        <w:t>3</w:t>
      </w:r>
      <w:r>
        <w:rPr>
          <w:rFonts w:ascii="Times New Roman" w:hAnsi="Times New Roman" w:cs="Times New Roman"/>
          <w:spacing w:val="0"/>
        </w:rPr>
        <w:t>．声环境质量标准</w:t>
      </w:r>
    </w:p>
    <w:p>
      <w:pPr>
        <w:pStyle w:val="835"/>
        <w:spacing w:before="0" w:line="480" w:lineRule="exact"/>
        <w:ind w:firstLine="486"/>
        <w:rPr>
          <w:rFonts w:ascii="Times New Roman" w:hAnsi="Times New Roman"/>
        </w:rPr>
      </w:pPr>
      <w:r>
        <w:rPr>
          <w:rFonts w:hint="eastAsia" w:ascii="Times New Roman" w:hAnsi="Times New Roman"/>
        </w:rPr>
        <w:t>项目所在区域以工业为主要功能，为3类声环境功能区，同时由于敢山东路、敢山南路属于交通干线，因此东地块西侧厂界，西地块东侧、北侧厂界</w:t>
      </w:r>
      <w:r>
        <w:rPr>
          <w:rFonts w:ascii="Times New Roman" w:hAnsi="Times New Roman"/>
        </w:rPr>
        <w:t>声环境执行《声环境质量标准》(GB3096-2008)中</w:t>
      </w:r>
      <w:r>
        <w:rPr>
          <w:rFonts w:hint="eastAsia" w:ascii="Times New Roman" w:hAnsi="Times New Roman"/>
        </w:rPr>
        <w:t>4a类</w:t>
      </w:r>
      <w:r>
        <w:rPr>
          <w:rFonts w:ascii="Times New Roman" w:hAnsi="Times New Roman"/>
        </w:rPr>
        <w:t>标准</w:t>
      </w:r>
      <w:r>
        <w:rPr>
          <w:rFonts w:hint="eastAsia" w:ascii="Times New Roman" w:hAnsi="Times New Roman"/>
        </w:rPr>
        <w:t>，东地块</w:t>
      </w:r>
      <w:r>
        <w:rPr>
          <w:rFonts w:ascii="Times New Roman" w:hAnsi="Times New Roman"/>
        </w:rPr>
        <w:t>东侧厂界执行</w:t>
      </w:r>
      <w:r>
        <w:rPr>
          <w:rFonts w:hint="eastAsia" w:ascii="Times New Roman" w:hAnsi="Times New Roman"/>
        </w:rPr>
        <w:t>4</w:t>
      </w:r>
      <w:r>
        <w:rPr>
          <w:rFonts w:ascii="Times New Roman" w:hAnsi="Times New Roman"/>
        </w:rPr>
        <w:t>b类标准，</w:t>
      </w:r>
      <w:r>
        <w:rPr>
          <w:rFonts w:hint="eastAsia" w:ascii="Times New Roman" w:hAnsi="Times New Roman"/>
        </w:rPr>
        <w:t>其余厂界执行3类标准限值</w:t>
      </w:r>
      <w:r>
        <w:rPr>
          <w:rFonts w:ascii="Times New Roman" w:hAnsi="Times New Roman"/>
        </w:rPr>
        <w:t>，具体标准值详见表2-5。</w:t>
      </w:r>
    </w:p>
    <w:p>
      <w:pPr>
        <w:pStyle w:val="313"/>
        <w:tabs>
          <w:tab w:val="clear" w:pos="3908"/>
        </w:tabs>
        <w:ind w:left="1122" w:hanging="561"/>
        <w:rPr>
          <w:rFonts w:ascii="Times New Roman" w:hAnsi="Times New Roman"/>
        </w:rPr>
      </w:pPr>
      <w:bookmarkStart w:id="62" w:name="_Toc82944392"/>
      <w:bookmarkStart w:id="63" w:name="_Toc82944671"/>
      <w:r>
        <w:rPr>
          <w:rFonts w:ascii="Times New Roman" w:hAnsi="Times New Roman"/>
        </w:rPr>
        <w:t>《声环境质量标准》</w:t>
      </w:r>
      <w:r>
        <w:rPr>
          <w:rFonts w:ascii="Times New Roman" w:hAnsi="Times New Roman"/>
          <w:lang w:eastAsia="zh-CN"/>
        </w:rPr>
        <w:t>(</w:t>
      </w:r>
      <w:r>
        <w:rPr>
          <w:rFonts w:ascii="Times New Roman" w:hAnsi="Times New Roman"/>
        </w:rPr>
        <w:t>GB3096-2008</w:t>
      </w:r>
      <w:r>
        <w:rPr>
          <w:rFonts w:ascii="Times New Roman" w:hAnsi="Times New Roman"/>
          <w:lang w:eastAsia="zh-CN"/>
        </w:rPr>
        <w:t>)</w:t>
      </w:r>
    </w:p>
    <w:tbl>
      <w:tblPr>
        <w:tblStyle w:val="87"/>
        <w:tblW w:w="87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3261"/>
        <w:gridCol w:w="1701"/>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76" w:type="dxa"/>
            <w:vMerge w:val="restart"/>
            <w:vAlign w:val="center"/>
          </w:tcPr>
          <w:p>
            <w:pPr>
              <w:spacing w:line="300" w:lineRule="exact"/>
              <w:jc w:val="center"/>
              <w:rPr>
                <w:rFonts w:eastAsia="宋体"/>
                <w:sz w:val="21"/>
                <w:szCs w:val="21"/>
              </w:rPr>
            </w:pPr>
            <w:r>
              <w:rPr>
                <w:rFonts w:eastAsia="宋体"/>
                <w:sz w:val="21"/>
                <w:szCs w:val="21"/>
              </w:rPr>
              <w:t>声环境功能区类别</w:t>
            </w:r>
          </w:p>
        </w:tc>
        <w:tc>
          <w:tcPr>
            <w:tcW w:w="3261" w:type="dxa"/>
            <w:vMerge w:val="restart"/>
            <w:vAlign w:val="center"/>
          </w:tcPr>
          <w:p>
            <w:pPr>
              <w:spacing w:line="300" w:lineRule="exact"/>
              <w:jc w:val="center"/>
              <w:rPr>
                <w:rFonts w:eastAsia="宋体"/>
                <w:sz w:val="21"/>
                <w:szCs w:val="21"/>
              </w:rPr>
            </w:pPr>
            <w:r>
              <w:rPr>
                <w:rFonts w:hint="eastAsia" w:eastAsia="宋体"/>
                <w:sz w:val="21"/>
                <w:szCs w:val="21"/>
              </w:rPr>
              <w:t>适用区域</w:t>
            </w:r>
          </w:p>
        </w:tc>
        <w:tc>
          <w:tcPr>
            <w:tcW w:w="3256" w:type="dxa"/>
            <w:gridSpan w:val="2"/>
            <w:vAlign w:val="center"/>
          </w:tcPr>
          <w:p>
            <w:pPr>
              <w:spacing w:line="300" w:lineRule="exact"/>
              <w:jc w:val="center"/>
              <w:rPr>
                <w:rFonts w:eastAsia="宋体"/>
                <w:sz w:val="21"/>
                <w:szCs w:val="21"/>
              </w:rPr>
            </w:pPr>
            <w:r>
              <w:rPr>
                <w:rFonts w:eastAsia="宋体"/>
                <w:sz w:val="21"/>
                <w:szCs w:val="21"/>
              </w:rPr>
              <w:t>等效连续A声级（L</w:t>
            </w:r>
            <w:r>
              <w:rPr>
                <w:rFonts w:eastAsia="宋体"/>
                <w:sz w:val="21"/>
                <w:szCs w:val="21"/>
                <w:vertAlign w:val="subscript"/>
              </w:rPr>
              <w:t>Aeq</w:t>
            </w:r>
            <w:r>
              <w:rPr>
                <w:rFonts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76" w:type="dxa"/>
            <w:vMerge w:val="continue"/>
            <w:vAlign w:val="center"/>
          </w:tcPr>
          <w:p>
            <w:pPr>
              <w:spacing w:line="300" w:lineRule="exact"/>
              <w:jc w:val="center"/>
              <w:rPr>
                <w:rFonts w:eastAsia="宋体"/>
                <w:sz w:val="21"/>
                <w:szCs w:val="21"/>
              </w:rPr>
            </w:pPr>
          </w:p>
        </w:tc>
        <w:tc>
          <w:tcPr>
            <w:tcW w:w="3261" w:type="dxa"/>
            <w:vMerge w:val="continue"/>
            <w:vAlign w:val="center"/>
          </w:tcPr>
          <w:p>
            <w:pPr>
              <w:spacing w:line="300" w:lineRule="exact"/>
              <w:jc w:val="center"/>
              <w:rPr>
                <w:rFonts w:eastAsia="宋体"/>
                <w:sz w:val="21"/>
                <w:szCs w:val="21"/>
              </w:rPr>
            </w:pPr>
          </w:p>
        </w:tc>
        <w:tc>
          <w:tcPr>
            <w:tcW w:w="1701" w:type="dxa"/>
            <w:vAlign w:val="center"/>
          </w:tcPr>
          <w:p>
            <w:pPr>
              <w:spacing w:line="300" w:lineRule="exact"/>
              <w:jc w:val="center"/>
              <w:rPr>
                <w:rFonts w:eastAsia="宋体"/>
                <w:sz w:val="21"/>
                <w:szCs w:val="21"/>
              </w:rPr>
            </w:pPr>
            <w:r>
              <w:rPr>
                <w:rFonts w:eastAsia="宋体"/>
                <w:sz w:val="21"/>
                <w:szCs w:val="21"/>
              </w:rPr>
              <w:t>昼 间</w:t>
            </w:r>
          </w:p>
        </w:tc>
        <w:tc>
          <w:tcPr>
            <w:tcW w:w="1555" w:type="dxa"/>
            <w:vAlign w:val="center"/>
          </w:tcPr>
          <w:p>
            <w:pPr>
              <w:spacing w:line="300" w:lineRule="exact"/>
              <w:jc w:val="center"/>
              <w:rPr>
                <w:rFonts w:eastAsia="宋体"/>
                <w:sz w:val="21"/>
                <w:szCs w:val="21"/>
              </w:rPr>
            </w:pPr>
            <w:r>
              <w:rPr>
                <w:rFonts w:eastAsia="宋体"/>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spacing w:line="300" w:lineRule="exact"/>
              <w:jc w:val="center"/>
              <w:rPr>
                <w:rFonts w:eastAsia="宋体"/>
                <w:sz w:val="21"/>
                <w:szCs w:val="21"/>
              </w:rPr>
            </w:pPr>
            <w:r>
              <w:rPr>
                <w:rFonts w:eastAsia="宋体"/>
                <w:sz w:val="21"/>
                <w:szCs w:val="21"/>
              </w:rPr>
              <w:t>3类</w:t>
            </w:r>
          </w:p>
        </w:tc>
        <w:tc>
          <w:tcPr>
            <w:tcW w:w="3261" w:type="dxa"/>
            <w:vAlign w:val="center"/>
          </w:tcPr>
          <w:p>
            <w:pPr>
              <w:spacing w:line="300" w:lineRule="exact"/>
              <w:jc w:val="center"/>
              <w:rPr>
                <w:rFonts w:eastAsia="宋体"/>
                <w:sz w:val="21"/>
                <w:szCs w:val="21"/>
              </w:rPr>
            </w:pPr>
            <w:r>
              <w:rPr>
                <w:rFonts w:hint="eastAsia" w:eastAsia="宋体"/>
                <w:sz w:val="21"/>
                <w:szCs w:val="21"/>
              </w:rPr>
              <w:t>东地块东侧、南侧、北侧厂界</w:t>
            </w:r>
          </w:p>
          <w:p>
            <w:pPr>
              <w:spacing w:line="300" w:lineRule="exact"/>
              <w:jc w:val="center"/>
              <w:rPr>
                <w:rFonts w:eastAsia="宋体"/>
                <w:sz w:val="21"/>
                <w:szCs w:val="21"/>
              </w:rPr>
            </w:pPr>
            <w:r>
              <w:rPr>
                <w:rFonts w:hint="eastAsia" w:eastAsia="宋体"/>
                <w:sz w:val="21"/>
                <w:szCs w:val="21"/>
              </w:rPr>
              <w:t>西地块南侧、西侧厂界</w:t>
            </w:r>
          </w:p>
        </w:tc>
        <w:tc>
          <w:tcPr>
            <w:tcW w:w="1701" w:type="dxa"/>
            <w:vAlign w:val="center"/>
          </w:tcPr>
          <w:p>
            <w:pPr>
              <w:spacing w:line="300" w:lineRule="exact"/>
              <w:jc w:val="center"/>
              <w:rPr>
                <w:rFonts w:eastAsia="宋体"/>
                <w:sz w:val="21"/>
                <w:szCs w:val="21"/>
              </w:rPr>
            </w:pPr>
            <w:r>
              <w:rPr>
                <w:rFonts w:eastAsia="宋体"/>
                <w:sz w:val="21"/>
                <w:szCs w:val="21"/>
              </w:rPr>
              <w:t>65</w:t>
            </w:r>
          </w:p>
        </w:tc>
        <w:tc>
          <w:tcPr>
            <w:tcW w:w="1555" w:type="dxa"/>
            <w:vAlign w:val="center"/>
          </w:tcPr>
          <w:p>
            <w:pPr>
              <w:spacing w:line="300" w:lineRule="exact"/>
              <w:jc w:val="center"/>
              <w:rPr>
                <w:rFonts w:eastAsia="宋体"/>
                <w:sz w:val="21"/>
                <w:szCs w:val="21"/>
              </w:rPr>
            </w:pPr>
            <w:r>
              <w:rPr>
                <w:rFonts w:eastAsia="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spacing w:line="300" w:lineRule="exact"/>
              <w:jc w:val="center"/>
              <w:rPr>
                <w:rFonts w:eastAsia="宋体"/>
                <w:sz w:val="21"/>
                <w:szCs w:val="21"/>
              </w:rPr>
            </w:pPr>
            <w:r>
              <w:rPr>
                <w:rFonts w:hint="eastAsia" w:eastAsia="宋体"/>
                <w:sz w:val="21"/>
                <w:szCs w:val="21"/>
              </w:rPr>
              <w:t>4a类</w:t>
            </w:r>
          </w:p>
        </w:tc>
        <w:tc>
          <w:tcPr>
            <w:tcW w:w="3261" w:type="dxa"/>
            <w:vAlign w:val="center"/>
          </w:tcPr>
          <w:p>
            <w:pPr>
              <w:spacing w:line="300" w:lineRule="exact"/>
              <w:jc w:val="center"/>
              <w:rPr>
                <w:rFonts w:eastAsia="宋体"/>
                <w:sz w:val="21"/>
                <w:szCs w:val="21"/>
              </w:rPr>
            </w:pPr>
            <w:r>
              <w:rPr>
                <w:rFonts w:hint="eastAsia" w:eastAsia="宋体"/>
                <w:sz w:val="21"/>
                <w:szCs w:val="21"/>
              </w:rPr>
              <w:t>东地块西侧厂界</w:t>
            </w:r>
          </w:p>
          <w:p>
            <w:pPr>
              <w:spacing w:line="300" w:lineRule="exact"/>
              <w:jc w:val="center"/>
              <w:rPr>
                <w:rFonts w:eastAsia="宋体"/>
                <w:sz w:val="21"/>
                <w:szCs w:val="21"/>
              </w:rPr>
            </w:pPr>
            <w:r>
              <w:rPr>
                <w:rFonts w:hint="eastAsia" w:eastAsia="宋体"/>
                <w:sz w:val="21"/>
                <w:szCs w:val="21"/>
              </w:rPr>
              <w:t>西地块东侧、北侧厂界</w:t>
            </w:r>
          </w:p>
        </w:tc>
        <w:tc>
          <w:tcPr>
            <w:tcW w:w="1701" w:type="dxa"/>
            <w:vAlign w:val="center"/>
          </w:tcPr>
          <w:p>
            <w:pPr>
              <w:spacing w:line="300" w:lineRule="exact"/>
              <w:jc w:val="center"/>
              <w:rPr>
                <w:rFonts w:eastAsia="宋体"/>
                <w:sz w:val="21"/>
                <w:szCs w:val="21"/>
              </w:rPr>
            </w:pPr>
            <w:r>
              <w:rPr>
                <w:rFonts w:hint="eastAsia" w:eastAsia="宋体"/>
                <w:sz w:val="21"/>
                <w:szCs w:val="21"/>
              </w:rPr>
              <w:t>70</w:t>
            </w:r>
          </w:p>
        </w:tc>
        <w:tc>
          <w:tcPr>
            <w:tcW w:w="1555" w:type="dxa"/>
            <w:vAlign w:val="center"/>
          </w:tcPr>
          <w:p>
            <w:pPr>
              <w:spacing w:line="300" w:lineRule="exact"/>
              <w:jc w:val="center"/>
              <w:rPr>
                <w:rFonts w:eastAsia="宋体"/>
                <w:sz w:val="21"/>
                <w:szCs w:val="21"/>
              </w:rPr>
            </w:pPr>
            <w:r>
              <w:rPr>
                <w:rFonts w:hint="eastAsia" w:eastAsia="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vAlign w:val="center"/>
          </w:tcPr>
          <w:p>
            <w:pPr>
              <w:spacing w:line="300" w:lineRule="exact"/>
              <w:jc w:val="center"/>
              <w:rPr>
                <w:rFonts w:eastAsia="宋体"/>
                <w:sz w:val="21"/>
                <w:szCs w:val="21"/>
              </w:rPr>
            </w:pPr>
            <w:r>
              <w:rPr>
                <w:rFonts w:hint="eastAsia" w:eastAsia="宋体"/>
                <w:sz w:val="21"/>
                <w:szCs w:val="21"/>
              </w:rPr>
              <w:t>4b</w:t>
            </w:r>
            <w:r>
              <w:rPr>
                <w:rFonts w:eastAsia="宋体"/>
                <w:sz w:val="21"/>
                <w:szCs w:val="21"/>
              </w:rPr>
              <w:t>类</w:t>
            </w:r>
          </w:p>
        </w:tc>
        <w:tc>
          <w:tcPr>
            <w:tcW w:w="3261" w:type="dxa"/>
            <w:vAlign w:val="center"/>
          </w:tcPr>
          <w:p>
            <w:pPr>
              <w:spacing w:line="300" w:lineRule="exact"/>
              <w:jc w:val="center"/>
              <w:rPr>
                <w:rFonts w:eastAsia="宋体"/>
                <w:sz w:val="21"/>
                <w:szCs w:val="21"/>
              </w:rPr>
            </w:pPr>
            <w:r>
              <w:rPr>
                <w:rFonts w:hint="eastAsia" w:eastAsia="宋体"/>
                <w:sz w:val="21"/>
                <w:szCs w:val="21"/>
              </w:rPr>
              <w:t>东地块</w:t>
            </w:r>
            <w:r>
              <w:rPr>
                <w:rFonts w:eastAsia="宋体"/>
                <w:sz w:val="21"/>
                <w:szCs w:val="21"/>
              </w:rPr>
              <w:t>东侧厂界</w:t>
            </w:r>
          </w:p>
        </w:tc>
        <w:tc>
          <w:tcPr>
            <w:tcW w:w="1701" w:type="dxa"/>
            <w:vAlign w:val="center"/>
          </w:tcPr>
          <w:p>
            <w:pPr>
              <w:spacing w:line="300" w:lineRule="exact"/>
              <w:jc w:val="center"/>
              <w:rPr>
                <w:rFonts w:eastAsia="宋体"/>
                <w:sz w:val="21"/>
                <w:szCs w:val="21"/>
              </w:rPr>
            </w:pPr>
            <w:r>
              <w:rPr>
                <w:rFonts w:hint="eastAsia" w:eastAsia="宋体"/>
                <w:sz w:val="21"/>
                <w:szCs w:val="21"/>
              </w:rPr>
              <w:t>70</w:t>
            </w:r>
          </w:p>
        </w:tc>
        <w:tc>
          <w:tcPr>
            <w:tcW w:w="1555" w:type="dxa"/>
            <w:vAlign w:val="center"/>
          </w:tcPr>
          <w:p>
            <w:pPr>
              <w:spacing w:line="300" w:lineRule="exact"/>
              <w:jc w:val="center"/>
              <w:rPr>
                <w:rFonts w:eastAsia="宋体"/>
                <w:sz w:val="21"/>
                <w:szCs w:val="21"/>
              </w:rPr>
            </w:pPr>
            <w:r>
              <w:rPr>
                <w:rFonts w:hint="eastAsia" w:eastAsia="宋体"/>
                <w:sz w:val="21"/>
                <w:szCs w:val="21"/>
              </w:rPr>
              <w:t>60</w:t>
            </w:r>
          </w:p>
        </w:tc>
      </w:tr>
    </w:tbl>
    <w:p>
      <w:pPr>
        <w:pStyle w:val="712"/>
        <w:rPr>
          <w:rFonts w:ascii="Times New Roman" w:hAnsi="Times New Roman" w:cs="Times New Roman"/>
          <w:spacing w:val="0"/>
        </w:rPr>
      </w:pPr>
      <w:r>
        <w:rPr>
          <w:rFonts w:hint="eastAsia" w:ascii="Times New Roman" w:hAnsi="Times New Roman" w:cs="Times New Roman"/>
          <w:spacing w:val="0"/>
          <w:lang w:eastAsia="zh-CN"/>
        </w:rPr>
        <w:t>4</w:t>
      </w:r>
      <w:r>
        <w:rPr>
          <w:rFonts w:ascii="Times New Roman" w:hAnsi="Times New Roman" w:cs="Times New Roman"/>
          <w:spacing w:val="0"/>
        </w:rPr>
        <w:t>．土壤环境质量标准</w:t>
      </w:r>
    </w:p>
    <w:p>
      <w:pPr>
        <w:pStyle w:val="835"/>
        <w:spacing w:before="0" w:line="480" w:lineRule="exact"/>
        <w:ind w:firstLine="486"/>
        <w:rPr>
          <w:rFonts w:ascii="Times New Roman" w:hAnsi="Times New Roman"/>
        </w:rPr>
      </w:pPr>
      <w:r>
        <w:rPr>
          <w:rFonts w:ascii="Times New Roman" w:hAnsi="Times New Roman"/>
        </w:rPr>
        <w:t>根据《工矿用地土壤环境管理办法（试行）》：第三条 土壤环境污染重点监管单位（以下简称重点单位）包括：（一）有色金属冶炼、石油加工、化工、焦化、电镀、制革等行业中应当纳入排污许可重点管理的企业；（二）有色金属矿采选、石油开采行业规模以上企业；（三）其他根据有关规定纳入土壤环境污染重点监管单位名录的企事业单位。</w:t>
      </w:r>
      <w:r>
        <w:rPr>
          <w:rFonts w:hint="eastAsia" w:ascii="Times New Roman" w:hAnsi="Times New Roman"/>
        </w:rPr>
        <w:t>根据2018.10.10的</w:t>
      </w:r>
      <w:r>
        <w:rPr>
          <w:rFonts w:ascii="Times New Roman" w:hAnsi="Times New Roman"/>
        </w:rPr>
        <w:t>部长信箱回复《</w:t>
      </w:r>
      <w:r>
        <w:fldChar w:fldCharType="begin"/>
      </w:r>
      <w:r>
        <w:instrText xml:space="preserve"> HYPERLINK "http://www.mee.gov.cn/hdjl/gzgq/hfhz/201810/t20181010_643462.shtml" </w:instrText>
      </w:r>
      <w:r>
        <w:fldChar w:fldCharType="separate"/>
      </w:r>
      <w:r>
        <w:rPr>
          <w:rFonts w:ascii="Times New Roman" w:hAnsi="Times New Roman"/>
        </w:rPr>
        <w:t>关于</w:t>
      </w:r>
      <w:r>
        <w:rPr>
          <w:rFonts w:hint="eastAsia" w:ascii="Times New Roman" w:hAnsi="Times New Roman"/>
        </w:rPr>
        <w:t>&lt;</w:t>
      </w:r>
      <w:r>
        <w:rPr>
          <w:rFonts w:ascii="Times New Roman" w:hAnsi="Times New Roman"/>
        </w:rPr>
        <w:t>工矿用地土壤环境管理办法（试行）</w:t>
      </w:r>
      <w:r>
        <w:rPr>
          <w:rFonts w:hint="eastAsia" w:ascii="Times New Roman" w:hAnsi="Times New Roman"/>
        </w:rPr>
        <w:t>&gt;</w:t>
      </w:r>
      <w:r>
        <w:rPr>
          <w:rFonts w:ascii="Times New Roman" w:hAnsi="Times New Roman"/>
        </w:rPr>
        <w:t>的回复</w:t>
      </w:r>
      <w:r>
        <w:rPr>
          <w:rFonts w:ascii="Times New Roman" w:hAnsi="Times New Roman"/>
        </w:rPr>
        <w:fldChar w:fldCharType="end"/>
      </w:r>
      <w:r>
        <w:rPr>
          <w:rFonts w:ascii="Times New Roman" w:hAnsi="Times New Roman"/>
        </w:rPr>
        <w:t>》</w:t>
      </w:r>
      <w:r>
        <w:rPr>
          <w:rFonts w:hint="eastAsia" w:ascii="Times New Roman" w:hAnsi="Times New Roman"/>
        </w:rPr>
        <w:t>，</w:t>
      </w:r>
      <w:r>
        <w:rPr>
          <w:rFonts w:ascii="Times New Roman" w:hAnsi="Times New Roman"/>
        </w:rPr>
        <w:t>年产生危险废物100 吨以上的企业事业单位</w:t>
      </w:r>
      <w:r>
        <w:rPr>
          <w:rFonts w:hint="eastAsia" w:ascii="Times New Roman" w:hAnsi="Times New Roman"/>
        </w:rPr>
        <w:t>纳入</w:t>
      </w:r>
      <w:r>
        <w:rPr>
          <w:rFonts w:ascii="Times New Roman" w:hAnsi="Times New Roman"/>
        </w:rPr>
        <w:t>土壤环境污染重点监管单位名录</w:t>
      </w:r>
      <w:r>
        <w:rPr>
          <w:rFonts w:hint="eastAsia" w:ascii="Times New Roman" w:hAnsi="Times New Roman"/>
        </w:rPr>
        <w:t>。企业危险废物产生量＞100t/a</w:t>
      </w:r>
      <w:r>
        <w:rPr>
          <w:rFonts w:ascii="Times New Roman" w:hAnsi="Times New Roman"/>
        </w:rPr>
        <w:t>，</w:t>
      </w:r>
      <w:r>
        <w:rPr>
          <w:rFonts w:hint="eastAsia" w:ascii="Times New Roman" w:hAnsi="Times New Roman"/>
        </w:rPr>
        <w:t>因此</w:t>
      </w:r>
      <w:r>
        <w:rPr>
          <w:rFonts w:ascii="Times New Roman" w:hAnsi="Times New Roman"/>
        </w:rPr>
        <w:t>属于《工矿用地土壤环境管理办法（试行）》中土壤环境污染重点监管单位。</w:t>
      </w:r>
    </w:p>
    <w:p>
      <w:pPr>
        <w:pStyle w:val="835"/>
        <w:spacing w:before="0" w:line="480" w:lineRule="exact"/>
        <w:ind w:firstLine="486"/>
        <w:rPr>
          <w:rFonts w:ascii="Times New Roman" w:hAnsi="Times New Roman"/>
        </w:rPr>
      </w:pPr>
      <w:r>
        <w:rPr>
          <w:rFonts w:ascii="Times New Roman" w:hAnsi="Times New Roman"/>
        </w:rPr>
        <w:t>项目用地为工业用地，属于</w:t>
      </w:r>
      <w:r>
        <w:rPr>
          <w:rFonts w:hint="eastAsia" w:ascii="Times New Roman" w:hAnsi="Times New Roman"/>
        </w:rPr>
        <w:t>建设用地中的</w:t>
      </w:r>
      <w:r>
        <w:rPr>
          <w:rFonts w:ascii="Times New Roman" w:hAnsi="Times New Roman"/>
        </w:rPr>
        <w:t>第二类用地，所在区域土壤执行《土壤环境质量 建设用地土壤污染风险管控标准(试行)》(GB366600-2018)中第二类用地的相关标准</w:t>
      </w:r>
      <w:r>
        <w:rPr>
          <w:rFonts w:hint="eastAsia" w:ascii="Times New Roman" w:hAnsi="Times New Roman"/>
        </w:rPr>
        <w:t>。项目附近永兴家园为居住用地，属于建设用地中的第一类用地，土壤环境执行第一类用地的相关标准，第一类用地及第二类用地的</w:t>
      </w:r>
      <w:r>
        <w:rPr>
          <w:rFonts w:ascii="Times New Roman" w:hAnsi="Times New Roman"/>
        </w:rPr>
        <w:t>基本项目筛选值及管控值详见表2-6</w:t>
      </w:r>
      <w:r>
        <w:rPr>
          <w:rFonts w:hint="eastAsia" w:ascii="Times New Roman" w:hAnsi="Times New Roman"/>
        </w:rPr>
        <w:t>、表2-</w:t>
      </w:r>
      <w:r>
        <w:rPr>
          <w:rFonts w:ascii="Times New Roman" w:hAnsi="Times New Roman"/>
        </w:rPr>
        <w:t>7。</w:t>
      </w:r>
      <w:r>
        <w:rPr>
          <w:rFonts w:hint="eastAsia" w:ascii="Times New Roman" w:hAnsi="Times New Roman"/>
        </w:rPr>
        <w:t>项目附近河流吕山港河道底泥参照执行《土壤环境质量 农用地土壤污染风险管控标准（试行）》（GB15618-2018）筛选值和管制值，具体详见表2-</w:t>
      </w:r>
      <w:r>
        <w:rPr>
          <w:rFonts w:ascii="Times New Roman" w:hAnsi="Times New Roman"/>
        </w:rPr>
        <w:t>8</w:t>
      </w:r>
      <w:r>
        <w:rPr>
          <w:rFonts w:hint="eastAsia" w:ascii="Times New Roman" w:hAnsi="Times New Roman"/>
        </w:rPr>
        <w:t>。</w:t>
      </w:r>
    </w:p>
    <w:p>
      <w:pPr>
        <w:pStyle w:val="313"/>
        <w:tabs>
          <w:tab w:val="clear" w:pos="3908"/>
        </w:tabs>
        <w:ind w:left="1122" w:hanging="561"/>
        <w:rPr>
          <w:rFonts w:ascii="Times New Roman" w:hAnsi="Times New Roman"/>
        </w:rPr>
      </w:pPr>
      <w:r>
        <w:rPr>
          <w:rFonts w:ascii="Times New Roman" w:hAnsi="Times New Roman"/>
        </w:rPr>
        <w:t>建设用地土壤污染风险筛选值和管控值(基本项目)</w:t>
      </w:r>
      <w:r>
        <w:rPr>
          <w:rFonts w:hint="eastAsia" w:ascii="Times New Roman" w:hAnsi="Times New Roman"/>
          <w:lang w:eastAsia="zh-CN"/>
        </w:rPr>
        <w:t xml:space="preserve"> 单位：mg/kg</w:t>
      </w:r>
    </w:p>
    <w:tbl>
      <w:tblPr>
        <w:tblStyle w:val="87"/>
        <w:tblW w:w="8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864"/>
        <w:gridCol w:w="1369"/>
        <w:gridCol w:w="1262"/>
        <w:gridCol w:w="1175"/>
        <w:gridCol w:w="1123"/>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Merge w:val="restart"/>
            <w:vAlign w:val="center"/>
          </w:tcPr>
          <w:p>
            <w:pPr>
              <w:spacing w:line="340" w:lineRule="exact"/>
              <w:jc w:val="center"/>
              <w:rPr>
                <w:rFonts w:eastAsia="宋体"/>
                <w:sz w:val="21"/>
                <w:szCs w:val="21"/>
              </w:rPr>
            </w:pPr>
            <w:r>
              <w:rPr>
                <w:rFonts w:eastAsia="宋体"/>
                <w:sz w:val="21"/>
                <w:szCs w:val="21"/>
              </w:rPr>
              <w:t>序号</w:t>
            </w:r>
          </w:p>
        </w:tc>
        <w:tc>
          <w:tcPr>
            <w:tcW w:w="1864" w:type="dxa"/>
            <w:vMerge w:val="restart"/>
            <w:vAlign w:val="center"/>
          </w:tcPr>
          <w:p>
            <w:pPr>
              <w:spacing w:line="340" w:lineRule="exact"/>
              <w:jc w:val="center"/>
              <w:rPr>
                <w:rFonts w:eastAsia="宋体"/>
                <w:sz w:val="21"/>
                <w:szCs w:val="21"/>
              </w:rPr>
            </w:pPr>
            <w:r>
              <w:rPr>
                <w:rFonts w:eastAsia="宋体"/>
                <w:sz w:val="21"/>
                <w:szCs w:val="21"/>
              </w:rPr>
              <w:t>污染物项目</w:t>
            </w:r>
          </w:p>
        </w:tc>
        <w:tc>
          <w:tcPr>
            <w:tcW w:w="1369" w:type="dxa"/>
            <w:vMerge w:val="restart"/>
            <w:vAlign w:val="center"/>
          </w:tcPr>
          <w:p>
            <w:pPr>
              <w:spacing w:line="340" w:lineRule="exact"/>
              <w:jc w:val="center"/>
              <w:rPr>
                <w:rFonts w:eastAsia="宋体"/>
                <w:sz w:val="21"/>
                <w:szCs w:val="21"/>
              </w:rPr>
            </w:pPr>
            <w:r>
              <w:rPr>
                <w:rFonts w:eastAsia="宋体"/>
                <w:sz w:val="21"/>
                <w:szCs w:val="21"/>
              </w:rPr>
              <w:t>CAS编号</w:t>
            </w:r>
          </w:p>
        </w:tc>
        <w:tc>
          <w:tcPr>
            <w:tcW w:w="2437" w:type="dxa"/>
            <w:gridSpan w:val="2"/>
            <w:vAlign w:val="center"/>
          </w:tcPr>
          <w:p>
            <w:pPr>
              <w:spacing w:line="340" w:lineRule="exact"/>
              <w:jc w:val="center"/>
              <w:rPr>
                <w:rFonts w:eastAsia="宋体"/>
                <w:sz w:val="21"/>
                <w:szCs w:val="21"/>
              </w:rPr>
            </w:pPr>
            <w:r>
              <w:rPr>
                <w:rFonts w:eastAsia="宋体"/>
                <w:sz w:val="21"/>
                <w:szCs w:val="21"/>
              </w:rPr>
              <w:t>筛选值</w:t>
            </w:r>
          </w:p>
        </w:tc>
        <w:tc>
          <w:tcPr>
            <w:tcW w:w="2331" w:type="dxa"/>
            <w:gridSpan w:val="2"/>
            <w:vAlign w:val="center"/>
          </w:tcPr>
          <w:p>
            <w:pPr>
              <w:spacing w:line="340" w:lineRule="exact"/>
              <w:jc w:val="center"/>
              <w:rPr>
                <w:rFonts w:eastAsia="宋体"/>
                <w:sz w:val="21"/>
                <w:szCs w:val="21"/>
              </w:rPr>
            </w:pPr>
            <w:r>
              <w:rPr>
                <w:rFonts w:eastAsia="宋体"/>
                <w:sz w:val="21"/>
                <w:szCs w:val="21"/>
              </w:rPr>
              <w:t>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Merge w:val="continue"/>
            <w:vAlign w:val="center"/>
          </w:tcPr>
          <w:p>
            <w:pPr>
              <w:spacing w:line="340" w:lineRule="exact"/>
              <w:jc w:val="center"/>
              <w:rPr>
                <w:rFonts w:eastAsia="宋体"/>
                <w:sz w:val="21"/>
                <w:szCs w:val="21"/>
              </w:rPr>
            </w:pPr>
          </w:p>
        </w:tc>
        <w:tc>
          <w:tcPr>
            <w:tcW w:w="1864" w:type="dxa"/>
            <w:vMerge w:val="continue"/>
            <w:vAlign w:val="center"/>
          </w:tcPr>
          <w:p>
            <w:pPr>
              <w:spacing w:line="340" w:lineRule="exact"/>
              <w:jc w:val="center"/>
              <w:rPr>
                <w:rFonts w:eastAsia="宋体"/>
                <w:sz w:val="21"/>
                <w:szCs w:val="21"/>
              </w:rPr>
            </w:pPr>
          </w:p>
        </w:tc>
        <w:tc>
          <w:tcPr>
            <w:tcW w:w="1369" w:type="dxa"/>
            <w:vMerge w:val="continue"/>
            <w:vAlign w:val="center"/>
          </w:tcPr>
          <w:p>
            <w:pPr>
              <w:spacing w:line="340" w:lineRule="exact"/>
              <w:jc w:val="center"/>
              <w:rPr>
                <w:rFonts w:eastAsia="宋体"/>
                <w:sz w:val="21"/>
                <w:szCs w:val="21"/>
              </w:rPr>
            </w:pPr>
          </w:p>
        </w:tc>
        <w:tc>
          <w:tcPr>
            <w:tcW w:w="1262" w:type="dxa"/>
            <w:vAlign w:val="center"/>
          </w:tcPr>
          <w:p>
            <w:pPr>
              <w:spacing w:line="340" w:lineRule="exact"/>
              <w:ind w:left="-141" w:leftChars="-50" w:right="-141" w:rightChars="-50"/>
              <w:jc w:val="center"/>
              <w:rPr>
                <w:rFonts w:eastAsia="宋体"/>
                <w:sz w:val="21"/>
                <w:szCs w:val="21"/>
              </w:rPr>
            </w:pPr>
            <w:r>
              <w:rPr>
                <w:rFonts w:eastAsia="宋体"/>
                <w:sz w:val="21"/>
                <w:szCs w:val="21"/>
              </w:rPr>
              <w:t>第一类用地</w:t>
            </w:r>
          </w:p>
        </w:tc>
        <w:tc>
          <w:tcPr>
            <w:tcW w:w="1175" w:type="dxa"/>
            <w:vAlign w:val="center"/>
          </w:tcPr>
          <w:p>
            <w:pPr>
              <w:spacing w:line="340" w:lineRule="exact"/>
              <w:ind w:left="-141" w:leftChars="-50" w:right="-141" w:rightChars="-50"/>
              <w:jc w:val="center"/>
              <w:rPr>
                <w:rFonts w:eastAsia="宋体"/>
                <w:sz w:val="21"/>
                <w:szCs w:val="21"/>
              </w:rPr>
            </w:pPr>
            <w:r>
              <w:rPr>
                <w:rFonts w:eastAsia="宋体"/>
                <w:sz w:val="21"/>
                <w:szCs w:val="21"/>
              </w:rPr>
              <w:t>第二类用地</w:t>
            </w:r>
          </w:p>
        </w:tc>
        <w:tc>
          <w:tcPr>
            <w:tcW w:w="1123" w:type="dxa"/>
            <w:vAlign w:val="center"/>
          </w:tcPr>
          <w:p>
            <w:pPr>
              <w:spacing w:line="340" w:lineRule="exact"/>
              <w:ind w:left="-141" w:leftChars="-50" w:right="-141" w:rightChars="-50"/>
              <w:jc w:val="center"/>
              <w:rPr>
                <w:rFonts w:eastAsia="宋体"/>
                <w:sz w:val="21"/>
                <w:szCs w:val="21"/>
              </w:rPr>
            </w:pPr>
            <w:r>
              <w:rPr>
                <w:rFonts w:eastAsia="宋体"/>
                <w:sz w:val="21"/>
                <w:szCs w:val="21"/>
              </w:rPr>
              <w:t>第一类用地</w:t>
            </w:r>
          </w:p>
        </w:tc>
        <w:tc>
          <w:tcPr>
            <w:tcW w:w="1208" w:type="dxa"/>
            <w:vAlign w:val="center"/>
          </w:tcPr>
          <w:p>
            <w:pPr>
              <w:spacing w:line="340" w:lineRule="exact"/>
              <w:ind w:left="-141" w:leftChars="-50" w:right="-141" w:rightChars="-50"/>
              <w:jc w:val="center"/>
              <w:rPr>
                <w:rFonts w:eastAsia="宋体"/>
                <w:sz w:val="21"/>
                <w:szCs w:val="21"/>
              </w:rPr>
            </w:pPr>
            <w:r>
              <w:rPr>
                <w:rFonts w:eastAsia="宋体"/>
                <w:sz w:val="2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18" w:type="dxa"/>
            <w:gridSpan w:val="7"/>
            <w:vAlign w:val="center"/>
          </w:tcPr>
          <w:p>
            <w:pPr>
              <w:spacing w:line="340" w:lineRule="exact"/>
              <w:jc w:val="left"/>
              <w:rPr>
                <w:rFonts w:eastAsia="宋体"/>
                <w:sz w:val="21"/>
                <w:szCs w:val="21"/>
              </w:rPr>
            </w:pPr>
            <w:r>
              <w:rPr>
                <w:rFonts w:eastAsia="宋体"/>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砷</w:t>
            </w:r>
          </w:p>
        </w:tc>
        <w:tc>
          <w:tcPr>
            <w:tcW w:w="1369" w:type="dxa"/>
            <w:vAlign w:val="center"/>
          </w:tcPr>
          <w:p>
            <w:pPr>
              <w:spacing w:line="340" w:lineRule="exact"/>
              <w:jc w:val="center"/>
              <w:rPr>
                <w:rFonts w:eastAsia="宋体"/>
                <w:sz w:val="21"/>
                <w:szCs w:val="21"/>
              </w:rPr>
            </w:pPr>
            <w:r>
              <w:rPr>
                <w:rFonts w:eastAsia="宋体"/>
                <w:sz w:val="21"/>
                <w:szCs w:val="21"/>
              </w:rPr>
              <w:t>7440-38-2</w:t>
            </w:r>
          </w:p>
        </w:tc>
        <w:tc>
          <w:tcPr>
            <w:tcW w:w="1262" w:type="dxa"/>
            <w:vAlign w:val="center"/>
          </w:tcPr>
          <w:p>
            <w:pPr>
              <w:spacing w:line="340" w:lineRule="exact"/>
              <w:jc w:val="center"/>
              <w:rPr>
                <w:rFonts w:eastAsia="宋体"/>
                <w:sz w:val="21"/>
                <w:szCs w:val="21"/>
              </w:rPr>
            </w:pPr>
            <w:r>
              <w:rPr>
                <w:rFonts w:eastAsia="宋体"/>
                <w:sz w:val="21"/>
                <w:szCs w:val="21"/>
              </w:rPr>
              <w:t>20</w:t>
            </w:r>
            <w:r>
              <w:rPr>
                <w:rFonts w:hint="eastAsia" w:ascii="宋体" w:hAnsi="宋体" w:eastAsia="宋体" w:cs="宋体"/>
                <w:sz w:val="21"/>
                <w:szCs w:val="21"/>
                <w:vertAlign w:val="superscript"/>
              </w:rPr>
              <w:t>①</w:t>
            </w:r>
          </w:p>
        </w:tc>
        <w:tc>
          <w:tcPr>
            <w:tcW w:w="1175" w:type="dxa"/>
            <w:vAlign w:val="center"/>
          </w:tcPr>
          <w:p>
            <w:pPr>
              <w:spacing w:line="340" w:lineRule="exact"/>
              <w:jc w:val="center"/>
              <w:rPr>
                <w:rFonts w:eastAsia="宋体"/>
                <w:sz w:val="21"/>
                <w:szCs w:val="21"/>
              </w:rPr>
            </w:pPr>
            <w:r>
              <w:rPr>
                <w:rFonts w:eastAsia="宋体"/>
                <w:sz w:val="21"/>
                <w:szCs w:val="21"/>
              </w:rPr>
              <w:t>60</w:t>
            </w:r>
            <w:r>
              <w:rPr>
                <w:rFonts w:hint="eastAsia" w:ascii="宋体" w:hAnsi="宋体" w:eastAsia="宋体" w:cs="宋体"/>
                <w:sz w:val="21"/>
                <w:szCs w:val="21"/>
                <w:vertAlign w:val="superscript"/>
              </w:rPr>
              <w:t>①</w:t>
            </w:r>
          </w:p>
        </w:tc>
        <w:tc>
          <w:tcPr>
            <w:tcW w:w="1123" w:type="dxa"/>
            <w:vAlign w:val="center"/>
          </w:tcPr>
          <w:p>
            <w:pPr>
              <w:spacing w:line="340" w:lineRule="exact"/>
              <w:jc w:val="center"/>
              <w:rPr>
                <w:rFonts w:eastAsia="宋体"/>
                <w:sz w:val="21"/>
                <w:szCs w:val="21"/>
              </w:rPr>
            </w:pPr>
            <w:r>
              <w:rPr>
                <w:rFonts w:eastAsia="宋体"/>
                <w:sz w:val="21"/>
                <w:szCs w:val="21"/>
              </w:rPr>
              <w:t>120</w:t>
            </w:r>
          </w:p>
        </w:tc>
        <w:tc>
          <w:tcPr>
            <w:tcW w:w="1208" w:type="dxa"/>
            <w:vAlign w:val="center"/>
          </w:tcPr>
          <w:p>
            <w:pPr>
              <w:spacing w:line="340" w:lineRule="exact"/>
              <w:jc w:val="center"/>
              <w:rPr>
                <w:rFonts w:eastAsia="宋体"/>
                <w:sz w:val="21"/>
                <w:szCs w:val="21"/>
              </w:rPr>
            </w:pPr>
            <w:r>
              <w:rPr>
                <w:rFonts w:eastAsia="宋体"/>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镉</w:t>
            </w:r>
          </w:p>
        </w:tc>
        <w:tc>
          <w:tcPr>
            <w:tcW w:w="1369" w:type="dxa"/>
            <w:vAlign w:val="center"/>
          </w:tcPr>
          <w:p>
            <w:pPr>
              <w:spacing w:line="340" w:lineRule="exact"/>
              <w:jc w:val="center"/>
              <w:rPr>
                <w:rFonts w:eastAsia="宋体"/>
                <w:sz w:val="21"/>
                <w:szCs w:val="21"/>
              </w:rPr>
            </w:pPr>
            <w:r>
              <w:rPr>
                <w:rFonts w:eastAsia="宋体"/>
                <w:sz w:val="21"/>
                <w:szCs w:val="21"/>
              </w:rPr>
              <w:t>7440-43-9</w:t>
            </w:r>
          </w:p>
        </w:tc>
        <w:tc>
          <w:tcPr>
            <w:tcW w:w="1262" w:type="dxa"/>
            <w:vAlign w:val="center"/>
          </w:tcPr>
          <w:p>
            <w:pPr>
              <w:widowControl/>
              <w:spacing w:line="340" w:lineRule="exact"/>
              <w:jc w:val="center"/>
              <w:rPr>
                <w:rFonts w:eastAsia="宋体"/>
                <w:sz w:val="21"/>
                <w:szCs w:val="21"/>
              </w:rPr>
            </w:pPr>
            <w:r>
              <w:rPr>
                <w:rFonts w:eastAsia="宋体"/>
                <w:sz w:val="21"/>
                <w:szCs w:val="21"/>
              </w:rPr>
              <w:t>20</w:t>
            </w:r>
          </w:p>
        </w:tc>
        <w:tc>
          <w:tcPr>
            <w:tcW w:w="1175" w:type="dxa"/>
            <w:vAlign w:val="center"/>
          </w:tcPr>
          <w:p>
            <w:pPr>
              <w:spacing w:line="340" w:lineRule="exact"/>
              <w:jc w:val="center"/>
              <w:rPr>
                <w:rFonts w:eastAsia="宋体"/>
                <w:sz w:val="21"/>
                <w:szCs w:val="21"/>
              </w:rPr>
            </w:pPr>
            <w:r>
              <w:rPr>
                <w:rFonts w:eastAsia="宋体"/>
                <w:sz w:val="21"/>
                <w:szCs w:val="21"/>
              </w:rPr>
              <w:t>65</w:t>
            </w:r>
          </w:p>
        </w:tc>
        <w:tc>
          <w:tcPr>
            <w:tcW w:w="1123" w:type="dxa"/>
            <w:vAlign w:val="center"/>
          </w:tcPr>
          <w:p>
            <w:pPr>
              <w:spacing w:line="340" w:lineRule="exact"/>
              <w:jc w:val="center"/>
              <w:rPr>
                <w:rFonts w:eastAsia="宋体"/>
                <w:sz w:val="21"/>
                <w:szCs w:val="21"/>
              </w:rPr>
            </w:pPr>
            <w:r>
              <w:rPr>
                <w:rFonts w:eastAsia="宋体"/>
                <w:sz w:val="21"/>
                <w:szCs w:val="21"/>
              </w:rPr>
              <w:t>47</w:t>
            </w:r>
          </w:p>
        </w:tc>
        <w:tc>
          <w:tcPr>
            <w:tcW w:w="1208" w:type="dxa"/>
            <w:vAlign w:val="center"/>
          </w:tcPr>
          <w:p>
            <w:pPr>
              <w:spacing w:line="340" w:lineRule="exact"/>
              <w:jc w:val="center"/>
              <w:rPr>
                <w:rFonts w:eastAsia="宋体"/>
                <w:sz w:val="21"/>
                <w:szCs w:val="21"/>
              </w:rPr>
            </w:pPr>
            <w:r>
              <w:rPr>
                <w:rFonts w:eastAsia="宋体"/>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铬(六价)</w:t>
            </w:r>
          </w:p>
        </w:tc>
        <w:tc>
          <w:tcPr>
            <w:tcW w:w="1369" w:type="dxa"/>
            <w:vAlign w:val="center"/>
          </w:tcPr>
          <w:p>
            <w:pPr>
              <w:spacing w:line="340" w:lineRule="exact"/>
              <w:jc w:val="center"/>
              <w:rPr>
                <w:rFonts w:eastAsia="宋体"/>
                <w:sz w:val="21"/>
                <w:szCs w:val="21"/>
              </w:rPr>
            </w:pPr>
            <w:r>
              <w:rPr>
                <w:rFonts w:eastAsia="宋体"/>
                <w:sz w:val="21"/>
                <w:szCs w:val="21"/>
              </w:rPr>
              <w:t>18540-29-9</w:t>
            </w:r>
          </w:p>
        </w:tc>
        <w:tc>
          <w:tcPr>
            <w:tcW w:w="1262" w:type="dxa"/>
            <w:vAlign w:val="center"/>
          </w:tcPr>
          <w:p>
            <w:pPr>
              <w:spacing w:line="340" w:lineRule="exact"/>
              <w:jc w:val="center"/>
              <w:rPr>
                <w:rFonts w:eastAsia="宋体"/>
                <w:sz w:val="21"/>
                <w:szCs w:val="21"/>
              </w:rPr>
            </w:pPr>
            <w:r>
              <w:rPr>
                <w:rFonts w:eastAsia="宋体"/>
                <w:sz w:val="21"/>
                <w:szCs w:val="21"/>
              </w:rPr>
              <w:t>3.0</w:t>
            </w:r>
          </w:p>
        </w:tc>
        <w:tc>
          <w:tcPr>
            <w:tcW w:w="1175" w:type="dxa"/>
            <w:vAlign w:val="center"/>
          </w:tcPr>
          <w:p>
            <w:pPr>
              <w:spacing w:line="340" w:lineRule="exact"/>
              <w:jc w:val="center"/>
              <w:rPr>
                <w:rFonts w:eastAsia="宋体"/>
                <w:sz w:val="21"/>
                <w:szCs w:val="21"/>
              </w:rPr>
            </w:pPr>
            <w:r>
              <w:rPr>
                <w:rFonts w:eastAsia="宋体"/>
                <w:sz w:val="21"/>
                <w:szCs w:val="21"/>
              </w:rPr>
              <w:t>5.7</w:t>
            </w:r>
          </w:p>
        </w:tc>
        <w:tc>
          <w:tcPr>
            <w:tcW w:w="1123" w:type="dxa"/>
            <w:vAlign w:val="center"/>
          </w:tcPr>
          <w:p>
            <w:pPr>
              <w:spacing w:line="340" w:lineRule="exact"/>
              <w:jc w:val="center"/>
              <w:rPr>
                <w:rFonts w:eastAsia="宋体"/>
                <w:sz w:val="21"/>
                <w:szCs w:val="21"/>
              </w:rPr>
            </w:pPr>
            <w:r>
              <w:rPr>
                <w:rFonts w:eastAsia="宋体"/>
                <w:sz w:val="21"/>
                <w:szCs w:val="21"/>
              </w:rPr>
              <w:t>30</w:t>
            </w:r>
          </w:p>
        </w:tc>
        <w:tc>
          <w:tcPr>
            <w:tcW w:w="1208" w:type="dxa"/>
            <w:vAlign w:val="center"/>
          </w:tcPr>
          <w:p>
            <w:pPr>
              <w:spacing w:line="340" w:lineRule="exact"/>
              <w:jc w:val="center"/>
              <w:rPr>
                <w:rFonts w:eastAsia="宋体"/>
                <w:sz w:val="21"/>
                <w:szCs w:val="21"/>
              </w:rPr>
            </w:pPr>
            <w:r>
              <w:rPr>
                <w:rFonts w:eastAsia="宋体"/>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铜</w:t>
            </w:r>
          </w:p>
        </w:tc>
        <w:tc>
          <w:tcPr>
            <w:tcW w:w="1369" w:type="dxa"/>
            <w:vAlign w:val="center"/>
          </w:tcPr>
          <w:p>
            <w:pPr>
              <w:spacing w:line="340" w:lineRule="exact"/>
              <w:jc w:val="center"/>
              <w:rPr>
                <w:rFonts w:eastAsia="宋体"/>
                <w:sz w:val="21"/>
                <w:szCs w:val="21"/>
              </w:rPr>
            </w:pPr>
            <w:r>
              <w:rPr>
                <w:rFonts w:eastAsia="宋体"/>
                <w:sz w:val="21"/>
                <w:szCs w:val="21"/>
              </w:rPr>
              <w:t>7440-50-8</w:t>
            </w:r>
          </w:p>
        </w:tc>
        <w:tc>
          <w:tcPr>
            <w:tcW w:w="1262" w:type="dxa"/>
            <w:vAlign w:val="center"/>
          </w:tcPr>
          <w:p>
            <w:pPr>
              <w:spacing w:line="340" w:lineRule="exact"/>
              <w:jc w:val="center"/>
              <w:rPr>
                <w:rFonts w:eastAsia="宋体"/>
                <w:sz w:val="21"/>
                <w:szCs w:val="21"/>
              </w:rPr>
            </w:pPr>
            <w:r>
              <w:rPr>
                <w:rFonts w:eastAsia="宋体"/>
                <w:sz w:val="21"/>
                <w:szCs w:val="21"/>
              </w:rPr>
              <w:t>2000</w:t>
            </w:r>
          </w:p>
        </w:tc>
        <w:tc>
          <w:tcPr>
            <w:tcW w:w="1175" w:type="dxa"/>
            <w:vAlign w:val="center"/>
          </w:tcPr>
          <w:p>
            <w:pPr>
              <w:spacing w:line="340" w:lineRule="exact"/>
              <w:jc w:val="center"/>
              <w:rPr>
                <w:rFonts w:eastAsia="宋体"/>
                <w:sz w:val="21"/>
                <w:szCs w:val="21"/>
              </w:rPr>
            </w:pPr>
            <w:r>
              <w:rPr>
                <w:rFonts w:eastAsia="宋体"/>
                <w:sz w:val="21"/>
                <w:szCs w:val="21"/>
              </w:rPr>
              <w:t>18000</w:t>
            </w:r>
          </w:p>
        </w:tc>
        <w:tc>
          <w:tcPr>
            <w:tcW w:w="1123" w:type="dxa"/>
            <w:vAlign w:val="center"/>
          </w:tcPr>
          <w:p>
            <w:pPr>
              <w:spacing w:line="340" w:lineRule="exact"/>
              <w:jc w:val="center"/>
              <w:rPr>
                <w:rFonts w:eastAsia="宋体"/>
                <w:sz w:val="21"/>
                <w:szCs w:val="21"/>
              </w:rPr>
            </w:pPr>
            <w:r>
              <w:rPr>
                <w:rFonts w:eastAsia="宋体"/>
                <w:sz w:val="21"/>
                <w:szCs w:val="21"/>
              </w:rPr>
              <w:t>8000</w:t>
            </w:r>
          </w:p>
        </w:tc>
        <w:tc>
          <w:tcPr>
            <w:tcW w:w="1208" w:type="dxa"/>
            <w:vAlign w:val="center"/>
          </w:tcPr>
          <w:p>
            <w:pPr>
              <w:spacing w:line="340" w:lineRule="exact"/>
              <w:jc w:val="center"/>
              <w:rPr>
                <w:rFonts w:eastAsia="宋体"/>
                <w:sz w:val="21"/>
                <w:szCs w:val="21"/>
              </w:rPr>
            </w:pPr>
            <w:r>
              <w:rPr>
                <w:rFonts w:eastAsia="宋体"/>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铅</w:t>
            </w:r>
          </w:p>
        </w:tc>
        <w:tc>
          <w:tcPr>
            <w:tcW w:w="1369" w:type="dxa"/>
            <w:vAlign w:val="center"/>
          </w:tcPr>
          <w:p>
            <w:pPr>
              <w:spacing w:line="340" w:lineRule="exact"/>
              <w:jc w:val="center"/>
              <w:rPr>
                <w:rFonts w:eastAsia="宋体"/>
                <w:sz w:val="21"/>
                <w:szCs w:val="21"/>
              </w:rPr>
            </w:pPr>
            <w:r>
              <w:rPr>
                <w:rFonts w:eastAsia="宋体"/>
                <w:sz w:val="21"/>
                <w:szCs w:val="21"/>
              </w:rPr>
              <w:t>7439-92-1</w:t>
            </w:r>
          </w:p>
        </w:tc>
        <w:tc>
          <w:tcPr>
            <w:tcW w:w="1262" w:type="dxa"/>
            <w:vAlign w:val="center"/>
          </w:tcPr>
          <w:p>
            <w:pPr>
              <w:spacing w:line="340" w:lineRule="exact"/>
              <w:jc w:val="center"/>
              <w:rPr>
                <w:rFonts w:eastAsia="宋体"/>
                <w:sz w:val="21"/>
                <w:szCs w:val="21"/>
              </w:rPr>
            </w:pPr>
            <w:r>
              <w:rPr>
                <w:rFonts w:eastAsia="宋体"/>
                <w:sz w:val="21"/>
                <w:szCs w:val="21"/>
              </w:rPr>
              <w:t>400</w:t>
            </w:r>
          </w:p>
        </w:tc>
        <w:tc>
          <w:tcPr>
            <w:tcW w:w="1175" w:type="dxa"/>
            <w:vAlign w:val="center"/>
          </w:tcPr>
          <w:p>
            <w:pPr>
              <w:spacing w:line="340" w:lineRule="exact"/>
              <w:jc w:val="center"/>
              <w:rPr>
                <w:rFonts w:eastAsia="宋体"/>
                <w:sz w:val="21"/>
                <w:szCs w:val="21"/>
              </w:rPr>
            </w:pPr>
            <w:r>
              <w:rPr>
                <w:rFonts w:eastAsia="宋体"/>
                <w:sz w:val="21"/>
                <w:szCs w:val="21"/>
              </w:rPr>
              <w:t>800</w:t>
            </w:r>
          </w:p>
        </w:tc>
        <w:tc>
          <w:tcPr>
            <w:tcW w:w="1123" w:type="dxa"/>
            <w:vAlign w:val="center"/>
          </w:tcPr>
          <w:p>
            <w:pPr>
              <w:spacing w:line="340" w:lineRule="exact"/>
              <w:jc w:val="center"/>
              <w:rPr>
                <w:rFonts w:eastAsia="宋体"/>
                <w:sz w:val="21"/>
                <w:szCs w:val="21"/>
              </w:rPr>
            </w:pPr>
            <w:r>
              <w:rPr>
                <w:rFonts w:eastAsia="宋体"/>
                <w:sz w:val="21"/>
                <w:szCs w:val="21"/>
              </w:rPr>
              <w:t>800</w:t>
            </w:r>
          </w:p>
        </w:tc>
        <w:tc>
          <w:tcPr>
            <w:tcW w:w="1208" w:type="dxa"/>
            <w:vAlign w:val="center"/>
          </w:tcPr>
          <w:p>
            <w:pPr>
              <w:spacing w:line="340" w:lineRule="exact"/>
              <w:jc w:val="center"/>
              <w:rPr>
                <w:rFonts w:eastAsia="宋体"/>
                <w:sz w:val="21"/>
                <w:szCs w:val="21"/>
              </w:rPr>
            </w:pPr>
            <w:r>
              <w:rPr>
                <w:rFonts w:eastAsia="宋体"/>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汞</w:t>
            </w:r>
          </w:p>
        </w:tc>
        <w:tc>
          <w:tcPr>
            <w:tcW w:w="1369" w:type="dxa"/>
            <w:vAlign w:val="center"/>
          </w:tcPr>
          <w:p>
            <w:pPr>
              <w:spacing w:line="340" w:lineRule="exact"/>
              <w:jc w:val="center"/>
              <w:rPr>
                <w:rFonts w:eastAsia="宋体"/>
                <w:sz w:val="21"/>
                <w:szCs w:val="21"/>
              </w:rPr>
            </w:pPr>
            <w:r>
              <w:rPr>
                <w:rFonts w:eastAsia="宋体"/>
                <w:sz w:val="21"/>
                <w:szCs w:val="21"/>
              </w:rPr>
              <w:t>7439-97-6</w:t>
            </w:r>
          </w:p>
        </w:tc>
        <w:tc>
          <w:tcPr>
            <w:tcW w:w="1262" w:type="dxa"/>
            <w:vAlign w:val="center"/>
          </w:tcPr>
          <w:p>
            <w:pPr>
              <w:widowControl/>
              <w:spacing w:line="340" w:lineRule="exact"/>
              <w:jc w:val="center"/>
              <w:rPr>
                <w:rFonts w:eastAsia="宋体"/>
                <w:sz w:val="21"/>
                <w:szCs w:val="21"/>
              </w:rPr>
            </w:pPr>
            <w:r>
              <w:rPr>
                <w:rFonts w:eastAsia="宋体"/>
                <w:sz w:val="21"/>
                <w:szCs w:val="21"/>
              </w:rPr>
              <w:t>8</w:t>
            </w:r>
          </w:p>
        </w:tc>
        <w:tc>
          <w:tcPr>
            <w:tcW w:w="1175" w:type="dxa"/>
            <w:vAlign w:val="center"/>
          </w:tcPr>
          <w:p>
            <w:pPr>
              <w:spacing w:line="340" w:lineRule="exact"/>
              <w:jc w:val="center"/>
              <w:rPr>
                <w:rFonts w:eastAsia="宋体"/>
                <w:sz w:val="21"/>
                <w:szCs w:val="21"/>
              </w:rPr>
            </w:pPr>
            <w:r>
              <w:rPr>
                <w:rFonts w:eastAsia="宋体"/>
                <w:sz w:val="21"/>
                <w:szCs w:val="21"/>
              </w:rPr>
              <w:t>38</w:t>
            </w:r>
          </w:p>
        </w:tc>
        <w:tc>
          <w:tcPr>
            <w:tcW w:w="1123" w:type="dxa"/>
            <w:vAlign w:val="center"/>
          </w:tcPr>
          <w:p>
            <w:pPr>
              <w:spacing w:line="340" w:lineRule="exact"/>
              <w:jc w:val="center"/>
              <w:rPr>
                <w:rFonts w:eastAsia="宋体"/>
                <w:sz w:val="21"/>
                <w:szCs w:val="21"/>
              </w:rPr>
            </w:pPr>
            <w:r>
              <w:rPr>
                <w:rFonts w:eastAsia="宋体"/>
                <w:sz w:val="21"/>
                <w:szCs w:val="21"/>
              </w:rPr>
              <w:t>33</w:t>
            </w:r>
          </w:p>
        </w:tc>
        <w:tc>
          <w:tcPr>
            <w:tcW w:w="1208" w:type="dxa"/>
            <w:vAlign w:val="center"/>
          </w:tcPr>
          <w:p>
            <w:pPr>
              <w:spacing w:line="340" w:lineRule="exact"/>
              <w:jc w:val="center"/>
              <w:rPr>
                <w:rFonts w:eastAsia="宋体"/>
                <w:sz w:val="21"/>
                <w:szCs w:val="21"/>
              </w:rPr>
            </w:pPr>
            <w:r>
              <w:rPr>
                <w:rFonts w:eastAsia="宋体"/>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镍</w:t>
            </w:r>
          </w:p>
        </w:tc>
        <w:tc>
          <w:tcPr>
            <w:tcW w:w="1369" w:type="dxa"/>
            <w:vAlign w:val="center"/>
          </w:tcPr>
          <w:p>
            <w:pPr>
              <w:spacing w:line="340" w:lineRule="exact"/>
              <w:jc w:val="center"/>
              <w:rPr>
                <w:rFonts w:eastAsia="宋体"/>
                <w:sz w:val="21"/>
                <w:szCs w:val="21"/>
              </w:rPr>
            </w:pPr>
            <w:r>
              <w:rPr>
                <w:rFonts w:eastAsia="宋体"/>
                <w:sz w:val="21"/>
                <w:szCs w:val="21"/>
              </w:rPr>
              <w:t>7440-02-0</w:t>
            </w:r>
          </w:p>
        </w:tc>
        <w:tc>
          <w:tcPr>
            <w:tcW w:w="1262" w:type="dxa"/>
            <w:vAlign w:val="center"/>
          </w:tcPr>
          <w:p>
            <w:pPr>
              <w:widowControl/>
              <w:spacing w:line="340" w:lineRule="exact"/>
              <w:jc w:val="center"/>
              <w:rPr>
                <w:rFonts w:eastAsia="宋体"/>
                <w:sz w:val="21"/>
                <w:szCs w:val="21"/>
              </w:rPr>
            </w:pPr>
            <w:r>
              <w:rPr>
                <w:rFonts w:eastAsia="宋体"/>
                <w:sz w:val="21"/>
                <w:szCs w:val="21"/>
              </w:rPr>
              <w:t>150</w:t>
            </w:r>
          </w:p>
        </w:tc>
        <w:tc>
          <w:tcPr>
            <w:tcW w:w="1175" w:type="dxa"/>
            <w:vAlign w:val="center"/>
          </w:tcPr>
          <w:p>
            <w:pPr>
              <w:spacing w:line="340" w:lineRule="exact"/>
              <w:jc w:val="center"/>
              <w:rPr>
                <w:rFonts w:eastAsia="宋体"/>
                <w:sz w:val="21"/>
                <w:szCs w:val="21"/>
              </w:rPr>
            </w:pPr>
            <w:r>
              <w:rPr>
                <w:rFonts w:eastAsia="宋体"/>
                <w:sz w:val="21"/>
                <w:szCs w:val="21"/>
              </w:rPr>
              <w:t>900</w:t>
            </w:r>
          </w:p>
        </w:tc>
        <w:tc>
          <w:tcPr>
            <w:tcW w:w="1123" w:type="dxa"/>
            <w:vAlign w:val="center"/>
          </w:tcPr>
          <w:p>
            <w:pPr>
              <w:spacing w:line="340" w:lineRule="exact"/>
              <w:jc w:val="center"/>
              <w:rPr>
                <w:rFonts w:eastAsia="宋体"/>
                <w:sz w:val="21"/>
                <w:szCs w:val="21"/>
              </w:rPr>
            </w:pPr>
            <w:r>
              <w:rPr>
                <w:rFonts w:eastAsia="宋体"/>
                <w:sz w:val="21"/>
                <w:szCs w:val="21"/>
              </w:rPr>
              <w:t>600</w:t>
            </w:r>
          </w:p>
        </w:tc>
        <w:tc>
          <w:tcPr>
            <w:tcW w:w="1208" w:type="dxa"/>
            <w:vAlign w:val="center"/>
          </w:tcPr>
          <w:p>
            <w:pPr>
              <w:spacing w:line="340" w:lineRule="exact"/>
              <w:jc w:val="center"/>
              <w:rPr>
                <w:rFonts w:eastAsia="宋体"/>
                <w:sz w:val="21"/>
                <w:szCs w:val="21"/>
              </w:rPr>
            </w:pPr>
            <w:r>
              <w:rPr>
                <w:rFonts w:eastAsia="宋体"/>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18" w:type="dxa"/>
            <w:gridSpan w:val="7"/>
            <w:vAlign w:val="center"/>
          </w:tcPr>
          <w:p>
            <w:pPr>
              <w:spacing w:line="340" w:lineRule="exact"/>
              <w:jc w:val="left"/>
              <w:rPr>
                <w:rFonts w:eastAsia="宋体"/>
                <w:sz w:val="21"/>
                <w:szCs w:val="21"/>
              </w:rPr>
            </w:pPr>
            <w:r>
              <w:rPr>
                <w:rFonts w:eastAsia="宋体"/>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四氯化碳</w:t>
            </w:r>
          </w:p>
        </w:tc>
        <w:tc>
          <w:tcPr>
            <w:tcW w:w="1369" w:type="dxa"/>
            <w:vAlign w:val="center"/>
          </w:tcPr>
          <w:p>
            <w:pPr>
              <w:spacing w:line="340" w:lineRule="exact"/>
              <w:jc w:val="center"/>
              <w:rPr>
                <w:rFonts w:eastAsia="宋体"/>
                <w:sz w:val="21"/>
                <w:szCs w:val="21"/>
              </w:rPr>
            </w:pPr>
            <w:r>
              <w:rPr>
                <w:rFonts w:eastAsia="宋体"/>
                <w:sz w:val="21"/>
                <w:szCs w:val="21"/>
              </w:rPr>
              <w:t>56-23-5</w:t>
            </w:r>
          </w:p>
        </w:tc>
        <w:tc>
          <w:tcPr>
            <w:tcW w:w="1262" w:type="dxa"/>
            <w:vAlign w:val="center"/>
          </w:tcPr>
          <w:p>
            <w:pPr>
              <w:widowControl/>
              <w:spacing w:line="340" w:lineRule="exact"/>
              <w:jc w:val="center"/>
              <w:rPr>
                <w:rFonts w:eastAsia="宋体"/>
                <w:sz w:val="21"/>
                <w:szCs w:val="21"/>
              </w:rPr>
            </w:pPr>
            <w:r>
              <w:rPr>
                <w:rFonts w:eastAsia="宋体"/>
                <w:sz w:val="21"/>
                <w:szCs w:val="21"/>
              </w:rPr>
              <w:t>0.9</w:t>
            </w:r>
          </w:p>
        </w:tc>
        <w:tc>
          <w:tcPr>
            <w:tcW w:w="1175" w:type="dxa"/>
            <w:vAlign w:val="center"/>
          </w:tcPr>
          <w:p>
            <w:pPr>
              <w:spacing w:line="340" w:lineRule="exact"/>
              <w:jc w:val="center"/>
              <w:rPr>
                <w:rFonts w:eastAsia="宋体"/>
                <w:sz w:val="21"/>
                <w:szCs w:val="21"/>
              </w:rPr>
            </w:pPr>
            <w:r>
              <w:rPr>
                <w:rFonts w:eastAsia="宋体"/>
                <w:sz w:val="21"/>
                <w:szCs w:val="21"/>
              </w:rPr>
              <w:t>2.8</w:t>
            </w:r>
          </w:p>
        </w:tc>
        <w:tc>
          <w:tcPr>
            <w:tcW w:w="1123" w:type="dxa"/>
            <w:vAlign w:val="center"/>
          </w:tcPr>
          <w:p>
            <w:pPr>
              <w:spacing w:line="340" w:lineRule="exact"/>
              <w:jc w:val="center"/>
              <w:rPr>
                <w:rFonts w:eastAsia="宋体"/>
                <w:sz w:val="21"/>
                <w:szCs w:val="21"/>
              </w:rPr>
            </w:pPr>
            <w:r>
              <w:rPr>
                <w:rFonts w:eastAsia="宋体"/>
                <w:sz w:val="21"/>
                <w:szCs w:val="21"/>
              </w:rPr>
              <w:t>9</w:t>
            </w:r>
          </w:p>
        </w:tc>
        <w:tc>
          <w:tcPr>
            <w:tcW w:w="1208" w:type="dxa"/>
            <w:vAlign w:val="center"/>
          </w:tcPr>
          <w:p>
            <w:pPr>
              <w:spacing w:line="340" w:lineRule="exact"/>
              <w:jc w:val="center"/>
              <w:rPr>
                <w:rFonts w:eastAsia="宋体"/>
                <w:sz w:val="21"/>
                <w:szCs w:val="21"/>
              </w:rPr>
            </w:pPr>
            <w:r>
              <w:rPr>
                <w:rFonts w:eastAsia="宋体"/>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氯仿</w:t>
            </w:r>
          </w:p>
        </w:tc>
        <w:tc>
          <w:tcPr>
            <w:tcW w:w="1369" w:type="dxa"/>
            <w:vAlign w:val="center"/>
          </w:tcPr>
          <w:p>
            <w:pPr>
              <w:spacing w:line="340" w:lineRule="exact"/>
              <w:jc w:val="center"/>
              <w:rPr>
                <w:rFonts w:eastAsia="宋体"/>
                <w:sz w:val="21"/>
                <w:szCs w:val="21"/>
              </w:rPr>
            </w:pPr>
            <w:r>
              <w:rPr>
                <w:rFonts w:eastAsia="宋体"/>
                <w:sz w:val="21"/>
                <w:szCs w:val="21"/>
              </w:rPr>
              <w:t>67-66-3</w:t>
            </w:r>
          </w:p>
        </w:tc>
        <w:tc>
          <w:tcPr>
            <w:tcW w:w="1262" w:type="dxa"/>
            <w:vAlign w:val="center"/>
          </w:tcPr>
          <w:p>
            <w:pPr>
              <w:widowControl/>
              <w:spacing w:line="340" w:lineRule="exact"/>
              <w:jc w:val="center"/>
              <w:rPr>
                <w:rFonts w:eastAsia="宋体"/>
                <w:sz w:val="21"/>
                <w:szCs w:val="21"/>
              </w:rPr>
            </w:pPr>
            <w:r>
              <w:rPr>
                <w:rFonts w:eastAsia="宋体"/>
                <w:sz w:val="21"/>
                <w:szCs w:val="21"/>
              </w:rPr>
              <w:t>0.3</w:t>
            </w:r>
          </w:p>
        </w:tc>
        <w:tc>
          <w:tcPr>
            <w:tcW w:w="1175" w:type="dxa"/>
            <w:vAlign w:val="center"/>
          </w:tcPr>
          <w:p>
            <w:pPr>
              <w:spacing w:line="340" w:lineRule="exact"/>
              <w:jc w:val="center"/>
              <w:rPr>
                <w:rFonts w:eastAsia="宋体"/>
                <w:sz w:val="21"/>
                <w:szCs w:val="21"/>
              </w:rPr>
            </w:pPr>
            <w:r>
              <w:rPr>
                <w:rFonts w:eastAsia="宋体"/>
                <w:sz w:val="21"/>
                <w:szCs w:val="21"/>
              </w:rPr>
              <w:t>0.9</w:t>
            </w:r>
          </w:p>
        </w:tc>
        <w:tc>
          <w:tcPr>
            <w:tcW w:w="1123" w:type="dxa"/>
            <w:vAlign w:val="center"/>
          </w:tcPr>
          <w:p>
            <w:pPr>
              <w:spacing w:line="340" w:lineRule="exact"/>
              <w:jc w:val="center"/>
              <w:rPr>
                <w:rFonts w:eastAsia="宋体"/>
                <w:sz w:val="21"/>
                <w:szCs w:val="21"/>
              </w:rPr>
            </w:pPr>
            <w:r>
              <w:rPr>
                <w:rFonts w:eastAsia="宋体"/>
                <w:sz w:val="21"/>
                <w:szCs w:val="21"/>
              </w:rPr>
              <w:t>5</w:t>
            </w:r>
          </w:p>
        </w:tc>
        <w:tc>
          <w:tcPr>
            <w:tcW w:w="1208" w:type="dxa"/>
            <w:vAlign w:val="center"/>
          </w:tcPr>
          <w:p>
            <w:pPr>
              <w:spacing w:line="340" w:lineRule="exact"/>
              <w:jc w:val="center"/>
              <w:rPr>
                <w:rFonts w:eastAsia="宋体"/>
                <w:sz w:val="21"/>
                <w:szCs w:val="21"/>
              </w:rPr>
            </w:pPr>
            <w:r>
              <w:rPr>
                <w:rFonts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氯甲烷</w:t>
            </w:r>
          </w:p>
        </w:tc>
        <w:tc>
          <w:tcPr>
            <w:tcW w:w="1369" w:type="dxa"/>
            <w:vAlign w:val="center"/>
          </w:tcPr>
          <w:p>
            <w:pPr>
              <w:spacing w:line="340" w:lineRule="exact"/>
              <w:jc w:val="center"/>
              <w:rPr>
                <w:rFonts w:eastAsia="宋体"/>
                <w:sz w:val="21"/>
                <w:szCs w:val="21"/>
              </w:rPr>
            </w:pPr>
            <w:r>
              <w:rPr>
                <w:rFonts w:eastAsia="宋体"/>
                <w:sz w:val="21"/>
                <w:szCs w:val="21"/>
              </w:rPr>
              <w:t>74-87-3</w:t>
            </w:r>
          </w:p>
        </w:tc>
        <w:tc>
          <w:tcPr>
            <w:tcW w:w="1262" w:type="dxa"/>
            <w:vAlign w:val="center"/>
          </w:tcPr>
          <w:p>
            <w:pPr>
              <w:spacing w:line="340" w:lineRule="exact"/>
              <w:jc w:val="center"/>
              <w:rPr>
                <w:rFonts w:eastAsia="宋体"/>
                <w:sz w:val="21"/>
                <w:szCs w:val="21"/>
              </w:rPr>
            </w:pPr>
            <w:r>
              <w:rPr>
                <w:rFonts w:eastAsia="宋体"/>
                <w:sz w:val="21"/>
                <w:szCs w:val="21"/>
              </w:rPr>
              <w:t>12</w:t>
            </w:r>
          </w:p>
        </w:tc>
        <w:tc>
          <w:tcPr>
            <w:tcW w:w="1175" w:type="dxa"/>
            <w:vAlign w:val="center"/>
          </w:tcPr>
          <w:p>
            <w:pPr>
              <w:spacing w:line="340" w:lineRule="exact"/>
              <w:jc w:val="center"/>
              <w:rPr>
                <w:rFonts w:eastAsia="宋体"/>
                <w:sz w:val="21"/>
                <w:szCs w:val="21"/>
              </w:rPr>
            </w:pPr>
            <w:r>
              <w:rPr>
                <w:rFonts w:eastAsia="宋体"/>
                <w:sz w:val="21"/>
                <w:szCs w:val="21"/>
              </w:rPr>
              <w:t>37</w:t>
            </w:r>
          </w:p>
        </w:tc>
        <w:tc>
          <w:tcPr>
            <w:tcW w:w="1123" w:type="dxa"/>
            <w:vAlign w:val="center"/>
          </w:tcPr>
          <w:p>
            <w:pPr>
              <w:spacing w:line="340" w:lineRule="exact"/>
              <w:jc w:val="center"/>
              <w:rPr>
                <w:rFonts w:eastAsia="宋体"/>
                <w:sz w:val="21"/>
                <w:szCs w:val="21"/>
              </w:rPr>
            </w:pPr>
            <w:r>
              <w:rPr>
                <w:rFonts w:eastAsia="宋体"/>
                <w:sz w:val="21"/>
                <w:szCs w:val="21"/>
              </w:rPr>
              <w:t>21</w:t>
            </w:r>
          </w:p>
        </w:tc>
        <w:tc>
          <w:tcPr>
            <w:tcW w:w="1208" w:type="dxa"/>
            <w:vAlign w:val="center"/>
          </w:tcPr>
          <w:p>
            <w:pPr>
              <w:spacing w:line="340" w:lineRule="exact"/>
              <w:jc w:val="center"/>
              <w:rPr>
                <w:rFonts w:eastAsia="宋体"/>
                <w:sz w:val="21"/>
                <w:szCs w:val="21"/>
              </w:rPr>
            </w:pPr>
            <w:r>
              <w:rPr>
                <w:rFonts w:eastAsia="宋体"/>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1,1-二氯乙烷</w:t>
            </w:r>
          </w:p>
        </w:tc>
        <w:tc>
          <w:tcPr>
            <w:tcW w:w="1369" w:type="dxa"/>
            <w:vAlign w:val="center"/>
          </w:tcPr>
          <w:p>
            <w:pPr>
              <w:spacing w:line="340" w:lineRule="exact"/>
              <w:jc w:val="center"/>
              <w:rPr>
                <w:rFonts w:eastAsia="宋体"/>
                <w:sz w:val="21"/>
                <w:szCs w:val="21"/>
              </w:rPr>
            </w:pPr>
            <w:r>
              <w:rPr>
                <w:rFonts w:eastAsia="宋体"/>
                <w:sz w:val="21"/>
                <w:szCs w:val="21"/>
              </w:rPr>
              <w:t>75-34-3</w:t>
            </w:r>
          </w:p>
        </w:tc>
        <w:tc>
          <w:tcPr>
            <w:tcW w:w="1262" w:type="dxa"/>
            <w:vAlign w:val="center"/>
          </w:tcPr>
          <w:p>
            <w:pPr>
              <w:spacing w:line="340" w:lineRule="exact"/>
              <w:jc w:val="center"/>
              <w:rPr>
                <w:rFonts w:eastAsia="宋体"/>
                <w:sz w:val="21"/>
                <w:szCs w:val="21"/>
              </w:rPr>
            </w:pPr>
            <w:r>
              <w:rPr>
                <w:rFonts w:eastAsia="宋体"/>
                <w:sz w:val="21"/>
                <w:szCs w:val="21"/>
              </w:rPr>
              <w:t>3</w:t>
            </w:r>
          </w:p>
        </w:tc>
        <w:tc>
          <w:tcPr>
            <w:tcW w:w="1175" w:type="dxa"/>
            <w:vAlign w:val="center"/>
          </w:tcPr>
          <w:p>
            <w:pPr>
              <w:spacing w:line="340" w:lineRule="exact"/>
              <w:jc w:val="center"/>
              <w:rPr>
                <w:rFonts w:eastAsia="宋体"/>
                <w:sz w:val="21"/>
                <w:szCs w:val="21"/>
              </w:rPr>
            </w:pPr>
            <w:r>
              <w:rPr>
                <w:rFonts w:eastAsia="宋体"/>
                <w:sz w:val="21"/>
                <w:szCs w:val="21"/>
              </w:rPr>
              <w:t>9</w:t>
            </w:r>
          </w:p>
        </w:tc>
        <w:tc>
          <w:tcPr>
            <w:tcW w:w="1123" w:type="dxa"/>
            <w:vAlign w:val="center"/>
          </w:tcPr>
          <w:p>
            <w:pPr>
              <w:spacing w:line="340" w:lineRule="exact"/>
              <w:jc w:val="center"/>
              <w:rPr>
                <w:rFonts w:eastAsia="宋体"/>
                <w:sz w:val="21"/>
                <w:szCs w:val="21"/>
              </w:rPr>
            </w:pPr>
            <w:r>
              <w:rPr>
                <w:rFonts w:eastAsia="宋体"/>
                <w:sz w:val="21"/>
                <w:szCs w:val="21"/>
              </w:rPr>
              <w:t>20</w:t>
            </w:r>
          </w:p>
        </w:tc>
        <w:tc>
          <w:tcPr>
            <w:tcW w:w="1208" w:type="dxa"/>
            <w:vAlign w:val="center"/>
          </w:tcPr>
          <w:p>
            <w:pPr>
              <w:spacing w:line="340" w:lineRule="exact"/>
              <w:jc w:val="center"/>
              <w:rPr>
                <w:rFonts w:eastAsia="宋体"/>
                <w:sz w:val="21"/>
                <w:szCs w:val="21"/>
              </w:rPr>
            </w:pPr>
            <w:r>
              <w:rPr>
                <w:rFonts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1,2-二氯乙烷</w:t>
            </w:r>
          </w:p>
        </w:tc>
        <w:tc>
          <w:tcPr>
            <w:tcW w:w="1369" w:type="dxa"/>
            <w:vAlign w:val="center"/>
          </w:tcPr>
          <w:p>
            <w:pPr>
              <w:spacing w:line="340" w:lineRule="exact"/>
              <w:jc w:val="center"/>
              <w:rPr>
                <w:rFonts w:eastAsia="宋体"/>
                <w:sz w:val="21"/>
                <w:szCs w:val="21"/>
              </w:rPr>
            </w:pPr>
            <w:r>
              <w:rPr>
                <w:rFonts w:eastAsia="宋体"/>
                <w:sz w:val="21"/>
                <w:szCs w:val="21"/>
              </w:rPr>
              <w:t>107-06-2</w:t>
            </w:r>
          </w:p>
        </w:tc>
        <w:tc>
          <w:tcPr>
            <w:tcW w:w="1262" w:type="dxa"/>
            <w:vAlign w:val="center"/>
          </w:tcPr>
          <w:p>
            <w:pPr>
              <w:spacing w:line="340" w:lineRule="exact"/>
              <w:jc w:val="center"/>
              <w:rPr>
                <w:rFonts w:eastAsia="宋体"/>
                <w:sz w:val="21"/>
                <w:szCs w:val="21"/>
              </w:rPr>
            </w:pPr>
            <w:r>
              <w:rPr>
                <w:rFonts w:eastAsia="宋体"/>
                <w:sz w:val="21"/>
                <w:szCs w:val="21"/>
              </w:rPr>
              <w:t>0.52</w:t>
            </w:r>
          </w:p>
        </w:tc>
        <w:tc>
          <w:tcPr>
            <w:tcW w:w="1175" w:type="dxa"/>
            <w:vAlign w:val="center"/>
          </w:tcPr>
          <w:p>
            <w:pPr>
              <w:spacing w:line="340" w:lineRule="exact"/>
              <w:jc w:val="center"/>
              <w:rPr>
                <w:rFonts w:eastAsia="宋体"/>
                <w:sz w:val="21"/>
                <w:szCs w:val="21"/>
              </w:rPr>
            </w:pPr>
            <w:r>
              <w:rPr>
                <w:rFonts w:eastAsia="宋体"/>
                <w:sz w:val="21"/>
                <w:szCs w:val="21"/>
              </w:rPr>
              <w:t>5</w:t>
            </w:r>
          </w:p>
        </w:tc>
        <w:tc>
          <w:tcPr>
            <w:tcW w:w="1123" w:type="dxa"/>
            <w:vAlign w:val="center"/>
          </w:tcPr>
          <w:p>
            <w:pPr>
              <w:spacing w:line="340" w:lineRule="exact"/>
              <w:jc w:val="center"/>
              <w:rPr>
                <w:rFonts w:eastAsia="宋体"/>
                <w:sz w:val="21"/>
                <w:szCs w:val="21"/>
              </w:rPr>
            </w:pPr>
            <w:r>
              <w:rPr>
                <w:rFonts w:eastAsia="宋体"/>
                <w:sz w:val="21"/>
                <w:szCs w:val="21"/>
              </w:rPr>
              <w:t>6</w:t>
            </w:r>
          </w:p>
        </w:tc>
        <w:tc>
          <w:tcPr>
            <w:tcW w:w="1208" w:type="dxa"/>
            <w:vAlign w:val="center"/>
          </w:tcPr>
          <w:p>
            <w:pPr>
              <w:spacing w:line="340" w:lineRule="exact"/>
              <w:jc w:val="center"/>
              <w:rPr>
                <w:rFonts w:eastAsia="宋体"/>
                <w:sz w:val="21"/>
                <w:szCs w:val="21"/>
              </w:rPr>
            </w:pPr>
            <w:r>
              <w:rPr>
                <w:rFonts w:eastAsia="宋体"/>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1,1-二氯乙烯</w:t>
            </w:r>
          </w:p>
        </w:tc>
        <w:tc>
          <w:tcPr>
            <w:tcW w:w="1369" w:type="dxa"/>
            <w:vAlign w:val="center"/>
          </w:tcPr>
          <w:p>
            <w:pPr>
              <w:spacing w:line="340" w:lineRule="exact"/>
              <w:jc w:val="center"/>
              <w:rPr>
                <w:rFonts w:eastAsia="宋体"/>
                <w:sz w:val="21"/>
                <w:szCs w:val="21"/>
              </w:rPr>
            </w:pPr>
            <w:r>
              <w:rPr>
                <w:rFonts w:eastAsia="宋体"/>
                <w:sz w:val="21"/>
                <w:szCs w:val="21"/>
              </w:rPr>
              <w:t>75-35-4</w:t>
            </w:r>
          </w:p>
        </w:tc>
        <w:tc>
          <w:tcPr>
            <w:tcW w:w="1262" w:type="dxa"/>
            <w:vAlign w:val="center"/>
          </w:tcPr>
          <w:p>
            <w:pPr>
              <w:spacing w:line="340" w:lineRule="exact"/>
              <w:jc w:val="center"/>
              <w:rPr>
                <w:rFonts w:eastAsia="宋体"/>
                <w:sz w:val="21"/>
                <w:szCs w:val="21"/>
              </w:rPr>
            </w:pPr>
            <w:r>
              <w:rPr>
                <w:rFonts w:eastAsia="宋体"/>
                <w:sz w:val="21"/>
                <w:szCs w:val="21"/>
              </w:rPr>
              <w:t>12</w:t>
            </w:r>
          </w:p>
        </w:tc>
        <w:tc>
          <w:tcPr>
            <w:tcW w:w="1175" w:type="dxa"/>
            <w:vAlign w:val="center"/>
          </w:tcPr>
          <w:p>
            <w:pPr>
              <w:spacing w:line="340" w:lineRule="exact"/>
              <w:jc w:val="center"/>
              <w:rPr>
                <w:rFonts w:eastAsia="宋体"/>
                <w:sz w:val="21"/>
                <w:szCs w:val="21"/>
              </w:rPr>
            </w:pPr>
            <w:r>
              <w:rPr>
                <w:rFonts w:eastAsia="宋体"/>
                <w:sz w:val="21"/>
                <w:szCs w:val="21"/>
              </w:rPr>
              <w:t>66</w:t>
            </w:r>
          </w:p>
        </w:tc>
        <w:tc>
          <w:tcPr>
            <w:tcW w:w="1123" w:type="dxa"/>
            <w:vAlign w:val="center"/>
          </w:tcPr>
          <w:p>
            <w:pPr>
              <w:spacing w:line="340" w:lineRule="exact"/>
              <w:jc w:val="center"/>
              <w:rPr>
                <w:rFonts w:eastAsia="宋体"/>
                <w:sz w:val="21"/>
                <w:szCs w:val="21"/>
              </w:rPr>
            </w:pPr>
            <w:r>
              <w:rPr>
                <w:rFonts w:eastAsia="宋体"/>
                <w:sz w:val="21"/>
                <w:szCs w:val="21"/>
              </w:rPr>
              <w:t>40</w:t>
            </w:r>
          </w:p>
        </w:tc>
        <w:tc>
          <w:tcPr>
            <w:tcW w:w="1208" w:type="dxa"/>
            <w:vAlign w:val="center"/>
          </w:tcPr>
          <w:p>
            <w:pPr>
              <w:spacing w:line="340" w:lineRule="exact"/>
              <w:jc w:val="center"/>
              <w:rPr>
                <w:rFonts w:eastAsia="宋体"/>
                <w:sz w:val="21"/>
                <w:szCs w:val="21"/>
              </w:rPr>
            </w:pPr>
            <w:r>
              <w:rPr>
                <w:rFonts w:eastAsia="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顺-1,2-二氯乙烯</w:t>
            </w:r>
          </w:p>
        </w:tc>
        <w:tc>
          <w:tcPr>
            <w:tcW w:w="1369" w:type="dxa"/>
            <w:vAlign w:val="center"/>
          </w:tcPr>
          <w:p>
            <w:pPr>
              <w:spacing w:line="340" w:lineRule="exact"/>
              <w:jc w:val="center"/>
              <w:rPr>
                <w:rFonts w:eastAsia="宋体"/>
                <w:sz w:val="21"/>
                <w:szCs w:val="21"/>
              </w:rPr>
            </w:pPr>
            <w:r>
              <w:rPr>
                <w:rFonts w:eastAsia="宋体"/>
                <w:sz w:val="21"/>
                <w:szCs w:val="21"/>
              </w:rPr>
              <w:t>156-59-2</w:t>
            </w:r>
          </w:p>
        </w:tc>
        <w:tc>
          <w:tcPr>
            <w:tcW w:w="1262" w:type="dxa"/>
            <w:vAlign w:val="center"/>
          </w:tcPr>
          <w:p>
            <w:pPr>
              <w:spacing w:line="340" w:lineRule="exact"/>
              <w:jc w:val="center"/>
              <w:rPr>
                <w:rFonts w:eastAsia="宋体"/>
                <w:sz w:val="21"/>
                <w:szCs w:val="21"/>
              </w:rPr>
            </w:pPr>
            <w:r>
              <w:rPr>
                <w:rFonts w:eastAsia="宋体"/>
                <w:sz w:val="21"/>
                <w:szCs w:val="21"/>
              </w:rPr>
              <w:t>66</w:t>
            </w:r>
          </w:p>
        </w:tc>
        <w:tc>
          <w:tcPr>
            <w:tcW w:w="1175" w:type="dxa"/>
            <w:vAlign w:val="center"/>
          </w:tcPr>
          <w:p>
            <w:pPr>
              <w:spacing w:line="340" w:lineRule="exact"/>
              <w:jc w:val="center"/>
              <w:rPr>
                <w:rFonts w:eastAsia="宋体"/>
                <w:sz w:val="21"/>
                <w:szCs w:val="21"/>
              </w:rPr>
            </w:pPr>
            <w:r>
              <w:rPr>
                <w:rFonts w:eastAsia="宋体"/>
                <w:sz w:val="21"/>
                <w:szCs w:val="21"/>
              </w:rPr>
              <w:t>596</w:t>
            </w:r>
          </w:p>
        </w:tc>
        <w:tc>
          <w:tcPr>
            <w:tcW w:w="1123" w:type="dxa"/>
            <w:vAlign w:val="center"/>
          </w:tcPr>
          <w:p>
            <w:pPr>
              <w:spacing w:line="340" w:lineRule="exact"/>
              <w:jc w:val="center"/>
              <w:rPr>
                <w:rFonts w:eastAsia="宋体"/>
                <w:sz w:val="21"/>
                <w:szCs w:val="21"/>
              </w:rPr>
            </w:pPr>
            <w:r>
              <w:rPr>
                <w:rFonts w:eastAsia="宋体"/>
                <w:sz w:val="21"/>
                <w:szCs w:val="21"/>
              </w:rPr>
              <w:t>200</w:t>
            </w:r>
          </w:p>
        </w:tc>
        <w:tc>
          <w:tcPr>
            <w:tcW w:w="1208" w:type="dxa"/>
            <w:vAlign w:val="center"/>
          </w:tcPr>
          <w:p>
            <w:pPr>
              <w:spacing w:line="340" w:lineRule="exact"/>
              <w:jc w:val="center"/>
              <w:rPr>
                <w:rFonts w:eastAsia="宋体"/>
                <w:sz w:val="21"/>
                <w:szCs w:val="21"/>
              </w:rPr>
            </w:pPr>
            <w:r>
              <w:rPr>
                <w:rFonts w:eastAsia="宋体"/>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反-1,2-二氯乙烯</w:t>
            </w:r>
          </w:p>
        </w:tc>
        <w:tc>
          <w:tcPr>
            <w:tcW w:w="1369" w:type="dxa"/>
            <w:vAlign w:val="center"/>
          </w:tcPr>
          <w:p>
            <w:pPr>
              <w:spacing w:line="340" w:lineRule="exact"/>
              <w:jc w:val="center"/>
              <w:rPr>
                <w:rFonts w:eastAsia="宋体"/>
                <w:sz w:val="21"/>
                <w:szCs w:val="21"/>
              </w:rPr>
            </w:pPr>
            <w:r>
              <w:rPr>
                <w:rFonts w:eastAsia="宋体"/>
                <w:sz w:val="21"/>
                <w:szCs w:val="21"/>
              </w:rPr>
              <w:t>156-60-5</w:t>
            </w:r>
          </w:p>
        </w:tc>
        <w:tc>
          <w:tcPr>
            <w:tcW w:w="1262" w:type="dxa"/>
            <w:vAlign w:val="center"/>
          </w:tcPr>
          <w:p>
            <w:pPr>
              <w:spacing w:line="340" w:lineRule="exact"/>
              <w:jc w:val="center"/>
              <w:rPr>
                <w:rFonts w:eastAsia="宋体"/>
                <w:sz w:val="21"/>
                <w:szCs w:val="21"/>
              </w:rPr>
            </w:pPr>
            <w:r>
              <w:rPr>
                <w:rFonts w:eastAsia="宋体"/>
                <w:sz w:val="21"/>
                <w:szCs w:val="21"/>
              </w:rPr>
              <w:t>10</w:t>
            </w:r>
          </w:p>
        </w:tc>
        <w:tc>
          <w:tcPr>
            <w:tcW w:w="1175" w:type="dxa"/>
            <w:vAlign w:val="center"/>
          </w:tcPr>
          <w:p>
            <w:pPr>
              <w:spacing w:line="340" w:lineRule="exact"/>
              <w:jc w:val="center"/>
              <w:rPr>
                <w:rFonts w:eastAsia="宋体"/>
                <w:sz w:val="21"/>
                <w:szCs w:val="21"/>
              </w:rPr>
            </w:pPr>
            <w:r>
              <w:rPr>
                <w:rFonts w:eastAsia="宋体"/>
                <w:sz w:val="21"/>
                <w:szCs w:val="21"/>
              </w:rPr>
              <w:t>54</w:t>
            </w:r>
          </w:p>
        </w:tc>
        <w:tc>
          <w:tcPr>
            <w:tcW w:w="1123" w:type="dxa"/>
            <w:vAlign w:val="center"/>
          </w:tcPr>
          <w:p>
            <w:pPr>
              <w:spacing w:line="340" w:lineRule="exact"/>
              <w:jc w:val="center"/>
              <w:rPr>
                <w:rFonts w:eastAsia="宋体"/>
                <w:sz w:val="21"/>
                <w:szCs w:val="21"/>
              </w:rPr>
            </w:pPr>
            <w:r>
              <w:rPr>
                <w:rFonts w:eastAsia="宋体"/>
                <w:sz w:val="21"/>
                <w:szCs w:val="21"/>
              </w:rPr>
              <w:t>31</w:t>
            </w:r>
          </w:p>
        </w:tc>
        <w:tc>
          <w:tcPr>
            <w:tcW w:w="1208" w:type="dxa"/>
            <w:vAlign w:val="center"/>
          </w:tcPr>
          <w:p>
            <w:pPr>
              <w:spacing w:line="340" w:lineRule="exact"/>
              <w:jc w:val="center"/>
              <w:rPr>
                <w:rFonts w:eastAsia="宋体"/>
                <w:sz w:val="21"/>
                <w:szCs w:val="21"/>
              </w:rPr>
            </w:pPr>
            <w:r>
              <w:rPr>
                <w:rFonts w:eastAsia="宋体"/>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二氯甲烷</w:t>
            </w:r>
          </w:p>
        </w:tc>
        <w:tc>
          <w:tcPr>
            <w:tcW w:w="1369" w:type="dxa"/>
            <w:vAlign w:val="center"/>
          </w:tcPr>
          <w:p>
            <w:pPr>
              <w:spacing w:line="340" w:lineRule="exact"/>
              <w:jc w:val="center"/>
              <w:rPr>
                <w:rFonts w:eastAsia="宋体"/>
                <w:sz w:val="21"/>
                <w:szCs w:val="21"/>
              </w:rPr>
            </w:pPr>
            <w:r>
              <w:rPr>
                <w:rFonts w:eastAsia="宋体"/>
                <w:sz w:val="21"/>
                <w:szCs w:val="21"/>
              </w:rPr>
              <w:t>75-09-2</w:t>
            </w:r>
          </w:p>
        </w:tc>
        <w:tc>
          <w:tcPr>
            <w:tcW w:w="1262" w:type="dxa"/>
            <w:vAlign w:val="center"/>
          </w:tcPr>
          <w:p>
            <w:pPr>
              <w:spacing w:line="340" w:lineRule="exact"/>
              <w:jc w:val="center"/>
              <w:rPr>
                <w:rFonts w:eastAsia="宋体"/>
                <w:sz w:val="21"/>
                <w:szCs w:val="21"/>
              </w:rPr>
            </w:pPr>
            <w:r>
              <w:rPr>
                <w:rFonts w:eastAsia="宋体"/>
                <w:sz w:val="21"/>
                <w:szCs w:val="21"/>
              </w:rPr>
              <w:t>94</w:t>
            </w:r>
          </w:p>
        </w:tc>
        <w:tc>
          <w:tcPr>
            <w:tcW w:w="1175" w:type="dxa"/>
            <w:vAlign w:val="center"/>
          </w:tcPr>
          <w:p>
            <w:pPr>
              <w:spacing w:line="340" w:lineRule="exact"/>
              <w:jc w:val="center"/>
              <w:rPr>
                <w:rFonts w:eastAsia="宋体"/>
                <w:sz w:val="21"/>
                <w:szCs w:val="21"/>
              </w:rPr>
            </w:pPr>
            <w:r>
              <w:rPr>
                <w:rFonts w:eastAsia="宋体"/>
                <w:sz w:val="21"/>
                <w:szCs w:val="21"/>
              </w:rPr>
              <w:t>616</w:t>
            </w:r>
          </w:p>
        </w:tc>
        <w:tc>
          <w:tcPr>
            <w:tcW w:w="1123" w:type="dxa"/>
            <w:vAlign w:val="center"/>
          </w:tcPr>
          <w:p>
            <w:pPr>
              <w:spacing w:line="340" w:lineRule="exact"/>
              <w:jc w:val="center"/>
              <w:rPr>
                <w:rFonts w:eastAsia="宋体"/>
                <w:sz w:val="21"/>
                <w:szCs w:val="21"/>
              </w:rPr>
            </w:pPr>
            <w:r>
              <w:rPr>
                <w:rFonts w:eastAsia="宋体"/>
                <w:sz w:val="21"/>
                <w:szCs w:val="21"/>
              </w:rPr>
              <w:t>300</w:t>
            </w:r>
          </w:p>
        </w:tc>
        <w:tc>
          <w:tcPr>
            <w:tcW w:w="1208" w:type="dxa"/>
            <w:vAlign w:val="center"/>
          </w:tcPr>
          <w:p>
            <w:pPr>
              <w:spacing w:line="340" w:lineRule="exact"/>
              <w:jc w:val="center"/>
              <w:rPr>
                <w:rFonts w:eastAsia="宋体"/>
                <w:sz w:val="21"/>
                <w:szCs w:val="21"/>
              </w:rPr>
            </w:pPr>
            <w:r>
              <w:rPr>
                <w:rFonts w:eastAsia="宋体"/>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1,2-二氯丙烷</w:t>
            </w:r>
          </w:p>
        </w:tc>
        <w:tc>
          <w:tcPr>
            <w:tcW w:w="1369" w:type="dxa"/>
            <w:vAlign w:val="center"/>
          </w:tcPr>
          <w:p>
            <w:pPr>
              <w:spacing w:line="340" w:lineRule="exact"/>
              <w:jc w:val="center"/>
              <w:rPr>
                <w:rFonts w:eastAsia="宋体"/>
                <w:sz w:val="21"/>
                <w:szCs w:val="21"/>
              </w:rPr>
            </w:pPr>
            <w:r>
              <w:rPr>
                <w:rFonts w:eastAsia="宋体"/>
                <w:sz w:val="21"/>
                <w:szCs w:val="21"/>
              </w:rPr>
              <w:t>78-87-5</w:t>
            </w:r>
          </w:p>
        </w:tc>
        <w:tc>
          <w:tcPr>
            <w:tcW w:w="1262" w:type="dxa"/>
            <w:vAlign w:val="center"/>
          </w:tcPr>
          <w:p>
            <w:pPr>
              <w:spacing w:line="340" w:lineRule="exact"/>
              <w:jc w:val="center"/>
              <w:rPr>
                <w:rFonts w:eastAsia="宋体"/>
                <w:sz w:val="21"/>
                <w:szCs w:val="21"/>
              </w:rPr>
            </w:pPr>
            <w:r>
              <w:rPr>
                <w:rFonts w:eastAsia="宋体"/>
                <w:sz w:val="21"/>
                <w:szCs w:val="21"/>
              </w:rPr>
              <w:t>1</w:t>
            </w:r>
          </w:p>
        </w:tc>
        <w:tc>
          <w:tcPr>
            <w:tcW w:w="1175" w:type="dxa"/>
            <w:vAlign w:val="center"/>
          </w:tcPr>
          <w:p>
            <w:pPr>
              <w:spacing w:line="340" w:lineRule="exact"/>
              <w:jc w:val="center"/>
              <w:rPr>
                <w:rFonts w:eastAsia="宋体"/>
                <w:sz w:val="21"/>
                <w:szCs w:val="21"/>
              </w:rPr>
            </w:pPr>
            <w:r>
              <w:rPr>
                <w:rFonts w:eastAsia="宋体"/>
                <w:sz w:val="21"/>
                <w:szCs w:val="21"/>
              </w:rPr>
              <w:t>5</w:t>
            </w:r>
          </w:p>
        </w:tc>
        <w:tc>
          <w:tcPr>
            <w:tcW w:w="1123" w:type="dxa"/>
            <w:vAlign w:val="center"/>
          </w:tcPr>
          <w:p>
            <w:pPr>
              <w:spacing w:line="340" w:lineRule="exact"/>
              <w:jc w:val="center"/>
              <w:rPr>
                <w:rFonts w:eastAsia="宋体"/>
                <w:sz w:val="21"/>
                <w:szCs w:val="21"/>
              </w:rPr>
            </w:pPr>
            <w:r>
              <w:rPr>
                <w:rFonts w:eastAsia="宋体"/>
                <w:sz w:val="21"/>
                <w:szCs w:val="21"/>
              </w:rPr>
              <w:t>5</w:t>
            </w:r>
          </w:p>
        </w:tc>
        <w:tc>
          <w:tcPr>
            <w:tcW w:w="1208" w:type="dxa"/>
            <w:vAlign w:val="center"/>
          </w:tcPr>
          <w:p>
            <w:pPr>
              <w:spacing w:line="340" w:lineRule="exact"/>
              <w:jc w:val="center"/>
              <w:rPr>
                <w:rFonts w:eastAsia="宋体"/>
                <w:sz w:val="21"/>
                <w:szCs w:val="21"/>
              </w:rPr>
            </w:pPr>
            <w:r>
              <w:rPr>
                <w:rFonts w:eastAsia="宋体"/>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1,1,1,2-四氯乙烷</w:t>
            </w:r>
          </w:p>
        </w:tc>
        <w:tc>
          <w:tcPr>
            <w:tcW w:w="1369" w:type="dxa"/>
            <w:vAlign w:val="center"/>
          </w:tcPr>
          <w:p>
            <w:pPr>
              <w:spacing w:line="340" w:lineRule="exact"/>
              <w:jc w:val="center"/>
              <w:rPr>
                <w:rFonts w:eastAsia="宋体"/>
                <w:sz w:val="21"/>
                <w:szCs w:val="21"/>
              </w:rPr>
            </w:pPr>
            <w:r>
              <w:rPr>
                <w:rFonts w:eastAsia="宋体"/>
                <w:sz w:val="21"/>
                <w:szCs w:val="21"/>
              </w:rPr>
              <w:t>630-20-6</w:t>
            </w:r>
          </w:p>
        </w:tc>
        <w:tc>
          <w:tcPr>
            <w:tcW w:w="1262" w:type="dxa"/>
            <w:vAlign w:val="center"/>
          </w:tcPr>
          <w:p>
            <w:pPr>
              <w:spacing w:line="340" w:lineRule="exact"/>
              <w:jc w:val="center"/>
              <w:rPr>
                <w:rFonts w:eastAsia="宋体"/>
                <w:sz w:val="21"/>
                <w:szCs w:val="21"/>
              </w:rPr>
            </w:pPr>
            <w:r>
              <w:rPr>
                <w:rFonts w:eastAsia="宋体"/>
                <w:sz w:val="21"/>
                <w:szCs w:val="21"/>
              </w:rPr>
              <w:t>2.6</w:t>
            </w:r>
          </w:p>
        </w:tc>
        <w:tc>
          <w:tcPr>
            <w:tcW w:w="1175" w:type="dxa"/>
            <w:vAlign w:val="center"/>
          </w:tcPr>
          <w:p>
            <w:pPr>
              <w:spacing w:line="340" w:lineRule="exact"/>
              <w:jc w:val="center"/>
              <w:rPr>
                <w:rFonts w:eastAsia="宋体"/>
                <w:sz w:val="21"/>
                <w:szCs w:val="21"/>
              </w:rPr>
            </w:pPr>
            <w:r>
              <w:rPr>
                <w:rFonts w:eastAsia="宋体"/>
                <w:sz w:val="21"/>
                <w:szCs w:val="21"/>
              </w:rPr>
              <w:t>10</w:t>
            </w:r>
          </w:p>
        </w:tc>
        <w:tc>
          <w:tcPr>
            <w:tcW w:w="1123" w:type="dxa"/>
            <w:vAlign w:val="center"/>
          </w:tcPr>
          <w:p>
            <w:pPr>
              <w:spacing w:line="340" w:lineRule="exact"/>
              <w:jc w:val="center"/>
              <w:rPr>
                <w:rFonts w:eastAsia="宋体"/>
                <w:sz w:val="21"/>
                <w:szCs w:val="21"/>
              </w:rPr>
            </w:pPr>
            <w:r>
              <w:rPr>
                <w:rFonts w:eastAsia="宋体"/>
                <w:sz w:val="21"/>
                <w:szCs w:val="21"/>
              </w:rPr>
              <w:t>26</w:t>
            </w:r>
          </w:p>
        </w:tc>
        <w:tc>
          <w:tcPr>
            <w:tcW w:w="1208" w:type="dxa"/>
            <w:vAlign w:val="center"/>
          </w:tcPr>
          <w:p>
            <w:pPr>
              <w:spacing w:line="340" w:lineRule="exact"/>
              <w:jc w:val="center"/>
              <w:rPr>
                <w:rFonts w:eastAsia="宋体"/>
                <w:sz w:val="21"/>
                <w:szCs w:val="21"/>
              </w:rPr>
            </w:pPr>
            <w:r>
              <w:rPr>
                <w:rFonts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1,1,2,2-四氯乙烷</w:t>
            </w:r>
          </w:p>
        </w:tc>
        <w:tc>
          <w:tcPr>
            <w:tcW w:w="1369" w:type="dxa"/>
            <w:vAlign w:val="center"/>
          </w:tcPr>
          <w:p>
            <w:pPr>
              <w:spacing w:line="340" w:lineRule="exact"/>
              <w:jc w:val="center"/>
              <w:rPr>
                <w:rFonts w:eastAsia="宋体"/>
                <w:sz w:val="21"/>
                <w:szCs w:val="21"/>
              </w:rPr>
            </w:pPr>
            <w:r>
              <w:rPr>
                <w:rFonts w:eastAsia="宋体"/>
                <w:sz w:val="21"/>
                <w:szCs w:val="21"/>
              </w:rPr>
              <w:t>79-34-5</w:t>
            </w:r>
          </w:p>
        </w:tc>
        <w:tc>
          <w:tcPr>
            <w:tcW w:w="1262" w:type="dxa"/>
            <w:vAlign w:val="center"/>
          </w:tcPr>
          <w:p>
            <w:pPr>
              <w:spacing w:line="340" w:lineRule="exact"/>
              <w:jc w:val="center"/>
              <w:rPr>
                <w:rFonts w:eastAsia="宋体"/>
                <w:sz w:val="21"/>
                <w:szCs w:val="21"/>
              </w:rPr>
            </w:pPr>
            <w:r>
              <w:rPr>
                <w:rFonts w:eastAsia="宋体"/>
                <w:sz w:val="21"/>
                <w:szCs w:val="21"/>
              </w:rPr>
              <w:t>1.6</w:t>
            </w:r>
          </w:p>
        </w:tc>
        <w:tc>
          <w:tcPr>
            <w:tcW w:w="1175" w:type="dxa"/>
            <w:vAlign w:val="center"/>
          </w:tcPr>
          <w:p>
            <w:pPr>
              <w:spacing w:line="340" w:lineRule="exact"/>
              <w:jc w:val="center"/>
              <w:rPr>
                <w:rFonts w:eastAsia="宋体"/>
                <w:sz w:val="21"/>
                <w:szCs w:val="21"/>
              </w:rPr>
            </w:pPr>
            <w:r>
              <w:rPr>
                <w:rFonts w:eastAsia="宋体"/>
                <w:sz w:val="21"/>
                <w:szCs w:val="21"/>
              </w:rPr>
              <w:t>6.8</w:t>
            </w:r>
          </w:p>
        </w:tc>
        <w:tc>
          <w:tcPr>
            <w:tcW w:w="1123" w:type="dxa"/>
            <w:vAlign w:val="center"/>
          </w:tcPr>
          <w:p>
            <w:pPr>
              <w:spacing w:line="340" w:lineRule="exact"/>
              <w:jc w:val="center"/>
              <w:rPr>
                <w:rFonts w:eastAsia="宋体"/>
                <w:sz w:val="21"/>
                <w:szCs w:val="21"/>
              </w:rPr>
            </w:pPr>
            <w:r>
              <w:rPr>
                <w:rFonts w:eastAsia="宋体"/>
                <w:sz w:val="21"/>
                <w:szCs w:val="21"/>
              </w:rPr>
              <w:t>14</w:t>
            </w:r>
          </w:p>
        </w:tc>
        <w:tc>
          <w:tcPr>
            <w:tcW w:w="1208" w:type="dxa"/>
            <w:vAlign w:val="center"/>
          </w:tcPr>
          <w:p>
            <w:pPr>
              <w:spacing w:line="340" w:lineRule="exact"/>
              <w:jc w:val="center"/>
              <w:rPr>
                <w:rFonts w:eastAsia="宋体"/>
                <w:sz w:val="21"/>
                <w:szCs w:val="21"/>
              </w:rPr>
            </w:pPr>
            <w:r>
              <w:rPr>
                <w:rFonts w:eastAsia="宋体"/>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四氯乙烯</w:t>
            </w:r>
          </w:p>
        </w:tc>
        <w:tc>
          <w:tcPr>
            <w:tcW w:w="1369" w:type="dxa"/>
            <w:vAlign w:val="center"/>
          </w:tcPr>
          <w:p>
            <w:pPr>
              <w:spacing w:line="340" w:lineRule="exact"/>
              <w:jc w:val="center"/>
              <w:rPr>
                <w:rFonts w:eastAsia="宋体"/>
                <w:sz w:val="21"/>
                <w:szCs w:val="21"/>
              </w:rPr>
            </w:pPr>
            <w:r>
              <w:rPr>
                <w:rFonts w:eastAsia="宋体"/>
                <w:sz w:val="21"/>
                <w:szCs w:val="21"/>
              </w:rPr>
              <w:t>127-18-4</w:t>
            </w:r>
          </w:p>
        </w:tc>
        <w:tc>
          <w:tcPr>
            <w:tcW w:w="1262" w:type="dxa"/>
            <w:vAlign w:val="center"/>
          </w:tcPr>
          <w:p>
            <w:pPr>
              <w:spacing w:line="340" w:lineRule="exact"/>
              <w:jc w:val="center"/>
              <w:rPr>
                <w:rFonts w:eastAsia="宋体"/>
                <w:sz w:val="21"/>
                <w:szCs w:val="21"/>
              </w:rPr>
            </w:pPr>
            <w:r>
              <w:rPr>
                <w:rFonts w:eastAsia="宋体"/>
                <w:sz w:val="21"/>
                <w:szCs w:val="21"/>
              </w:rPr>
              <w:t>11</w:t>
            </w:r>
          </w:p>
        </w:tc>
        <w:tc>
          <w:tcPr>
            <w:tcW w:w="1175" w:type="dxa"/>
            <w:vAlign w:val="center"/>
          </w:tcPr>
          <w:p>
            <w:pPr>
              <w:spacing w:line="340" w:lineRule="exact"/>
              <w:jc w:val="center"/>
              <w:rPr>
                <w:rFonts w:eastAsia="宋体"/>
                <w:sz w:val="21"/>
                <w:szCs w:val="21"/>
              </w:rPr>
            </w:pPr>
            <w:r>
              <w:rPr>
                <w:rFonts w:eastAsia="宋体"/>
                <w:sz w:val="21"/>
                <w:szCs w:val="21"/>
              </w:rPr>
              <w:t>53</w:t>
            </w:r>
          </w:p>
        </w:tc>
        <w:tc>
          <w:tcPr>
            <w:tcW w:w="1123" w:type="dxa"/>
            <w:vAlign w:val="center"/>
          </w:tcPr>
          <w:p>
            <w:pPr>
              <w:spacing w:line="340" w:lineRule="exact"/>
              <w:jc w:val="center"/>
              <w:rPr>
                <w:rFonts w:eastAsia="宋体"/>
                <w:sz w:val="21"/>
                <w:szCs w:val="21"/>
              </w:rPr>
            </w:pPr>
            <w:r>
              <w:rPr>
                <w:rFonts w:eastAsia="宋体"/>
                <w:sz w:val="21"/>
                <w:szCs w:val="21"/>
              </w:rPr>
              <w:t>34</w:t>
            </w:r>
          </w:p>
        </w:tc>
        <w:tc>
          <w:tcPr>
            <w:tcW w:w="1208" w:type="dxa"/>
            <w:vAlign w:val="center"/>
          </w:tcPr>
          <w:p>
            <w:pPr>
              <w:spacing w:line="340" w:lineRule="exact"/>
              <w:jc w:val="center"/>
              <w:rPr>
                <w:rFonts w:eastAsia="宋体"/>
                <w:sz w:val="21"/>
                <w:szCs w:val="21"/>
              </w:rPr>
            </w:pPr>
            <w:r>
              <w:rPr>
                <w:rFonts w:eastAsia="宋体"/>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1,1,1-三氯乙烷</w:t>
            </w:r>
          </w:p>
        </w:tc>
        <w:tc>
          <w:tcPr>
            <w:tcW w:w="1369" w:type="dxa"/>
            <w:vAlign w:val="center"/>
          </w:tcPr>
          <w:p>
            <w:pPr>
              <w:spacing w:line="340" w:lineRule="exact"/>
              <w:jc w:val="center"/>
              <w:rPr>
                <w:rFonts w:eastAsia="宋体"/>
                <w:sz w:val="21"/>
                <w:szCs w:val="21"/>
              </w:rPr>
            </w:pPr>
            <w:r>
              <w:rPr>
                <w:rFonts w:eastAsia="宋体"/>
                <w:sz w:val="21"/>
                <w:szCs w:val="21"/>
              </w:rPr>
              <w:t>71-55-6</w:t>
            </w:r>
          </w:p>
        </w:tc>
        <w:tc>
          <w:tcPr>
            <w:tcW w:w="1262" w:type="dxa"/>
            <w:vAlign w:val="center"/>
          </w:tcPr>
          <w:p>
            <w:pPr>
              <w:spacing w:line="340" w:lineRule="exact"/>
              <w:jc w:val="center"/>
              <w:rPr>
                <w:rFonts w:eastAsia="宋体"/>
                <w:sz w:val="21"/>
                <w:szCs w:val="21"/>
              </w:rPr>
            </w:pPr>
            <w:r>
              <w:rPr>
                <w:rFonts w:eastAsia="宋体"/>
                <w:sz w:val="21"/>
                <w:szCs w:val="21"/>
              </w:rPr>
              <w:t>701</w:t>
            </w:r>
          </w:p>
        </w:tc>
        <w:tc>
          <w:tcPr>
            <w:tcW w:w="1175" w:type="dxa"/>
            <w:vAlign w:val="center"/>
          </w:tcPr>
          <w:p>
            <w:pPr>
              <w:spacing w:line="340" w:lineRule="exact"/>
              <w:jc w:val="center"/>
              <w:rPr>
                <w:rFonts w:eastAsia="宋体"/>
                <w:sz w:val="21"/>
                <w:szCs w:val="21"/>
              </w:rPr>
            </w:pPr>
            <w:r>
              <w:rPr>
                <w:rFonts w:eastAsia="宋体"/>
                <w:sz w:val="21"/>
                <w:szCs w:val="21"/>
              </w:rPr>
              <w:t>840</w:t>
            </w:r>
          </w:p>
        </w:tc>
        <w:tc>
          <w:tcPr>
            <w:tcW w:w="1123" w:type="dxa"/>
            <w:vAlign w:val="center"/>
          </w:tcPr>
          <w:p>
            <w:pPr>
              <w:spacing w:line="340" w:lineRule="exact"/>
              <w:jc w:val="center"/>
              <w:rPr>
                <w:rFonts w:eastAsia="宋体"/>
                <w:sz w:val="21"/>
                <w:szCs w:val="21"/>
              </w:rPr>
            </w:pPr>
            <w:r>
              <w:rPr>
                <w:rFonts w:eastAsia="宋体"/>
                <w:sz w:val="21"/>
                <w:szCs w:val="21"/>
              </w:rPr>
              <w:t>840</w:t>
            </w:r>
          </w:p>
        </w:tc>
        <w:tc>
          <w:tcPr>
            <w:tcW w:w="1208" w:type="dxa"/>
            <w:vAlign w:val="center"/>
          </w:tcPr>
          <w:p>
            <w:pPr>
              <w:spacing w:line="340" w:lineRule="exact"/>
              <w:jc w:val="center"/>
              <w:rPr>
                <w:rFonts w:eastAsia="宋体"/>
                <w:sz w:val="21"/>
                <w:szCs w:val="21"/>
              </w:rPr>
            </w:pPr>
            <w:r>
              <w:rPr>
                <w:rFonts w:eastAsia="宋体"/>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1,1,2-三氯乙烷</w:t>
            </w:r>
          </w:p>
        </w:tc>
        <w:tc>
          <w:tcPr>
            <w:tcW w:w="1369" w:type="dxa"/>
            <w:vAlign w:val="center"/>
          </w:tcPr>
          <w:p>
            <w:pPr>
              <w:spacing w:line="340" w:lineRule="exact"/>
              <w:jc w:val="center"/>
              <w:rPr>
                <w:rFonts w:eastAsia="宋体"/>
                <w:sz w:val="21"/>
                <w:szCs w:val="21"/>
              </w:rPr>
            </w:pPr>
            <w:r>
              <w:rPr>
                <w:rFonts w:eastAsia="宋体"/>
                <w:sz w:val="21"/>
                <w:szCs w:val="21"/>
              </w:rPr>
              <w:t>79-00-5</w:t>
            </w:r>
          </w:p>
        </w:tc>
        <w:tc>
          <w:tcPr>
            <w:tcW w:w="1262" w:type="dxa"/>
            <w:vAlign w:val="center"/>
          </w:tcPr>
          <w:p>
            <w:pPr>
              <w:spacing w:line="340" w:lineRule="exact"/>
              <w:jc w:val="center"/>
              <w:rPr>
                <w:rFonts w:eastAsia="宋体"/>
                <w:sz w:val="21"/>
                <w:szCs w:val="21"/>
              </w:rPr>
            </w:pPr>
            <w:r>
              <w:rPr>
                <w:rFonts w:eastAsia="宋体"/>
                <w:sz w:val="21"/>
                <w:szCs w:val="21"/>
              </w:rPr>
              <w:t>0.6</w:t>
            </w:r>
          </w:p>
        </w:tc>
        <w:tc>
          <w:tcPr>
            <w:tcW w:w="1175" w:type="dxa"/>
            <w:vAlign w:val="center"/>
          </w:tcPr>
          <w:p>
            <w:pPr>
              <w:spacing w:line="340" w:lineRule="exact"/>
              <w:jc w:val="center"/>
              <w:rPr>
                <w:rFonts w:eastAsia="宋体"/>
                <w:sz w:val="21"/>
                <w:szCs w:val="21"/>
              </w:rPr>
            </w:pPr>
            <w:r>
              <w:rPr>
                <w:rFonts w:eastAsia="宋体"/>
                <w:sz w:val="21"/>
                <w:szCs w:val="21"/>
              </w:rPr>
              <w:t>2.8</w:t>
            </w:r>
          </w:p>
        </w:tc>
        <w:tc>
          <w:tcPr>
            <w:tcW w:w="1123" w:type="dxa"/>
            <w:vAlign w:val="center"/>
          </w:tcPr>
          <w:p>
            <w:pPr>
              <w:spacing w:line="340" w:lineRule="exact"/>
              <w:jc w:val="center"/>
              <w:rPr>
                <w:rFonts w:eastAsia="宋体"/>
                <w:sz w:val="21"/>
                <w:szCs w:val="21"/>
              </w:rPr>
            </w:pPr>
            <w:r>
              <w:rPr>
                <w:rFonts w:eastAsia="宋体"/>
                <w:sz w:val="21"/>
                <w:szCs w:val="21"/>
              </w:rPr>
              <w:t>5</w:t>
            </w:r>
          </w:p>
        </w:tc>
        <w:tc>
          <w:tcPr>
            <w:tcW w:w="1208" w:type="dxa"/>
            <w:vAlign w:val="center"/>
          </w:tcPr>
          <w:p>
            <w:pPr>
              <w:spacing w:line="340" w:lineRule="exact"/>
              <w:jc w:val="center"/>
              <w:rPr>
                <w:rFonts w:eastAsia="宋体"/>
                <w:sz w:val="21"/>
                <w:szCs w:val="21"/>
              </w:rPr>
            </w:pPr>
            <w:r>
              <w:rPr>
                <w:rFonts w:eastAsia="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三氯乙烯</w:t>
            </w:r>
          </w:p>
        </w:tc>
        <w:tc>
          <w:tcPr>
            <w:tcW w:w="1369" w:type="dxa"/>
            <w:vAlign w:val="center"/>
          </w:tcPr>
          <w:p>
            <w:pPr>
              <w:spacing w:line="340" w:lineRule="exact"/>
              <w:jc w:val="center"/>
              <w:rPr>
                <w:rFonts w:eastAsia="宋体"/>
                <w:sz w:val="21"/>
                <w:szCs w:val="21"/>
              </w:rPr>
            </w:pPr>
            <w:r>
              <w:rPr>
                <w:rFonts w:eastAsia="宋体"/>
                <w:sz w:val="21"/>
                <w:szCs w:val="21"/>
              </w:rPr>
              <w:t>79-01-6</w:t>
            </w:r>
          </w:p>
        </w:tc>
        <w:tc>
          <w:tcPr>
            <w:tcW w:w="1262" w:type="dxa"/>
            <w:vAlign w:val="center"/>
          </w:tcPr>
          <w:p>
            <w:pPr>
              <w:spacing w:line="340" w:lineRule="exact"/>
              <w:jc w:val="center"/>
              <w:rPr>
                <w:rFonts w:eastAsia="宋体"/>
                <w:sz w:val="21"/>
                <w:szCs w:val="21"/>
              </w:rPr>
            </w:pPr>
            <w:r>
              <w:rPr>
                <w:rFonts w:eastAsia="宋体"/>
                <w:sz w:val="21"/>
                <w:szCs w:val="21"/>
              </w:rPr>
              <w:t>0.7</w:t>
            </w:r>
          </w:p>
        </w:tc>
        <w:tc>
          <w:tcPr>
            <w:tcW w:w="1175" w:type="dxa"/>
            <w:vAlign w:val="center"/>
          </w:tcPr>
          <w:p>
            <w:pPr>
              <w:spacing w:line="340" w:lineRule="exact"/>
              <w:jc w:val="center"/>
              <w:rPr>
                <w:rFonts w:eastAsia="宋体"/>
                <w:sz w:val="21"/>
                <w:szCs w:val="21"/>
              </w:rPr>
            </w:pPr>
            <w:r>
              <w:rPr>
                <w:rFonts w:eastAsia="宋体"/>
                <w:sz w:val="21"/>
                <w:szCs w:val="21"/>
              </w:rPr>
              <w:t>2.8</w:t>
            </w:r>
          </w:p>
        </w:tc>
        <w:tc>
          <w:tcPr>
            <w:tcW w:w="1123" w:type="dxa"/>
            <w:vAlign w:val="center"/>
          </w:tcPr>
          <w:p>
            <w:pPr>
              <w:spacing w:line="340" w:lineRule="exact"/>
              <w:jc w:val="center"/>
              <w:rPr>
                <w:rFonts w:eastAsia="宋体"/>
                <w:sz w:val="21"/>
                <w:szCs w:val="21"/>
              </w:rPr>
            </w:pPr>
            <w:r>
              <w:rPr>
                <w:rFonts w:eastAsia="宋体"/>
                <w:sz w:val="21"/>
                <w:szCs w:val="21"/>
              </w:rPr>
              <w:t>7</w:t>
            </w:r>
          </w:p>
        </w:tc>
        <w:tc>
          <w:tcPr>
            <w:tcW w:w="1208" w:type="dxa"/>
            <w:vAlign w:val="center"/>
          </w:tcPr>
          <w:p>
            <w:pPr>
              <w:spacing w:line="340" w:lineRule="exact"/>
              <w:jc w:val="center"/>
              <w:rPr>
                <w:rFonts w:eastAsia="宋体"/>
                <w:sz w:val="21"/>
                <w:szCs w:val="21"/>
              </w:rPr>
            </w:pPr>
            <w:r>
              <w:rPr>
                <w:rFonts w:eastAsia="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1,2,3-三氯丙烷</w:t>
            </w:r>
          </w:p>
        </w:tc>
        <w:tc>
          <w:tcPr>
            <w:tcW w:w="1369" w:type="dxa"/>
            <w:vAlign w:val="center"/>
          </w:tcPr>
          <w:p>
            <w:pPr>
              <w:spacing w:line="340" w:lineRule="exact"/>
              <w:jc w:val="center"/>
              <w:rPr>
                <w:rFonts w:eastAsia="宋体"/>
                <w:sz w:val="21"/>
                <w:szCs w:val="21"/>
              </w:rPr>
            </w:pPr>
            <w:r>
              <w:rPr>
                <w:rFonts w:eastAsia="宋体"/>
                <w:sz w:val="21"/>
                <w:szCs w:val="21"/>
              </w:rPr>
              <w:t>96-18-4</w:t>
            </w:r>
          </w:p>
        </w:tc>
        <w:tc>
          <w:tcPr>
            <w:tcW w:w="1262" w:type="dxa"/>
            <w:vAlign w:val="center"/>
          </w:tcPr>
          <w:p>
            <w:pPr>
              <w:spacing w:line="340" w:lineRule="exact"/>
              <w:jc w:val="center"/>
              <w:rPr>
                <w:rFonts w:eastAsia="宋体"/>
                <w:sz w:val="21"/>
                <w:szCs w:val="21"/>
              </w:rPr>
            </w:pPr>
            <w:r>
              <w:rPr>
                <w:rFonts w:eastAsia="宋体"/>
                <w:sz w:val="21"/>
                <w:szCs w:val="21"/>
              </w:rPr>
              <w:t>0.05</w:t>
            </w:r>
          </w:p>
        </w:tc>
        <w:tc>
          <w:tcPr>
            <w:tcW w:w="1175" w:type="dxa"/>
            <w:vAlign w:val="center"/>
          </w:tcPr>
          <w:p>
            <w:pPr>
              <w:spacing w:line="340" w:lineRule="exact"/>
              <w:jc w:val="center"/>
              <w:rPr>
                <w:rFonts w:eastAsia="宋体"/>
                <w:sz w:val="21"/>
                <w:szCs w:val="21"/>
              </w:rPr>
            </w:pPr>
            <w:r>
              <w:rPr>
                <w:rFonts w:eastAsia="宋体"/>
                <w:sz w:val="21"/>
                <w:szCs w:val="21"/>
              </w:rPr>
              <w:t>0.5</w:t>
            </w:r>
          </w:p>
        </w:tc>
        <w:tc>
          <w:tcPr>
            <w:tcW w:w="1123" w:type="dxa"/>
            <w:vAlign w:val="center"/>
          </w:tcPr>
          <w:p>
            <w:pPr>
              <w:spacing w:line="340" w:lineRule="exact"/>
              <w:jc w:val="center"/>
              <w:rPr>
                <w:rFonts w:eastAsia="宋体"/>
                <w:sz w:val="21"/>
                <w:szCs w:val="21"/>
              </w:rPr>
            </w:pPr>
            <w:r>
              <w:rPr>
                <w:rFonts w:eastAsia="宋体"/>
                <w:sz w:val="21"/>
                <w:szCs w:val="21"/>
              </w:rPr>
              <w:t>0.5</w:t>
            </w:r>
          </w:p>
        </w:tc>
        <w:tc>
          <w:tcPr>
            <w:tcW w:w="1208" w:type="dxa"/>
            <w:vAlign w:val="center"/>
          </w:tcPr>
          <w:p>
            <w:pPr>
              <w:spacing w:line="340" w:lineRule="exact"/>
              <w:jc w:val="center"/>
              <w:rPr>
                <w:rFonts w:eastAsia="宋体"/>
                <w:sz w:val="21"/>
                <w:szCs w:val="21"/>
              </w:rPr>
            </w:pPr>
            <w:r>
              <w:rPr>
                <w:rFonts w:eastAsia="宋体"/>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eastAsia="宋体"/>
                <w:sz w:val="21"/>
                <w:szCs w:val="21"/>
              </w:rPr>
              <w:t>氯乙烯</w:t>
            </w:r>
          </w:p>
        </w:tc>
        <w:tc>
          <w:tcPr>
            <w:tcW w:w="1369" w:type="dxa"/>
            <w:vAlign w:val="center"/>
          </w:tcPr>
          <w:p>
            <w:pPr>
              <w:spacing w:line="340" w:lineRule="exact"/>
              <w:jc w:val="center"/>
              <w:rPr>
                <w:rFonts w:eastAsia="宋体"/>
                <w:sz w:val="21"/>
                <w:szCs w:val="21"/>
              </w:rPr>
            </w:pPr>
            <w:r>
              <w:rPr>
                <w:rFonts w:eastAsia="宋体"/>
                <w:sz w:val="21"/>
                <w:szCs w:val="21"/>
              </w:rPr>
              <w:t>75-01-4</w:t>
            </w:r>
          </w:p>
        </w:tc>
        <w:tc>
          <w:tcPr>
            <w:tcW w:w="1262" w:type="dxa"/>
            <w:vAlign w:val="center"/>
          </w:tcPr>
          <w:p>
            <w:pPr>
              <w:spacing w:line="340" w:lineRule="exact"/>
              <w:jc w:val="center"/>
              <w:rPr>
                <w:rFonts w:eastAsia="宋体"/>
                <w:sz w:val="21"/>
                <w:szCs w:val="21"/>
              </w:rPr>
            </w:pPr>
            <w:r>
              <w:rPr>
                <w:rFonts w:eastAsia="宋体"/>
                <w:sz w:val="21"/>
                <w:szCs w:val="21"/>
              </w:rPr>
              <w:t>0.12</w:t>
            </w:r>
          </w:p>
        </w:tc>
        <w:tc>
          <w:tcPr>
            <w:tcW w:w="1175" w:type="dxa"/>
            <w:vAlign w:val="center"/>
          </w:tcPr>
          <w:p>
            <w:pPr>
              <w:spacing w:line="340" w:lineRule="exact"/>
              <w:jc w:val="center"/>
              <w:rPr>
                <w:rFonts w:eastAsia="宋体"/>
                <w:sz w:val="21"/>
                <w:szCs w:val="21"/>
              </w:rPr>
            </w:pPr>
            <w:r>
              <w:rPr>
                <w:rFonts w:eastAsia="宋体"/>
                <w:sz w:val="21"/>
                <w:szCs w:val="21"/>
              </w:rPr>
              <w:t>0.43</w:t>
            </w:r>
          </w:p>
        </w:tc>
        <w:tc>
          <w:tcPr>
            <w:tcW w:w="1123" w:type="dxa"/>
            <w:vAlign w:val="center"/>
          </w:tcPr>
          <w:p>
            <w:pPr>
              <w:spacing w:line="340" w:lineRule="exact"/>
              <w:jc w:val="center"/>
              <w:rPr>
                <w:rFonts w:eastAsia="宋体"/>
                <w:sz w:val="21"/>
                <w:szCs w:val="21"/>
              </w:rPr>
            </w:pPr>
            <w:r>
              <w:rPr>
                <w:rFonts w:eastAsia="宋体"/>
                <w:sz w:val="21"/>
                <w:szCs w:val="21"/>
              </w:rPr>
              <w:t>1.2</w:t>
            </w:r>
          </w:p>
        </w:tc>
        <w:tc>
          <w:tcPr>
            <w:tcW w:w="1208" w:type="dxa"/>
            <w:vAlign w:val="center"/>
          </w:tcPr>
          <w:p>
            <w:pPr>
              <w:spacing w:line="340" w:lineRule="exact"/>
              <w:jc w:val="center"/>
              <w:rPr>
                <w:rFonts w:eastAsia="宋体"/>
                <w:sz w:val="21"/>
                <w:szCs w:val="21"/>
              </w:rPr>
            </w:pPr>
            <w:r>
              <w:rPr>
                <w:rFonts w:eastAsia="宋体"/>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71-43-2</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4</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氯苯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108-90-7</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68</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270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200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1,2-二氯苯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95-50-1</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560</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1,4-二氯苯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106-46-7</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乙苯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100-41-4</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7.2</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28</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72</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苯乙烯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100-42-5</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1290</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甲苯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108-88-3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1200</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1200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1200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before="100" w:beforeAutospacing="1" w:line="340" w:lineRule="exact"/>
              <w:ind w:left="-141" w:leftChars="-50" w:right="-141" w:rightChars="-50"/>
              <w:jc w:val="center"/>
              <w:rPr>
                <w:rFonts w:eastAsia="宋体"/>
                <w:sz w:val="21"/>
                <w:szCs w:val="21"/>
              </w:rPr>
            </w:pPr>
            <w:r>
              <w:rPr>
                <w:rFonts w:eastAsia="宋体"/>
                <w:sz w:val="21"/>
                <w:szCs w:val="21"/>
              </w:rPr>
              <w:t>间二甲苯+对二甲苯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108-38-3</w:t>
            </w:r>
          </w:p>
          <w:p>
            <w:pPr>
              <w:spacing w:line="340" w:lineRule="exact"/>
              <w:jc w:val="center"/>
              <w:rPr>
                <w:rFonts w:eastAsia="宋体"/>
                <w:sz w:val="21"/>
                <w:szCs w:val="21"/>
              </w:rPr>
            </w:pPr>
            <w:r>
              <w:rPr>
                <w:rFonts w:eastAsia="宋体"/>
                <w:sz w:val="21"/>
                <w:szCs w:val="21"/>
              </w:rPr>
              <w:t>106-42-3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163</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570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500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邻二甲苯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95-47-6</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222</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640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640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18" w:type="dxa"/>
            <w:gridSpan w:val="7"/>
            <w:tcBorders>
              <w:bottom w:val="single" w:color="auto" w:sz="4" w:space="0"/>
            </w:tcBorders>
            <w:vAlign w:val="center"/>
          </w:tcPr>
          <w:p>
            <w:pPr>
              <w:spacing w:line="340" w:lineRule="exact"/>
              <w:jc w:val="left"/>
              <w:rPr>
                <w:rFonts w:eastAsia="宋体"/>
                <w:sz w:val="21"/>
                <w:szCs w:val="21"/>
              </w:rPr>
            </w:pPr>
            <w:r>
              <w:rPr>
                <w:rFonts w:eastAsia="宋体"/>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硝基苯</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98-95-3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34</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190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苯胺</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62-53-3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92</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260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211</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2-氯酚</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95-57-8</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250</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2256</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500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苯并[a]蒽</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56-55-3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 w:hRule="atLeas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苯并[a]芘</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50-32-8</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0.55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苯并[b]</w:t>
            </w:r>
            <w:r>
              <w:rPr>
                <w:rFonts w:hint="eastAsia" w:eastAsia="宋体"/>
                <w:sz w:val="21"/>
                <w:szCs w:val="21"/>
              </w:rPr>
              <w:t>荧</w:t>
            </w:r>
            <w:r>
              <w:rPr>
                <w:rFonts w:eastAsia="宋体"/>
                <w:sz w:val="21"/>
                <w:szCs w:val="21"/>
              </w:rPr>
              <w:t>蒽</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205-99-2</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苯并[k]</w:t>
            </w:r>
            <w:r>
              <w:rPr>
                <w:rFonts w:hint="eastAsia" w:eastAsia="宋体"/>
                <w:sz w:val="21"/>
                <w:szCs w:val="21"/>
              </w:rPr>
              <w:t>荧</w:t>
            </w:r>
            <w:r>
              <w:rPr>
                <w:rFonts w:eastAsia="宋体"/>
                <w:sz w:val="21"/>
                <w:szCs w:val="21"/>
              </w:rPr>
              <w:t>蒽</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207-08-9</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151</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䓛</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218-01-9</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490</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1293</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4900</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二苯并[a，h]蒽</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53-70-3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0.55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茚并[1,2,3-cd]芘</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193-39-5</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tcBorders>
              <w:bottom w:val="single" w:color="auto" w:sz="4" w:space="0"/>
            </w:tcBorders>
            <w:vAlign w:val="center"/>
          </w:tcPr>
          <w:p>
            <w:pPr>
              <w:pStyle w:val="466"/>
              <w:numPr>
                <w:ilvl w:val="0"/>
                <w:numId w:val="22"/>
              </w:numPr>
              <w:spacing w:line="340" w:lineRule="exact"/>
              <w:ind w:left="0" w:firstLine="0" w:firstLineChars="0"/>
              <w:jc w:val="center"/>
              <w:rPr>
                <w:rFonts w:ascii="Times New Roman" w:hAnsi="Times New Roman"/>
                <w:szCs w:val="21"/>
                <w:lang w:val="en-US" w:eastAsia="zh-CN"/>
              </w:rPr>
            </w:pPr>
          </w:p>
        </w:tc>
        <w:tc>
          <w:tcPr>
            <w:tcW w:w="1864"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萘</w:t>
            </w:r>
          </w:p>
        </w:tc>
        <w:tc>
          <w:tcPr>
            <w:tcW w:w="1369"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91-20-3</w:t>
            </w:r>
          </w:p>
        </w:tc>
        <w:tc>
          <w:tcPr>
            <w:tcW w:w="1262"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25</w:t>
            </w:r>
          </w:p>
        </w:tc>
        <w:tc>
          <w:tcPr>
            <w:tcW w:w="1175"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70</w:t>
            </w:r>
          </w:p>
        </w:tc>
        <w:tc>
          <w:tcPr>
            <w:tcW w:w="1123"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255</w:t>
            </w:r>
          </w:p>
        </w:tc>
        <w:tc>
          <w:tcPr>
            <w:tcW w:w="1208" w:type="dxa"/>
            <w:tcBorders>
              <w:bottom w:val="single" w:color="auto" w:sz="4" w:space="0"/>
            </w:tcBorders>
            <w:vAlign w:val="center"/>
          </w:tcPr>
          <w:p>
            <w:pPr>
              <w:spacing w:line="340" w:lineRule="exact"/>
              <w:jc w:val="center"/>
              <w:rPr>
                <w:rFonts w:eastAsia="宋体"/>
                <w:sz w:val="21"/>
                <w:szCs w:val="21"/>
              </w:rPr>
            </w:pPr>
            <w:r>
              <w:rPr>
                <w:rFonts w:eastAsia="宋体"/>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18" w:type="dxa"/>
            <w:gridSpan w:val="7"/>
            <w:tcBorders>
              <w:left w:val="nil"/>
              <w:bottom w:val="nil"/>
              <w:right w:val="nil"/>
            </w:tcBorders>
            <w:vAlign w:val="center"/>
          </w:tcPr>
          <w:p>
            <w:pPr>
              <w:spacing w:line="340" w:lineRule="exact"/>
              <w:jc w:val="left"/>
              <w:rPr>
                <w:rFonts w:eastAsia="宋体"/>
                <w:sz w:val="21"/>
                <w:szCs w:val="21"/>
              </w:rPr>
            </w:pPr>
            <w:r>
              <w:rPr>
                <w:rFonts w:eastAsia="宋体"/>
                <w:sz w:val="21"/>
                <w:szCs w:val="21"/>
              </w:rPr>
              <w:t>注：具体地块土壤中污染物检测含量超过筛选值，但等于或者低于土壤环境背景值水平的，不纳入污染地块管理。</w:t>
            </w:r>
          </w:p>
        </w:tc>
      </w:tr>
    </w:tbl>
    <w:p>
      <w:pPr>
        <w:pStyle w:val="313"/>
        <w:tabs>
          <w:tab w:val="clear" w:pos="3908"/>
        </w:tabs>
        <w:ind w:left="1122" w:hanging="561"/>
        <w:rPr>
          <w:rFonts w:ascii="Times New Roman" w:hAnsi="Times New Roman"/>
        </w:rPr>
      </w:pPr>
      <w:r>
        <w:rPr>
          <w:rFonts w:ascii="Times New Roman" w:hAnsi="Times New Roman"/>
        </w:rPr>
        <w:t>建设用地土壤污染风险筛选值和管控值</w:t>
      </w:r>
      <w:r>
        <w:rPr>
          <w:rFonts w:hint="eastAsia" w:ascii="Times New Roman" w:hAnsi="Times New Roman"/>
          <w:lang w:eastAsia="zh-CN"/>
        </w:rPr>
        <w:t>(其他</w:t>
      </w:r>
      <w:r>
        <w:rPr>
          <w:rFonts w:ascii="Times New Roman" w:hAnsi="Times New Roman"/>
        </w:rPr>
        <w:t>项目)</w:t>
      </w:r>
      <w:r>
        <w:rPr>
          <w:rFonts w:hint="eastAsia" w:ascii="Times New Roman" w:hAnsi="Times New Roman"/>
          <w:lang w:eastAsia="zh-CN"/>
        </w:rPr>
        <w:t xml:space="preserve"> 单位：mg/kg</w:t>
      </w:r>
    </w:p>
    <w:tbl>
      <w:tblPr>
        <w:tblStyle w:val="87"/>
        <w:tblW w:w="8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864"/>
        <w:gridCol w:w="1369"/>
        <w:gridCol w:w="1262"/>
        <w:gridCol w:w="1175"/>
        <w:gridCol w:w="1123"/>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Merge w:val="restart"/>
            <w:vAlign w:val="center"/>
          </w:tcPr>
          <w:p>
            <w:pPr>
              <w:spacing w:line="340" w:lineRule="exact"/>
              <w:jc w:val="center"/>
              <w:rPr>
                <w:rFonts w:eastAsia="宋体"/>
                <w:sz w:val="21"/>
                <w:szCs w:val="21"/>
              </w:rPr>
            </w:pPr>
            <w:r>
              <w:rPr>
                <w:rFonts w:eastAsia="宋体"/>
                <w:sz w:val="21"/>
                <w:szCs w:val="21"/>
              </w:rPr>
              <w:t>序号</w:t>
            </w:r>
          </w:p>
        </w:tc>
        <w:tc>
          <w:tcPr>
            <w:tcW w:w="1864" w:type="dxa"/>
            <w:vMerge w:val="restart"/>
            <w:vAlign w:val="center"/>
          </w:tcPr>
          <w:p>
            <w:pPr>
              <w:spacing w:line="340" w:lineRule="exact"/>
              <w:jc w:val="center"/>
              <w:rPr>
                <w:rFonts w:eastAsia="宋体"/>
                <w:sz w:val="21"/>
                <w:szCs w:val="21"/>
              </w:rPr>
            </w:pPr>
            <w:r>
              <w:rPr>
                <w:rFonts w:eastAsia="宋体"/>
                <w:sz w:val="21"/>
                <w:szCs w:val="21"/>
              </w:rPr>
              <w:t>污染物项目</w:t>
            </w:r>
          </w:p>
        </w:tc>
        <w:tc>
          <w:tcPr>
            <w:tcW w:w="1369" w:type="dxa"/>
            <w:vMerge w:val="restart"/>
            <w:vAlign w:val="center"/>
          </w:tcPr>
          <w:p>
            <w:pPr>
              <w:spacing w:line="340" w:lineRule="exact"/>
              <w:jc w:val="center"/>
              <w:rPr>
                <w:rFonts w:eastAsia="宋体"/>
                <w:sz w:val="21"/>
                <w:szCs w:val="21"/>
              </w:rPr>
            </w:pPr>
            <w:r>
              <w:rPr>
                <w:rFonts w:eastAsia="宋体"/>
                <w:sz w:val="21"/>
                <w:szCs w:val="21"/>
              </w:rPr>
              <w:t>CAS编号</w:t>
            </w:r>
          </w:p>
        </w:tc>
        <w:tc>
          <w:tcPr>
            <w:tcW w:w="2437" w:type="dxa"/>
            <w:gridSpan w:val="2"/>
            <w:vAlign w:val="center"/>
          </w:tcPr>
          <w:p>
            <w:pPr>
              <w:spacing w:line="340" w:lineRule="exact"/>
              <w:jc w:val="center"/>
              <w:rPr>
                <w:rFonts w:eastAsia="宋体"/>
                <w:sz w:val="21"/>
                <w:szCs w:val="21"/>
              </w:rPr>
            </w:pPr>
            <w:r>
              <w:rPr>
                <w:rFonts w:eastAsia="宋体"/>
                <w:sz w:val="21"/>
                <w:szCs w:val="21"/>
              </w:rPr>
              <w:t>筛选值</w:t>
            </w:r>
          </w:p>
        </w:tc>
        <w:tc>
          <w:tcPr>
            <w:tcW w:w="2331" w:type="dxa"/>
            <w:gridSpan w:val="2"/>
            <w:vAlign w:val="center"/>
          </w:tcPr>
          <w:p>
            <w:pPr>
              <w:spacing w:line="340" w:lineRule="exact"/>
              <w:jc w:val="center"/>
              <w:rPr>
                <w:rFonts w:eastAsia="宋体"/>
                <w:sz w:val="21"/>
                <w:szCs w:val="21"/>
              </w:rPr>
            </w:pPr>
            <w:r>
              <w:rPr>
                <w:rFonts w:eastAsia="宋体"/>
                <w:sz w:val="21"/>
                <w:szCs w:val="21"/>
              </w:rPr>
              <w:t>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Merge w:val="continue"/>
            <w:vAlign w:val="center"/>
          </w:tcPr>
          <w:p>
            <w:pPr>
              <w:spacing w:line="340" w:lineRule="exact"/>
              <w:jc w:val="center"/>
              <w:rPr>
                <w:rFonts w:eastAsia="宋体"/>
                <w:sz w:val="21"/>
                <w:szCs w:val="21"/>
              </w:rPr>
            </w:pPr>
          </w:p>
        </w:tc>
        <w:tc>
          <w:tcPr>
            <w:tcW w:w="1864" w:type="dxa"/>
            <w:vMerge w:val="continue"/>
            <w:vAlign w:val="center"/>
          </w:tcPr>
          <w:p>
            <w:pPr>
              <w:spacing w:line="340" w:lineRule="exact"/>
              <w:jc w:val="center"/>
              <w:rPr>
                <w:rFonts w:eastAsia="宋体"/>
                <w:sz w:val="21"/>
                <w:szCs w:val="21"/>
              </w:rPr>
            </w:pPr>
          </w:p>
        </w:tc>
        <w:tc>
          <w:tcPr>
            <w:tcW w:w="1369" w:type="dxa"/>
            <w:vMerge w:val="continue"/>
            <w:vAlign w:val="center"/>
          </w:tcPr>
          <w:p>
            <w:pPr>
              <w:spacing w:line="340" w:lineRule="exact"/>
              <w:jc w:val="center"/>
              <w:rPr>
                <w:rFonts w:eastAsia="宋体"/>
                <w:sz w:val="21"/>
                <w:szCs w:val="21"/>
              </w:rPr>
            </w:pPr>
          </w:p>
        </w:tc>
        <w:tc>
          <w:tcPr>
            <w:tcW w:w="1262" w:type="dxa"/>
            <w:vAlign w:val="center"/>
          </w:tcPr>
          <w:p>
            <w:pPr>
              <w:spacing w:line="340" w:lineRule="exact"/>
              <w:ind w:left="-141" w:leftChars="-50" w:right="-141" w:rightChars="-50"/>
              <w:jc w:val="center"/>
              <w:rPr>
                <w:rFonts w:eastAsia="宋体"/>
                <w:sz w:val="21"/>
                <w:szCs w:val="21"/>
              </w:rPr>
            </w:pPr>
            <w:r>
              <w:rPr>
                <w:rFonts w:eastAsia="宋体"/>
                <w:sz w:val="21"/>
                <w:szCs w:val="21"/>
              </w:rPr>
              <w:t>第一类用地</w:t>
            </w:r>
          </w:p>
        </w:tc>
        <w:tc>
          <w:tcPr>
            <w:tcW w:w="1175" w:type="dxa"/>
            <w:vAlign w:val="center"/>
          </w:tcPr>
          <w:p>
            <w:pPr>
              <w:spacing w:line="340" w:lineRule="exact"/>
              <w:ind w:left="-141" w:leftChars="-50" w:right="-141" w:rightChars="-50"/>
              <w:jc w:val="center"/>
              <w:rPr>
                <w:rFonts w:eastAsia="宋体"/>
                <w:sz w:val="21"/>
                <w:szCs w:val="21"/>
              </w:rPr>
            </w:pPr>
            <w:r>
              <w:rPr>
                <w:rFonts w:eastAsia="宋体"/>
                <w:sz w:val="21"/>
                <w:szCs w:val="21"/>
              </w:rPr>
              <w:t>第二类用地</w:t>
            </w:r>
          </w:p>
        </w:tc>
        <w:tc>
          <w:tcPr>
            <w:tcW w:w="1123" w:type="dxa"/>
            <w:vAlign w:val="center"/>
          </w:tcPr>
          <w:p>
            <w:pPr>
              <w:spacing w:line="340" w:lineRule="exact"/>
              <w:ind w:left="-141" w:leftChars="-50" w:right="-141" w:rightChars="-50"/>
              <w:jc w:val="center"/>
              <w:rPr>
                <w:rFonts w:eastAsia="宋体"/>
                <w:sz w:val="21"/>
                <w:szCs w:val="21"/>
              </w:rPr>
            </w:pPr>
            <w:r>
              <w:rPr>
                <w:rFonts w:eastAsia="宋体"/>
                <w:sz w:val="21"/>
                <w:szCs w:val="21"/>
              </w:rPr>
              <w:t>第一类用地</w:t>
            </w:r>
          </w:p>
        </w:tc>
        <w:tc>
          <w:tcPr>
            <w:tcW w:w="1208" w:type="dxa"/>
            <w:vAlign w:val="center"/>
          </w:tcPr>
          <w:p>
            <w:pPr>
              <w:spacing w:line="340" w:lineRule="exact"/>
              <w:ind w:left="-141" w:leftChars="-50" w:right="-141" w:rightChars="-50"/>
              <w:jc w:val="center"/>
              <w:rPr>
                <w:rFonts w:eastAsia="宋体"/>
                <w:sz w:val="21"/>
                <w:szCs w:val="21"/>
              </w:rPr>
            </w:pPr>
            <w:r>
              <w:rPr>
                <w:rFonts w:eastAsia="宋体"/>
                <w:sz w:val="2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18" w:type="dxa"/>
            <w:gridSpan w:val="7"/>
            <w:vAlign w:val="center"/>
          </w:tcPr>
          <w:p>
            <w:pPr>
              <w:spacing w:line="340" w:lineRule="exact"/>
              <w:jc w:val="left"/>
              <w:rPr>
                <w:rFonts w:eastAsia="宋体"/>
                <w:sz w:val="21"/>
                <w:szCs w:val="21"/>
              </w:rPr>
            </w:pPr>
            <w:r>
              <w:rPr>
                <w:rFonts w:hint="eastAsia" w:eastAsia="宋体"/>
                <w:sz w:val="21"/>
                <w:szCs w:val="21"/>
              </w:rPr>
              <w:t>多氯联苯、多溴联苯和二噁英类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17" w:type="dxa"/>
            <w:vAlign w:val="center"/>
          </w:tcPr>
          <w:p>
            <w:pPr>
              <w:pStyle w:val="466"/>
              <w:numPr>
                <w:ilvl w:val="0"/>
                <w:numId w:val="23"/>
              </w:numPr>
              <w:spacing w:line="340" w:lineRule="exact"/>
              <w:ind w:firstLineChars="0"/>
              <w:jc w:val="center"/>
              <w:rPr>
                <w:rFonts w:ascii="Times New Roman" w:hAnsi="Times New Roman"/>
                <w:szCs w:val="21"/>
                <w:lang w:val="en-US" w:eastAsia="zh-CN"/>
              </w:rPr>
            </w:pPr>
          </w:p>
        </w:tc>
        <w:tc>
          <w:tcPr>
            <w:tcW w:w="1864" w:type="dxa"/>
            <w:vAlign w:val="center"/>
          </w:tcPr>
          <w:p>
            <w:pPr>
              <w:spacing w:line="340" w:lineRule="exact"/>
              <w:jc w:val="center"/>
              <w:rPr>
                <w:rFonts w:eastAsia="宋体"/>
                <w:sz w:val="21"/>
                <w:szCs w:val="21"/>
              </w:rPr>
            </w:pPr>
            <w:r>
              <w:rPr>
                <w:rFonts w:hint="eastAsia" w:eastAsia="宋体"/>
                <w:sz w:val="21"/>
                <w:szCs w:val="21"/>
              </w:rPr>
              <w:t>二噁英类(总毒性当量)</w:t>
            </w:r>
          </w:p>
        </w:tc>
        <w:tc>
          <w:tcPr>
            <w:tcW w:w="1369" w:type="dxa"/>
            <w:vAlign w:val="center"/>
          </w:tcPr>
          <w:p>
            <w:pPr>
              <w:spacing w:line="340" w:lineRule="exact"/>
              <w:jc w:val="center"/>
              <w:rPr>
                <w:rFonts w:eastAsia="宋体"/>
                <w:sz w:val="21"/>
                <w:szCs w:val="21"/>
              </w:rPr>
            </w:pPr>
            <w:r>
              <w:rPr>
                <w:rFonts w:hint="eastAsia" w:eastAsia="宋体"/>
                <w:sz w:val="21"/>
                <w:szCs w:val="21"/>
              </w:rPr>
              <w:t>-</w:t>
            </w:r>
          </w:p>
        </w:tc>
        <w:tc>
          <w:tcPr>
            <w:tcW w:w="1262" w:type="dxa"/>
            <w:vAlign w:val="center"/>
          </w:tcPr>
          <w:p>
            <w:pPr>
              <w:spacing w:line="340" w:lineRule="exact"/>
              <w:jc w:val="center"/>
              <w:rPr>
                <w:rFonts w:eastAsia="宋体"/>
                <w:sz w:val="21"/>
                <w:szCs w:val="21"/>
              </w:rPr>
            </w:pPr>
            <w:r>
              <w:rPr>
                <w:rFonts w:hint="eastAsia" w:eastAsia="宋体"/>
                <w:sz w:val="21"/>
                <w:szCs w:val="21"/>
              </w:rPr>
              <w:t>1</w:t>
            </w:r>
            <w:r>
              <w:rPr>
                <w:rFonts w:hint="eastAsia" w:ascii="宋体" w:hAnsi="宋体" w:eastAsia="宋体"/>
                <w:sz w:val="21"/>
                <w:szCs w:val="21"/>
              </w:rPr>
              <w:t>×</w:t>
            </w:r>
            <w:r>
              <w:rPr>
                <w:rFonts w:hint="eastAsia" w:eastAsia="宋体"/>
                <w:sz w:val="21"/>
                <w:szCs w:val="21"/>
              </w:rPr>
              <w:t>10</w:t>
            </w:r>
            <w:r>
              <w:rPr>
                <w:rFonts w:hint="eastAsia" w:eastAsia="宋体"/>
                <w:sz w:val="21"/>
                <w:szCs w:val="21"/>
                <w:vertAlign w:val="superscript"/>
              </w:rPr>
              <w:t>-5</w:t>
            </w:r>
          </w:p>
        </w:tc>
        <w:tc>
          <w:tcPr>
            <w:tcW w:w="1175" w:type="dxa"/>
            <w:vAlign w:val="center"/>
          </w:tcPr>
          <w:p>
            <w:pPr>
              <w:spacing w:line="340" w:lineRule="exact"/>
              <w:jc w:val="center"/>
              <w:rPr>
                <w:rFonts w:eastAsia="宋体"/>
                <w:sz w:val="21"/>
                <w:szCs w:val="21"/>
              </w:rPr>
            </w:pPr>
            <w:r>
              <w:rPr>
                <w:rFonts w:hint="eastAsia" w:eastAsia="宋体"/>
                <w:sz w:val="21"/>
                <w:szCs w:val="21"/>
              </w:rPr>
              <w:t>4</w:t>
            </w:r>
            <w:r>
              <w:rPr>
                <w:rFonts w:hint="eastAsia" w:ascii="宋体" w:hAnsi="宋体" w:eastAsia="宋体"/>
                <w:sz w:val="21"/>
                <w:szCs w:val="21"/>
              </w:rPr>
              <w:t>×</w:t>
            </w:r>
            <w:r>
              <w:rPr>
                <w:rFonts w:hint="eastAsia" w:eastAsia="宋体"/>
                <w:sz w:val="21"/>
                <w:szCs w:val="21"/>
              </w:rPr>
              <w:t>10</w:t>
            </w:r>
            <w:r>
              <w:rPr>
                <w:rFonts w:hint="eastAsia" w:eastAsia="宋体"/>
                <w:sz w:val="21"/>
                <w:szCs w:val="21"/>
                <w:vertAlign w:val="superscript"/>
              </w:rPr>
              <w:t>-5</w:t>
            </w:r>
          </w:p>
        </w:tc>
        <w:tc>
          <w:tcPr>
            <w:tcW w:w="1123" w:type="dxa"/>
            <w:vAlign w:val="center"/>
          </w:tcPr>
          <w:p>
            <w:pPr>
              <w:spacing w:line="340" w:lineRule="exact"/>
              <w:jc w:val="center"/>
              <w:rPr>
                <w:rFonts w:eastAsia="宋体"/>
                <w:sz w:val="21"/>
                <w:szCs w:val="21"/>
              </w:rPr>
            </w:pPr>
            <w:r>
              <w:rPr>
                <w:rFonts w:hint="eastAsia" w:eastAsia="宋体"/>
                <w:sz w:val="21"/>
                <w:szCs w:val="21"/>
              </w:rPr>
              <w:t>1</w:t>
            </w:r>
            <w:r>
              <w:rPr>
                <w:rFonts w:hint="eastAsia" w:ascii="宋体" w:hAnsi="宋体" w:eastAsia="宋体"/>
                <w:sz w:val="21"/>
                <w:szCs w:val="21"/>
              </w:rPr>
              <w:t>×</w:t>
            </w:r>
            <w:r>
              <w:rPr>
                <w:rFonts w:hint="eastAsia" w:eastAsia="宋体"/>
                <w:sz w:val="21"/>
                <w:szCs w:val="21"/>
              </w:rPr>
              <w:t>10</w:t>
            </w:r>
            <w:r>
              <w:rPr>
                <w:rFonts w:hint="eastAsia" w:eastAsia="宋体"/>
                <w:sz w:val="21"/>
                <w:szCs w:val="21"/>
                <w:vertAlign w:val="superscript"/>
              </w:rPr>
              <w:t>-4</w:t>
            </w:r>
          </w:p>
        </w:tc>
        <w:tc>
          <w:tcPr>
            <w:tcW w:w="1208" w:type="dxa"/>
            <w:vAlign w:val="center"/>
          </w:tcPr>
          <w:p>
            <w:pPr>
              <w:spacing w:line="340" w:lineRule="exact"/>
              <w:jc w:val="center"/>
              <w:rPr>
                <w:rFonts w:eastAsia="宋体"/>
                <w:sz w:val="21"/>
                <w:szCs w:val="21"/>
              </w:rPr>
            </w:pPr>
            <w:r>
              <w:rPr>
                <w:rFonts w:hint="eastAsia" w:eastAsia="宋体"/>
                <w:sz w:val="21"/>
                <w:szCs w:val="21"/>
              </w:rPr>
              <w:t>4</w:t>
            </w:r>
            <w:r>
              <w:rPr>
                <w:rFonts w:hint="eastAsia" w:ascii="宋体" w:hAnsi="宋体" w:eastAsia="宋体"/>
                <w:sz w:val="21"/>
                <w:szCs w:val="21"/>
              </w:rPr>
              <w:t>×</w:t>
            </w:r>
            <w:r>
              <w:rPr>
                <w:rFonts w:hint="eastAsia" w:eastAsia="宋体"/>
                <w:sz w:val="21"/>
                <w:szCs w:val="21"/>
              </w:rPr>
              <w:t>10</w:t>
            </w:r>
            <w:r>
              <w:rPr>
                <w:rFonts w:hint="eastAsia" w:eastAsia="宋体"/>
                <w:sz w:val="21"/>
                <w:szCs w:val="21"/>
                <w:vertAlign w:val="superscript"/>
              </w:rPr>
              <w:t>-4</w:t>
            </w:r>
          </w:p>
        </w:tc>
      </w:tr>
    </w:tbl>
    <w:p>
      <w:pPr>
        <w:pStyle w:val="313"/>
        <w:tabs>
          <w:tab w:val="clear" w:pos="3908"/>
        </w:tabs>
        <w:ind w:left="1122" w:hanging="561"/>
        <w:rPr>
          <w:rFonts w:ascii="Times New Roman" w:hAnsi="Times New Roman"/>
        </w:rPr>
      </w:pPr>
      <w:r>
        <w:rPr>
          <w:rFonts w:hint="eastAsia" w:ascii="Times New Roman" w:hAnsi="Times New Roman"/>
          <w:lang w:val="en-US" w:eastAsia="zh-CN"/>
        </w:rPr>
        <w:t>农</w:t>
      </w:r>
      <w:r>
        <w:rPr>
          <w:rFonts w:ascii="Times New Roman" w:hAnsi="Times New Roman"/>
        </w:rPr>
        <w:t>用地土壤污染风险筛选值和管控值(基本项目)</w:t>
      </w:r>
      <w:r>
        <w:rPr>
          <w:rFonts w:hint="eastAsia" w:ascii="Times New Roman" w:hAnsi="Times New Roman"/>
          <w:lang w:eastAsia="zh-CN"/>
        </w:rPr>
        <w:t xml:space="preserve"> 单位：mg/kg</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229"/>
        <w:gridCol w:w="996"/>
        <w:gridCol w:w="1506"/>
        <w:gridCol w:w="1401"/>
        <w:gridCol w:w="1340"/>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eastAsia="宋体"/>
                <w:sz w:val="21"/>
                <w:szCs w:val="21"/>
              </w:rPr>
              <w:t>序号</w:t>
            </w:r>
          </w:p>
        </w:tc>
        <w:tc>
          <w:tcPr>
            <w:tcW w:w="2225" w:type="dxa"/>
            <w:gridSpan w:val="2"/>
            <w:vMerge w:val="restart"/>
            <w:vAlign w:val="center"/>
          </w:tcPr>
          <w:p>
            <w:pPr>
              <w:spacing w:line="300" w:lineRule="exact"/>
              <w:jc w:val="center"/>
              <w:rPr>
                <w:rFonts w:eastAsia="宋体"/>
                <w:sz w:val="21"/>
                <w:szCs w:val="21"/>
              </w:rPr>
            </w:pPr>
            <w:r>
              <w:rPr>
                <w:rFonts w:eastAsia="宋体"/>
                <w:sz w:val="21"/>
                <w:szCs w:val="21"/>
              </w:rPr>
              <w:t>污染物项目</w:t>
            </w:r>
            <w:r>
              <w:rPr>
                <w:rFonts w:hint="eastAsia" w:eastAsia="宋体"/>
                <w:sz w:val="21"/>
                <w:szCs w:val="21"/>
                <w:vertAlign w:val="superscript"/>
              </w:rPr>
              <w:t>①②</w:t>
            </w:r>
          </w:p>
        </w:tc>
        <w:tc>
          <w:tcPr>
            <w:tcW w:w="5685" w:type="dxa"/>
            <w:gridSpan w:val="4"/>
            <w:vAlign w:val="center"/>
          </w:tcPr>
          <w:p>
            <w:pPr>
              <w:spacing w:line="300" w:lineRule="exact"/>
              <w:jc w:val="center"/>
              <w:rPr>
                <w:rFonts w:eastAsia="宋体"/>
                <w:sz w:val="21"/>
                <w:szCs w:val="21"/>
              </w:rPr>
            </w:pPr>
            <w:r>
              <w:rPr>
                <w:rFonts w:hint="eastAsia" w:eastAsia="宋体"/>
                <w:sz w:val="21"/>
                <w:szCs w:val="21"/>
              </w:rPr>
              <w:t>风险</w:t>
            </w:r>
            <w:r>
              <w:rPr>
                <w:rFonts w:eastAsia="宋体"/>
                <w:sz w:val="21"/>
                <w:szCs w:val="21"/>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2225" w:type="dxa"/>
            <w:gridSpan w:val="2"/>
            <w:vMerge w:val="continue"/>
            <w:vAlign w:val="center"/>
          </w:tcPr>
          <w:p>
            <w:pPr>
              <w:spacing w:line="300" w:lineRule="exact"/>
              <w:jc w:val="center"/>
              <w:rPr>
                <w:rFonts w:eastAsia="宋体"/>
                <w:sz w:val="21"/>
                <w:szCs w:val="21"/>
              </w:rPr>
            </w:pP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 xml:space="preserve">pH≤5.5  </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5.5&lt;pH≤6.5</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6.5&lt;pH≤7.5</w:t>
            </w:r>
          </w:p>
        </w:tc>
        <w:tc>
          <w:tcPr>
            <w:tcW w:w="1438" w:type="dxa"/>
            <w:vAlign w:val="center"/>
          </w:tcPr>
          <w:p>
            <w:pPr>
              <w:spacing w:line="300" w:lineRule="exact"/>
              <w:ind w:left="-141" w:leftChars="-50" w:right="-141" w:rightChars="-50"/>
              <w:jc w:val="center"/>
              <w:rPr>
                <w:rFonts w:eastAsia="宋体"/>
                <w:sz w:val="21"/>
                <w:szCs w:val="21"/>
              </w:rPr>
            </w:pPr>
            <w:r>
              <w:rPr>
                <w:rFonts w:eastAsia="宋体"/>
                <w:sz w:val="21"/>
                <w:szCs w:val="21"/>
              </w:rPr>
              <w:t>pH &gt;7.5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1</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镉</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0.3</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0.4</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0.6</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0.3</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0.3</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0.3</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2</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汞</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0.5</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0.5</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0.6</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1.3</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1.8</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2.4</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3</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砷</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40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40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4</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铅</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80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140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70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90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120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5</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铬</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hint="eastAsia" w:eastAsia="宋体"/>
                <w:sz w:val="21"/>
                <w:szCs w:val="21"/>
              </w:rPr>
              <w:t>6</w:t>
            </w:r>
          </w:p>
        </w:tc>
        <w:tc>
          <w:tcPr>
            <w:tcW w:w="1229" w:type="dxa"/>
            <w:vMerge w:val="restart"/>
            <w:vAlign w:val="center"/>
          </w:tcPr>
          <w:p>
            <w:pPr>
              <w:spacing w:line="300" w:lineRule="exact"/>
              <w:jc w:val="center"/>
              <w:rPr>
                <w:rFonts w:eastAsia="宋体"/>
                <w:sz w:val="21"/>
                <w:szCs w:val="21"/>
              </w:rPr>
            </w:pPr>
            <w:r>
              <w:rPr>
                <w:rFonts w:hint="eastAsia" w:eastAsia="宋体"/>
                <w:sz w:val="21"/>
                <w:szCs w:val="21"/>
              </w:rPr>
              <w:t>铜</w:t>
            </w:r>
          </w:p>
        </w:tc>
        <w:tc>
          <w:tcPr>
            <w:tcW w:w="996" w:type="dxa"/>
            <w:vAlign w:val="center"/>
          </w:tcPr>
          <w:p>
            <w:pPr>
              <w:spacing w:line="300" w:lineRule="exact"/>
              <w:jc w:val="center"/>
              <w:rPr>
                <w:rFonts w:eastAsia="宋体"/>
                <w:sz w:val="21"/>
                <w:szCs w:val="21"/>
              </w:rPr>
            </w:pPr>
            <w:r>
              <w:rPr>
                <w:rFonts w:hint="eastAsia" w:eastAsia="宋体"/>
                <w:sz w:val="21"/>
                <w:szCs w:val="21"/>
              </w:rPr>
              <w:t>水田</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1229" w:type="dxa"/>
            <w:vMerge w:val="continue"/>
            <w:vAlign w:val="center"/>
          </w:tcPr>
          <w:p>
            <w:pPr>
              <w:spacing w:line="300" w:lineRule="exact"/>
              <w:jc w:val="center"/>
              <w:rPr>
                <w:rFonts w:eastAsia="宋体"/>
                <w:sz w:val="21"/>
                <w:szCs w:val="21"/>
              </w:rPr>
            </w:pPr>
          </w:p>
        </w:tc>
        <w:tc>
          <w:tcPr>
            <w:tcW w:w="996" w:type="dxa"/>
            <w:vAlign w:val="center"/>
          </w:tcPr>
          <w:p>
            <w:pPr>
              <w:spacing w:line="300" w:lineRule="exact"/>
              <w:jc w:val="center"/>
              <w:rPr>
                <w:rFonts w:eastAsia="宋体"/>
                <w:sz w:val="21"/>
                <w:szCs w:val="21"/>
              </w:rPr>
            </w:pPr>
            <w:r>
              <w:rPr>
                <w:rFonts w:hint="eastAsia" w:eastAsia="宋体"/>
                <w:sz w:val="21"/>
                <w:szCs w:val="21"/>
              </w:rPr>
              <w:t>其他</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50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7</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镍</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60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70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tcBorders>
              <w:bottom w:val="single" w:color="auto" w:sz="4" w:space="0"/>
            </w:tcBorders>
            <w:vAlign w:val="center"/>
          </w:tcPr>
          <w:p>
            <w:pPr>
              <w:spacing w:line="300" w:lineRule="exact"/>
              <w:jc w:val="center"/>
              <w:rPr>
                <w:rFonts w:eastAsia="宋体"/>
                <w:sz w:val="21"/>
                <w:szCs w:val="21"/>
              </w:rPr>
            </w:pPr>
            <w:r>
              <w:rPr>
                <w:rFonts w:hint="eastAsia" w:eastAsia="宋体"/>
                <w:sz w:val="21"/>
                <w:szCs w:val="21"/>
              </w:rPr>
              <w:t>8</w:t>
            </w:r>
          </w:p>
        </w:tc>
        <w:tc>
          <w:tcPr>
            <w:tcW w:w="2225" w:type="dxa"/>
            <w:gridSpan w:val="2"/>
            <w:tcBorders>
              <w:bottom w:val="single" w:color="auto" w:sz="4" w:space="0"/>
            </w:tcBorders>
            <w:vAlign w:val="center"/>
          </w:tcPr>
          <w:p>
            <w:pPr>
              <w:spacing w:line="300" w:lineRule="exact"/>
              <w:jc w:val="center"/>
              <w:rPr>
                <w:rFonts w:eastAsia="宋体"/>
                <w:sz w:val="21"/>
                <w:szCs w:val="21"/>
              </w:rPr>
            </w:pPr>
            <w:r>
              <w:rPr>
                <w:rFonts w:hint="eastAsia" w:eastAsia="宋体"/>
                <w:sz w:val="21"/>
                <w:szCs w:val="21"/>
              </w:rPr>
              <w:t>锌</w:t>
            </w:r>
          </w:p>
        </w:tc>
        <w:tc>
          <w:tcPr>
            <w:tcW w:w="1506" w:type="dxa"/>
            <w:tcBorders>
              <w:bottom w:val="single" w:color="auto" w:sz="4" w:space="0"/>
            </w:tcBorders>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c>
          <w:tcPr>
            <w:tcW w:w="1401" w:type="dxa"/>
            <w:tcBorders>
              <w:bottom w:val="single" w:color="auto" w:sz="4" w:space="0"/>
            </w:tcBorders>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c>
          <w:tcPr>
            <w:tcW w:w="1340" w:type="dxa"/>
            <w:tcBorders>
              <w:bottom w:val="single" w:color="auto" w:sz="4" w:space="0"/>
            </w:tcBorders>
            <w:vAlign w:val="center"/>
          </w:tcPr>
          <w:p>
            <w:pPr>
              <w:spacing w:line="300" w:lineRule="exact"/>
              <w:ind w:left="-141" w:leftChars="-50" w:right="-141" w:rightChars="-50"/>
              <w:jc w:val="center"/>
              <w:rPr>
                <w:rFonts w:eastAsia="宋体"/>
                <w:sz w:val="21"/>
                <w:szCs w:val="21"/>
              </w:rPr>
            </w:pPr>
            <w:r>
              <w:rPr>
                <w:rFonts w:hint="eastAsia" w:eastAsia="宋体"/>
                <w:sz w:val="21"/>
                <w:szCs w:val="21"/>
              </w:rPr>
              <w:t>250</w:t>
            </w:r>
          </w:p>
        </w:tc>
        <w:tc>
          <w:tcPr>
            <w:tcW w:w="1438" w:type="dxa"/>
            <w:tcBorders>
              <w:bottom w:val="single" w:color="auto" w:sz="4" w:space="0"/>
            </w:tcBorders>
            <w:vAlign w:val="center"/>
          </w:tcPr>
          <w:p>
            <w:pPr>
              <w:spacing w:line="300" w:lineRule="exact"/>
              <w:ind w:left="-141" w:leftChars="-50" w:right="-141" w:rightChars="-50"/>
              <w:jc w:val="center"/>
              <w:rPr>
                <w:rFonts w:eastAsia="宋体"/>
                <w:sz w:val="21"/>
                <w:szCs w:val="21"/>
              </w:rPr>
            </w:pPr>
            <w:r>
              <w:rPr>
                <w:rFonts w:hint="eastAsia" w:eastAsia="宋体"/>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restart"/>
            <w:vAlign w:val="center"/>
          </w:tcPr>
          <w:p>
            <w:pPr>
              <w:spacing w:line="300" w:lineRule="exact"/>
              <w:jc w:val="center"/>
              <w:rPr>
                <w:rFonts w:eastAsia="宋体"/>
                <w:sz w:val="21"/>
                <w:szCs w:val="21"/>
              </w:rPr>
            </w:pPr>
            <w:r>
              <w:rPr>
                <w:rFonts w:eastAsia="宋体"/>
                <w:sz w:val="21"/>
                <w:szCs w:val="21"/>
              </w:rPr>
              <w:t>序号</w:t>
            </w:r>
          </w:p>
        </w:tc>
        <w:tc>
          <w:tcPr>
            <w:tcW w:w="2225" w:type="dxa"/>
            <w:gridSpan w:val="2"/>
            <w:vMerge w:val="restart"/>
            <w:vAlign w:val="center"/>
          </w:tcPr>
          <w:p>
            <w:pPr>
              <w:spacing w:line="300" w:lineRule="exact"/>
              <w:jc w:val="center"/>
              <w:rPr>
                <w:rFonts w:eastAsia="宋体"/>
                <w:sz w:val="21"/>
                <w:szCs w:val="21"/>
              </w:rPr>
            </w:pPr>
            <w:r>
              <w:rPr>
                <w:rFonts w:eastAsia="宋体"/>
                <w:sz w:val="21"/>
                <w:szCs w:val="21"/>
              </w:rPr>
              <w:t>污染物项目</w:t>
            </w:r>
          </w:p>
        </w:tc>
        <w:tc>
          <w:tcPr>
            <w:tcW w:w="5685" w:type="dxa"/>
            <w:gridSpan w:val="4"/>
            <w:vAlign w:val="center"/>
          </w:tcPr>
          <w:p>
            <w:pPr>
              <w:spacing w:line="300" w:lineRule="exact"/>
              <w:jc w:val="center"/>
              <w:rPr>
                <w:rFonts w:eastAsia="宋体"/>
                <w:sz w:val="21"/>
                <w:szCs w:val="21"/>
              </w:rPr>
            </w:pPr>
            <w:r>
              <w:rPr>
                <w:rFonts w:hint="eastAsia" w:eastAsia="宋体"/>
                <w:sz w:val="21"/>
                <w:szCs w:val="21"/>
              </w:rPr>
              <w:t>管控值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Merge w:val="continue"/>
            <w:vAlign w:val="center"/>
          </w:tcPr>
          <w:p>
            <w:pPr>
              <w:spacing w:line="300" w:lineRule="exact"/>
              <w:jc w:val="center"/>
              <w:rPr>
                <w:rFonts w:eastAsia="宋体"/>
                <w:sz w:val="21"/>
                <w:szCs w:val="21"/>
              </w:rPr>
            </w:pPr>
          </w:p>
        </w:tc>
        <w:tc>
          <w:tcPr>
            <w:tcW w:w="2225" w:type="dxa"/>
            <w:gridSpan w:val="2"/>
            <w:vMerge w:val="continue"/>
            <w:vAlign w:val="center"/>
          </w:tcPr>
          <w:p>
            <w:pPr>
              <w:spacing w:line="300" w:lineRule="exact"/>
              <w:jc w:val="center"/>
              <w:rPr>
                <w:rFonts w:eastAsia="宋体"/>
                <w:sz w:val="21"/>
                <w:szCs w:val="21"/>
              </w:rPr>
            </w:pP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 xml:space="preserve">pH≤5.5  </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5.5&lt;pH≤6.5</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6.5&lt;pH≤7.5</w:t>
            </w:r>
          </w:p>
        </w:tc>
        <w:tc>
          <w:tcPr>
            <w:tcW w:w="1438" w:type="dxa"/>
            <w:vAlign w:val="center"/>
          </w:tcPr>
          <w:p>
            <w:pPr>
              <w:spacing w:line="300" w:lineRule="exact"/>
              <w:ind w:left="-141" w:leftChars="-50" w:right="-141" w:rightChars="-50"/>
              <w:jc w:val="center"/>
              <w:rPr>
                <w:rFonts w:eastAsia="宋体"/>
                <w:sz w:val="21"/>
                <w:szCs w:val="21"/>
              </w:rPr>
            </w:pPr>
            <w:r>
              <w:rPr>
                <w:rFonts w:eastAsia="宋体"/>
                <w:sz w:val="21"/>
                <w:szCs w:val="21"/>
              </w:rPr>
              <w:t>pH &gt;7.5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1</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镉</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3.0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2</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汞</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2.5</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4.0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3</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砷</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200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120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4</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铅</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400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500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700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57" w:type="dxa"/>
            <w:vAlign w:val="center"/>
          </w:tcPr>
          <w:p>
            <w:pPr>
              <w:spacing w:line="300" w:lineRule="exact"/>
              <w:jc w:val="center"/>
              <w:rPr>
                <w:rFonts w:eastAsia="宋体"/>
                <w:sz w:val="21"/>
                <w:szCs w:val="21"/>
              </w:rPr>
            </w:pPr>
            <w:r>
              <w:rPr>
                <w:rFonts w:hint="eastAsia" w:eastAsia="宋体"/>
                <w:sz w:val="21"/>
                <w:szCs w:val="21"/>
              </w:rPr>
              <w:t>5</w:t>
            </w:r>
          </w:p>
        </w:tc>
        <w:tc>
          <w:tcPr>
            <w:tcW w:w="2225" w:type="dxa"/>
            <w:gridSpan w:val="2"/>
            <w:vAlign w:val="center"/>
          </w:tcPr>
          <w:p>
            <w:pPr>
              <w:spacing w:line="300" w:lineRule="exact"/>
              <w:jc w:val="center"/>
              <w:rPr>
                <w:rFonts w:eastAsia="宋体"/>
                <w:sz w:val="21"/>
                <w:szCs w:val="21"/>
              </w:rPr>
            </w:pPr>
            <w:r>
              <w:rPr>
                <w:rFonts w:hint="eastAsia" w:eastAsia="宋体"/>
                <w:sz w:val="21"/>
                <w:szCs w:val="21"/>
              </w:rPr>
              <w:t>铬</w:t>
            </w:r>
          </w:p>
        </w:tc>
        <w:tc>
          <w:tcPr>
            <w:tcW w:w="1506"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800</w:t>
            </w:r>
          </w:p>
        </w:tc>
        <w:tc>
          <w:tcPr>
            <w:tcW w:w="1401"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850</w:t>
            </w:r>
          </w:p>
        </w:tc>
        <w:tc>
          <w:tcPr>
            <w:tcW w:w="1340"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1000</w:t>
            </w:r>
          </w:p>
        </w:tc>
        <w:tc>
          <w:tcPr>
            <w:tcW w:w="1438" w:type="dxa"/>
            <w:vAlign w:val="center"/>
          </w:tcPr>
          <w:p>
            <w:pPr>
              <w:spacing w:line="300" w:lineRule="exact"/>
              <w:ind w:left="-141" w:leftChars="-50" w:right="-141" w:rightChars="-50"/>
              <w:jc w:val="center"/>
              <w:rPr>
                <w:rFonts w:eastAsia="宋体"/>
                <w:sz w:val="21"/>
                <w:szCs w:val="21"/>
              </w:rPr>
            </w:pPr>
            <w:r>
              <w:rPr>
                <w:rFonts w:hint="eastAsia" w:eastAsia="宋体"/>
                <w:sz w:val="21"/>
                <w:szCs w:val="21"/>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767" w:type="dxa"/>
            <w:gridSpan w:val="7"/>
            <w:tcBorders>
              <w:left w:val="nil"/>
              <w:bottom w:val="nil"/>
              <w:right w:val="nil"/>
            </w:tcBorders>
            <w:vAlign w:val="center"/>
          </w:tcPr>
          <w:p>
            <w:pPr>
              <w:spacing w:line="300" w:lineRule="exact"/>
              <w:ind w:left="-141" w:leftChars="-50" w:right="-141" w:rightChars="-50"/>
              <w:jc w:val="left"/>
              <w:rPr>
                <w:rFonts w:eastAsia="宋体"/>
                <w:sz w:val="21"/>
                <w:szCs w:val="21"/>
              </w:rPr>
            </w:pPr>
            <w:r>
              <w:rPr>
                <w:rFonts w:hint="eastAsia" w:eastAsia="宋体"/>
                <w:sz w:val="21"/>
                <w:szCs w:val="21"/>
              </w:rPr>
              <w:t>注：①重金属和类金属砷均按元素总量计</w:t>
            </w:r>
          </w:p>
          <w:p>
            <w:pPr>
              <w:spacing w:line="300" w:lineRule="exact"/>
              <w:ind w:left="-141" w:leftChars="-50" w:right="-141" w:rightChars="-50" w:firstLine="416" w:firstLineChars="196"/>
              <w:jc w:val="left"/>
              <w:rPr>
                <w:rFonts w:eastAsia="宋体"/>
                <w:sz w:val="21"/>
                <w:szCs w:val="21"/>
              </w:rPr>
            </w:pPr>
            <w:r>
              <w:rPr>
                <w:rFonts w:hint="eastAsia" w:eastAsia="宋体"/>
                <w:sz w:val="21"/>
                <w:szCs w:val="21"/>
              </w:rPr>
              <w:t>②对于水旱轮作地，采用其中较严格的风险筛选值</w:t>
            </w:r>
          </w:p>
        </w:tc>
      </w:tr>
    </w:tbl>
    <w:p>
      <w:pPr>
        <w:pStyle w:val="5"/>
        <w:rPr>
          <w:rFonts w:ascii="Times New Roman"/>
        </w:rPr>
      </w:pPr>
      <w:r>
        <w:rPr>
          <w:rFonts w:ascii="Times New Roman"/>
        </w:rPr>
        <w:t>污染物排放标准</w:t>
      </w:r>
      <w:bookmarkEnd w:id="62"/>
      <w:bookmarkEnd w:id="63"/>
    </w:p>
    <w:bookmarkEnd w:id="46"/>
    <w:bookmarkEnd w:id="47"/>
    <w:bookmarkEnd w:id="48"/>
    <w:bookmarkEnd w:id="49"/>
    <w:bookmarkEnd w:id="50"/>
    <w:bookmarkEnd w:id="51"/>
    <w:bookmarkEnd w:id="52"/>
    <w:bookmarkEnd w:id="53"/>
    <w:p>
      <w:pPr>
        <w:pStyle w:val="4"/>
        <w:spacing w:line="460" w:lineRule="exact"/>
        <w:ind w:firstLine="520"/>
        <w:rPr>
          <w:rFonts w:ascii="Times New Roman" w:hAnsi="Times New Roman" w:cs="Times New Roman"/>
          <w:spacing w:val="0"/>
        </w:rPr>
      </w:pPr>
      <w:r>
        <w:rPr>
          <w:rFonts w:ascii="Times New Roman" w:hAnsi="Times New Roman" w:cs="Times New Roman"/>
          <w:spacing w:val="0"/>
        </w:rPr>
        <w:t>1．</w:t>
      </w:r>
      <w:r>
        <w:rPr>
          <w:rFonts w:ascii="Times New Roman" w:hAnsi="Times New Roman" w:cs="Times New Roman"/>
          <w:spacing w:val="0"/>
          <w:szCs w:val="24"/>
        </w:rPr>
        <w:t>废气</w:t>
      </w:r>
    </w:p>
    <w:p>
      <w:pPr>
        <w:pStyle w:val="712"/>
        <w:spacing w:line="460" w:lineRule="exact"/>
        <w:rPr>
          <w:rFonts w:ascii="Times New Roman" w:hAnsi="Times New Roman" w:cs="Times New Roman"/>
          <w:spacing w:val="0"/>
          <w:lang w:eastAsia="zh-CN"/>
        </w:rPr>
      </w:pPr>
      <w:r>
        <w:rPr>
          <w:rFonts w:ascii="Times New Roman" w:hAnsi="Times New Roman" w:cs="Times New Roman"/>
          <w:spacing w:val="0"/>
        </w:rPr>
        <w:t>根据</w:t>
      </w:r>
      <w:r>
        <w:rPr>
          <w:rFonts w:hint="eastAsia" w:ascii="Times New Roman" w:hAnsi="Times New Roman" w:cs="Times New Roman"/>
          <w:spacing w:val="0"/>
          <w:lang w:eastAsia="zh-CN"/>
        </w:rPr>
        <w:t>浙政</w:t>
      </w:r>
      <w:r>
        <w:rPr>
          <w:rFonts w:ascii="Times New Roman" w:hAnsi="Times New Roman" w:cs="Times New Roman"/>
          <w:spacing w:val="0"/>
        </w:rPr>
        <w:t>发[2018]</w:t>
      </w:r>
      <w:r>
        <w:rPr>
          <w:rFonts w:hint="eastAsia" w:ascii="Times New Roman" w:hAnsi="Times New Roman" w:cs="Times New Roman"/>
          <w:spacing w:val="0"/>
          <w:lang w:eastAsia="zh-CN"/>
        </w:rPr>
        <w:t>35</w:t>
      </w:r>
      <w:r>
        <w:rPr>
          <w:rFonts w:ascii="Times New Roman" w:hAnsi="Times New Roman" w:cs="Times New Roman"/>
          <w:spacing w:val="0"/>
        </w:rPr>
        <w:t>号《</w:t>
      </w:r>
      <w:r>
        <w:rPr>
          <w:rFonts w:hint="eastAsia" w:ascii="Times New Roman" w:hAnsi="Times New Roman" w:cs="Times New Roman"/>
          <w:spacing w:val="0"/>
          <w:lang w:eastAsia="zh-CN"/>
        </w:rPr>
        <w:t>浙江省人民政府</w:t>
      </w:r>
      <w:r>
        <w:rPr>
          <w:rFonts w:ascii="Times New Roman" w:hAnsi="Times New Roman" w:cs="Times New Roman"/>
          <w:spacing w:val="0"/>
        </w:rPr>
        <w:t>关于印发</w:t>
      </w:r>
      <w:r>
        <w:rPr>
          <w:rFonts w:hint="eastAsia" w:ascii="Times New Roman" w:hAnsi="Times New Roman" w:cs="Times New Roman"/>
          <w:spacing w:val="0"/>
          <w:lang w:eastAsia="zh-CN"/>
        </w:rPr>
        <w:t>浙江省</w:t>
      </w:r>
      <w:r>
        <w:rPr>
          <w:rFonts w:ascii="Times New Roman" w:hAnsi="Times New Roman" w:cs="Times New Roman"/>
          <w:spacing w:val="0"/>
        </w:rPr>
        <w:t>打赢蓝天保卫战三年行动计划的通知》，二氧化硫、</w:t>
      </w:r>
      <w:r>
        <w:rPr>
          <w:rFonts w:hint="eastAsia" w:ascii="Times New Roman" w:hAnsi="Times New Roman" w:cs="Times New Roman"/>
          <w:spacing w:val="0"/>
          <w:lang w:eastAsia="zh-CN"/>
        </w:rPr>
        <w:t>N</w:t>
      </w:r>
      <w:r>
        <w:rPr>
          <w:rFonts w:ascii="Times New Roman" w:hAnsi="Times New Roman" w:cs="Times New Roman"/>
          <w:spacing w:val="0"/>
          <w:lang w:eastAsia="zh-CN"/>
        </w:rPr>
        <w:t>Ox</w:t>
      </w:r>
      <w:r>
        <w:rPr>
          <w:rFonts w:ascii="Times New Roman" w:hAnsi="Times New Roman" w:cs="Times New Roman"/>
          <w:spacing w:val="0"/>
        </w:rPr>
        <w:t>、颗粒物、挥发性有机物（VOCs）全面执行大气污染物特别排放限值</w:t>
      </w:r>
      <w:r>
        <w:rPr>
          <w:rFonts w:ascii="Times New Roman" w:hAnsi="Times New Roman" w:cs="Times New Roman"/>
          <w:spacing w:val="0"/>
          <w:lang w:eastAsia="zh-CN"/>
        </w:rPr>
        <w:t>。</w:t>
      </w:r>
    </w:p>
    <w:p>
      <w:pPr>
        <w:spacing w:line="460" w:lineRule="exact"/>
        <w:ind w:firstLine="486" w:firstLineChars="200"/>
        <w:rPr>
          <w:rFonts w:eastAsia="宋体"/>
          <w:sz w:val="24"/>
          <w:szCs w:val="24"/>
        </w:rPr>
      </w:pPr>
      <w:r>
        <w:rPr>
          <w:rFonts w:hint="eastAsia" w:eastAsia="宋体"/>
          <w:sz w:val="24"/>
          <w:szCs w:val="24"/>
        </w:rPr>
        <w:t>（1）项目炼钢废气、现状炼钢废气</w:t>
      </w:r>
    </w:p>
    <w:p>
      <w:pPr>
        <w:pStyle w:val="712"/>
        <w:spacing w:line="460" w:lineRule="exact"/>
        <w:rPr>
          <w:rFonts w:ascii="Times New Roman" w:hAnsi="Times New Roman" w:cs="Times New Roman"/>
          <w:spacing w:val="0"/>
          <w:lang w:val="en-US" w:eastAsia="zh-CN"/>
        </w:rPr>
      </w:pPr>
      <w:r>
        <w:rPr>
          <w:rFonts w:hint="eastAsia" w:ascii="Times New Roman" w:hAnsi="Times New Roman" w:cs="Times New Roman"/>
          <w:spacing w:val="0"/>
          <w:lang w:val="en-US" w:eastAsia="zh-CN"/>
        </w:rPr>
        <w:t>《关于推进实施钢铁行业超低排放的意见》（环大气 [2019]35号），项目实施</w:t>
      </w:r>
      <w:r>
        <w:rPr>
          <w:rFonts w:ascii="Times New Roman" w:hAnsi="Times New Roman" w:cs="Times New Roman"/>
          <w:spacing w:val="0"/>
          <w:lang w:val="en-US" w:eastAsia="zh-CN"/>
        </w:rPr>
        <w:t>后，炼钢一厂</w:t>
      </w:r>
      <w:r>
        <w:rPr>
          <w:rFonts w:hint="eastAsia" w:ascii="Times New Roman" w:hAnsi="Times New Roman" w:cs="Times New Roman"/>
          <w:spacing w:val="0"/>
          <w:lang w:val="en-US" w:eastAsia="zh-CN"/>
        </w:rPr>
        <w:t>废气执行其附件2中钢铁企业超低排放指标限值；建设单位现有炼钢二厂、轧钢厂计划在2020年内完成</w:t>
      </w:r>
      <w:r>
        <w:rPr>
          <w:rFonts w:ascii="Times New Roman" w:hAnsi="Times New Roman" w:cs="Times New Roman"/>
          <w:spacing w:val="0"/>
          <w:lang w:val="en-US" w:eastAsia="zh-CN"/>
        </w:rPr>
        <w:t>超低排放改造</w:t>
      </w:r>
      <w:r>
        <w:rPr>
          <w:rFonts w:hint="eastAsia" w:ascii="Times New Roman" w:hAnsi="Times New Roman" w:cs="Times New Roman"/>
          <w:spacing w:val="0"/>
          <w:lang w:val="en-US" w:eastAsia="zh-CN"/>
        </w:rPr>
        <w:t>以</w:t>
      </w:r>
      <w:r>
        <w:rPr>
          <w:rFonts w:ascii="Times New Roman" w:hAnsi="Times New Roman" w:cs="Times New Roman"/>
          <w:spacing w:val="0"/>
          <w:lang w:val="en-US" w:eastAsia="zh-CN"/>
        </w:rPr>
        <w:t>达到</w:t>
      </w:r>
      <w:r>
        <w:rPr>
          <w:rFonts w:hint="eastAsia" w:ascii="Times New Roman" w:hAnsi="Times New Roman" w:cs="Times New Roman"/>
          <w:spacing w:val="0"/>
          <w:lang w:val="en-US" w:eastAsia="zh-CN"/>
        </w:rPr>
        <w:t>相关超低排放要求，超低排放标准具体要求见表2-</w:t>
      </w:r>
      <w:r>
        <w:rPr>
          <w:rFonts w:ascii="Times New Roman" w:hAnsi="Times New Roman" w:cs="Times New Roman"/>
          <w:spacing w:val="0"/>
          <w:lang w:val="en-US" w:eastAsia="zh-CN"/>
        </w:rPr>
        <w:t>9</w:t>
      </w:r>
      <w:r>
        <w:rPr>
          <w:rFonts w:hint="eastAsia" w:ascii="Times New Roman" w:hAnsi="Times New Roman" w:cs="Times New Roman"/>
          <w:spacing w:val="0"/>
          <w:lang w:val="en-US" w:eastAsia="zh-CN"/>
        </w:rPr>
        <w:t>。</w:t>
      </w:r>
    </w:p>
    <w:p>
      <w:pPr>
        <w:pStyle w:val="712"/>
        <w:spacing w:line="460" w:lineRule="exact"/>
        <w:rPr>
          <w:rFonts w:ascii="Times New Roman" w:hAnsi="Times New Roman" w:cs="Times New Roman"/>
          <w:spacing w:val="0"/>
          <w:lang w:eastAsia="zh-CN"/>
        </w:rPr>
      </w:pPr>
      <w:r>
        <w:rPr>
          <w:rFonts w:hint="eastAsia" w:ascii="Times New Roman" w:hAnsi="Times New Roman" w:cs="Times New Roman"/>
          <w:spacing w:val="0"/>
        </w:rPr>
        <w:t>企业现状</w:t>
      </w:r>
      <w:r>
        <w:rPr>
          <w:rFonts w:hint="eastAsia" w:ascii="Times New Roman" w:hAnsi="Times New Roman" w:cs="Times New Roman"/>
          <w:spacing w:val="0"/>
          <w:lang w:eastAsia="zh-CN"/>
        </w:rPr>
        <w:t>炼钢</w:t>
      </w:r>
      <w:r>
        <w:rPr>
          <w:rFonts w:hint="eastAsia" w:ascii="Times New Roman" w:hAnsi="Times New Roman" w:cs="Times New Roman"/>
          <w:spacing w:val="0"/>
        </w:rPr>
        <w:t>工序执行《炼钢工业大气污染物排放标准》（GB28664-2012）中表3的特别排放限值，无组织颗粒物排放执行表4现有和新建企业有厂房生产车间的无组织排放浓度限值</w:t>
      </w:r>
      <w:r>
        <w:rPr>
          <w:rFonts w:ascii="Times New Roman" w:hAnsi="Times New Roman" w:cs="Times New Roman"/>
          <w:spacing w:val="0"/>
        </w:rPr>
        <w:t>。</w:t>
      </w:r>
      <w:r>
        <w:rPr>
          <w:rFonts w:hint="eastAsia" w:ascii="Times New Roman" w:hAnsi="Times New Roman" w:cs="Times New Roman"/>
          <w:spacing w:val="0"/>
        </w:rPr>
        <w:t>镍及其化合物排放浓度执行《大气污染物综合排放标准》（GB 16297-1996）</w:t>
      </w:r>
      <w:r>
        <w:rPr>
          <w:rFonts w:hint="eastAsia" w:ascii="Times New Roman" w:hAnsi="Times New Roman" w:cs="Times New Roman"/>
          <w:spacing w:val="0"/>
          <w:lang w:eastAsia="zh-CN"/>
        </w:rPr>
        <w:t>表</w:t>
      </w:r>
      <w:r>
        <w:rPr>
          <w:rFonts w:hint="eastAsia" w:ascii="Times New Roman" w:hAnsi="Times New Roman" w:cs="Times New Roman"/>
          <w:spacing w:val="0"/>
        </w:rPr>
        <w:t>中的</w:t>
      </w:r>
      <w:r>
        <w:rPr>
          <w:rFonts w:hint="eastAsia" w:ascii="Times New Roman" w:hAnsi="Times New Roman" w:cs="Times New Roman"/>
          <w:spacing w:val="0"/>
          <w:lang w:eastAsia="zh-CN"/>
        </w:rPr>
        <w:t>新污染源</w:t>
      </w:r>
      <w:r>
        <w:rPr>
          <w:rFonts w:hint="eastAsia" w:ascii="Times New Roman" w:hAnsi="Times New Roman" w:cs="Times New Roman"/>
          <w:spacing w:val="0"/>
        </w:rPr>
        <w:t>二级标准，铬及其化合物参照执行《铁合金工业污染物排放标准》（GB28666-2012）</w:t>
      </w:r>
      <w:r>
        <w:rPr>
          <w:rFonts w:hint="eastAsia" w:ascii="Times New Roman" w:hAnsi="Times New Roman" w:cs="Times New Roman"/>
          <w:spacing w:val="0"/>
          <w:lang w:eastAsia="zh-CN"/>
        </w:rPr>
        <w:t>表6</w:t>
      </w:r>
      <w:r>
        <w:rPr>
          <w:rFonts w:hint="eastAsia" w:ascii="Times New Roman" w:hAnsi="Times New Roman" w:cs="Times New Roman"/>
          <w:spacing w:val="0"/>
        </w:rPr>
        <w:t>中特别排放限值</w:t>
      </w:r>
      <w:r>
        <w:rPr>
          <w:rFonts w:hint="eastAsia" w:ascii="Times New Roman" w:hAnsi="Times New Roman" w:cs="Times New Roman"/>
          <w:spacing w:val="0"/>
          <w:lang w:eastAsia="zh-CN"/>
        </w:rPr>
        <w:t>及</w:t>
      </w:r>
      <w:r>
        <w:rPr>
          <w:rFonts w:ascii="Times New Roman" w:hAnsi="Times New Roman" w:cs="Times New Roman"/>
          <w:spacing w:val="0"/>
          <w:lang w:eastAsia="zh-CN"/>
        </w:rPr>
        <w:t>表</w:t>
      </w:r>
      <w:r>
        <w:rPr>
          <w:rFonts w:hint="eastAsia" w:ascii="Times New Roman" w:hAnsi="Times New Roman" w:cs="Times New Roman"/>
          <w:spacing w:val="0"/>
          <w:lang w:eastAsia="zh-CN"/>
        </w:rPr>
        <w:t>7企业</w:t>
      </w:r>
      <w:r>
        <w:rPr>
          <w:rFonts w:ascii="Times New Roman" w:hAnsi="Times New Roman" w:cs="Times New Roman"/>
          <w:spacing w:val="0"/>
          <w:lang w:eastAsia="zh-CN"/>
        </w:rPr>
        <w:t>边界大气污染物浓度限值</w:t>
      </w:r>
      <w:r>
        <w:rPr>
          <w:rFonts w:hint="eastAsia" w:ascii="Times New Roman" w:hAnsi="Times New Roman" w:cs="Times New Roman"/>
          <w:spacing w:val="0"/>
        </w:rPr>
        <w:t>要求</w:t>
      </w:r>
      <w:r>
        <w:rPr>
          <w:rFonts w:hint="eastAsia" w:ascii="Times New Roman" w:hAnsi="Times New Roman" w:cs="Times New Roman"/>
          <w:spacing w:val="0"/>
          <w:lang w:eastAsia="zh-CN"/>
        </w:rPr>
        <w:t>。</w:t>
      </w:r>
      <w:r>
        <w:rPr>
          <w:rFonts w:ascii="Times New Roman" w:hAnsi="Times New Roman" w:cs="Times New Roman"/>
          <w:spacing w:val="0"/>
        </w:rPr>
        <w:t>具体标准详见表</w:t>
      </w:r>
      <w:r>
        <w:rPr>
          <w:rFonts w:hint="eastAsia" w:ascii="Times New Roman" w:hAnsi="Times New Roman" w:cs="Times New Roman"/>
          <w:spacing w:val="0"/>
          <w:lang w:eastAsia="zh-CN"/>
        </w:rPr>
        <w:t>2-1</w:t>
      </w:r>
      <w:r>
        <w:rPr>
          <w:rFonts w:ascii="Times New Roman" w:hAnsi="Times New Roman" w:cs="Times New Roman"/>
          <w:spacing w:val="0"/>
          <w:lang w:eastAsia="zh-CN"/>
        </w:rPr>
        <w:t>0</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钢铁企业超低排放指标限值</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498"/>
        <w:gridCol w:w="1113"/>
        <w:gridCol w:w="1113"/>
        <w:gridCol w:w="1113"/>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生产工序</w:t>
            </w:r>
          </w:p>
        </w:tc>
        <w:tc>
          <w:tcPr>
            <w:tcW w:w="3498" w:type="dxa"/>
            <w:vMerge w:val="restart"/>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生产设施</w:t>
            </w:r>
          </w:p>
        </w:tc>
        <w:tc>
          <w:tcPr>
            <w:tcW w:w="1113" w:type="dxa"/>
            <w:vMerge w:val="restart"/>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基准含氧量(%)</w:t>
            </w:r>
          </w:p>
        </w:tc>
        <w:tc>
          <w:tcPr>
            <w:tcW w:w="3341" w:type="dxa"/>
            <w:gridSpan w:val="3"/>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污染物项目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vAlign w:val="center"/>
          </w:tcPr>
          <w:p>
            <w:pPr>
              <w:pStyle w:val="712"/>
              <w:spacing w:line="300" w:lineRule="exact"/>
              <w:ind w:firstLine="0"/>
              <w:jc w:val="center"/>
              <w:rPr>
                <w:rFonts w:ascii="Times New Roman" w:hAnsi="Times New Roman" w:cs="Times New Roman"/>
                <w:spacing w:val="0"/>
                <w:sz w:val="21"/>
                <w:szCs w:val="21"/>
                <w:lang w:eastAsia="zh-CN"/>
              </w:rPr>
            </w:pPr>
          </w:p>
        </w:tc>
        <w:tc>
          <w:tcPr>
            <w:tcW w:w="3498" w:type="dxa"/>
            <w:vMerge w:val="continue"/>
            <w:vAlign w:val="center"/>
          </w:tcPr>
          <w:p>
            <w:pPr>
              <w:pStyle w:val="712"/>
              <w:spacing w:line="300" w:lineRule="exact"/>
              <w:ind w:firstLine="0"/>
              <w:jc w:val="center"/>
              <w:rPr>
                <w:rFonts w:ascii="Times New Roman" w:hAnsi="Times New Roman" w:cs="Times New Roman"/>
                <w:spacing w:val="0"/>
                <w:sz w:val="21"/>
                <w:szCs w:val="21"/>
                <w:lang w:eastAsia="zh-CN"/>
              </w:rPr>
            </w:pPr>
          </w:p>
        </w:tc>
        <w:tc>
          <w:tcPr>
            <w:tcW w:w="1113" w:type="dxa"/>
            <w:vMerge w:val="continue"/>
            <w:vAlign w:val="center"/>
          </w:tcPr>
          <w:p>
            <w:pPr>
              <w:pStyle w:val="712"/>
              <w:spacing w:line="300" w:lineRule="exact"/>
              <w:ind w:firstLine="0"/>
              <w:jc w:val="center"/>
              <w:rPr>
                <w:rFonts w:ascii="Times New Roman" w:hAnsi="Times New Roman" w:cs="Times New Roman"/>
                <w:spacing w:val="0"/>
                <w:sz w:val="21"/>
                <w:szCs w:val="21"/>
                <w:lang w:eastAsia="zh-CN"/>
              </w:rPr>
            </w:pP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颗粒物</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二氧化硫</w:t>
            </w:r>
          </w:p>
        </w:tc>
        <w:tc>
          <w:tcPr>
            <w:tcW w:w="1115"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N</w:t>
            </w:r>
            <w:r>
              <w:rPr>
                <w:rFonts w:ascii="Times New Roman" w:hAnsi="Times New Roman" w:cs="Times New Roman"/>
                <w:spacing w:val="0"/>
                <w:sz w:val="21"/>
                <w:szCs w:val="21"/>
                <w:lang w:eastAsia="zh-CN"/>
              </w:rPr>
              <w:t>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炼钢</w:t>
            </w:r>
          </w:p>
        </w:tc>
        <w:tc>
          <w:tcPr>
            <w:tcW w:w="3498"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sz w:val="21"/>
                <w:szCs w:val="21"/>
              </w:rPr>
              <w:t>铁水预处理、转炉（二次烟气）、电炉、石灰窑、白云石窑</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10</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w:t>
            </w:r>
          </w:p>
        </w:tc>
        <w:tc>
          <w:tcPr>
            <w:tcW w:w="1115"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轧钢</w:t>
            </w:r>
          </w:p>
        </w:tc>
        <w:tc>
          <w:tcPr>
            <w:tcW w:w="3498"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sz w:val="21"/>
                <w:szCs w:val="21"/>
              </w:rPr>
              <w:t>热处理炉</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8</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10</w:t>
            </w:r>
          </w:p>
        </w:tc>
        <w:tc>
          <w:tcPr>
            <w:tcW w:w="1113"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50</w:t>
            </w:r>
          </w:p>
        </w:tc>
        <w:tc>
          <w:tcPr>
            <w:tcW w:w="1115" w:type="dxa"/>
            <w:vAlign w:val="center"/>
          </w:tcPr>
          <w:p>
            <w:pPr>
              <w:pStyle w:val="712"/>
              <w:spacing w:line="300" w:lineRule="exact"/>
              <w:ind w:firstLine="0"/>
              <w:jc w:val="center"/>
              <w:rPr>
                <w:rFonts w:ascii="Times New Roman" w:hAnsi="Times New Roman" w:cs="Times New Roman"/>
                <w:spacing w:val="0"/>
                <w:sz w:val="21"/>
                <w:szCs w:val="21"/>
                <w:lang w:eastAsia="zh-CN"/>
              </w:rPr>
            </w:pPr>
            <w:r>
              <w:rPr>
                <w:rFonts w:hint="eastAsia" w:ascii="Times New Roman" w:hAnsi="Times New Roman" w:cs="Times New Roman"/>
                <w:spacing w:val="0"/>
                <w:sz w:val="21"/>
                <w:szCs w:val="21"/>
                <w:lang w:eastAsia="zh-CN"/>
              </w:rPr>
              <w:t>200</w:t>
            </w:r>
          </w:p>
        </w:tc>
      </w:tr>
    </w:tbl>
    <w:p>
      <w:pPr>
        <w:pStyle w:val="313"/>
        <w:tabs>
          <w:tab w:val="clear" w:pos="3908"/>
        </w:tabs>
        <w:ind w:left="1122" w:hanging="561"/>
        <w:rPr>
          <w:rFonts w:ascii="Times New Roman" w:hAnsi="Times New Roman"/>
        </w:rPr>
      </w:pPr>
      <w:r>
        <w:rPr>
          <w:rFonts w:hint="eastAsia" w:ascii="Times New Roman" w:hAnsi="Times New Roman"/>
          <w:lang w:eastAsia="zh-CN"/>
        </w:rPr>
        <w:t>炼钢</w:t>
      </w:r>
      <w:r>
        <w:rPr>
          <w:rFonts w:ascii="Times New Roman" w:hAnsi="Times New Roman"/>
          <w:lang w:eastAsia="zh-CN"/>
        </w:rPr>
        <w:t>废气</w:t>
      </w:r>
      <w:r>
        <w:rPr>
          <w:rFonts w:hint="eastAsia" w:ascii="Times New Roman" w:hAnsi="Times New Roman"/>
        </w:rPr>
        <w:t>排放标</w:t>
      </w:r>
      <w:r>
        <w:rPr>
          <w:rFonts w:ascii="Times New Roman" w:hAnsi="Times New Roman"/>
        </w:rPr>
        <w:t>准</w:t>
      </w:r>
      <w:r>
        <w:rPr>
          <w:rFonts w:hint="eastAsia" w:ascii="Times New Roman" w:hAnsi="Times New Roman"/>
          <w:lang w:eastAsia="zh-CN"/>
        </w:rPr>
        <w:t xml:space="preserve"> (现状)</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3125"/>
        <w:gridCol w:w="1040"/>
        <w:gridCol w:w="1429"/>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污染物项目</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生产工序或设施</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限值(mg/m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p>
        </w:tc>
        <w:tc>
          <w:tcPr>
            <w:tcW w:w="142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污染物排放监控位置</w:t>
            </w:r>
          </w:p>
        </w:tc>
        <w:tc>
          <w:tcPr>
            <w:tcW w:w="168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颗粒物</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铁水预处理(包括倒罐、扒渣等)、转炉(二次烟气)、电炉、精炼炉</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15</w:t>
            </w:r>
          </w:p>
        </w:tc>
        <w:tc>
          <w:tcPr>
            <w:tcW w:w="142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车间或生产设施排气筒</w:t>
            </w:r>
          </w:p>
        </w:tc>
        <w:tc>
          <w:tcPr>
            <w:tcW w:w="1685"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rPr>
              <w:t>GB28664-2012</w:t>
            </w:r>
            <w:r>
              <w:rPr>
                <w:rFonts w:ascii="Times New Roman" w:hAnsi="Times New Roman" w:cs="Times New Roman" w:eastAsiaTheme="minorEastAsia"/>
                <w:spacing w:val="0"/>
                <w:sz w:val="21"/>
                <w:szCs w:val="21"/>
              </w:rPr>
              <w:t>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连铸切割及火焰清理、石灰窑、白云石窑焙烧</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30</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钢渣处理</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100</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其他生产设施</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15</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二噁英类</w:t>
            </w:r>
          </w:p>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(ng-TEQ/m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电炉</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0.5</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氟化物(以F计)</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电渣冶金</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5.0</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镍及其</w:t>
            </w:r>
            <w:r>
              <w:rPr>
                <w:rFonts w:ascii="Times New Roman" w:hAnsi="Times New Roman" w:cs="Times New Roman" w:eastAsiaTheme="minorEastAsia"/>
                <w:spacing w:val="0"/>
                <w:sz w:val="21"/>
                <w:szCs w:val="21"/>
              </w:rPr>
              <w:t>化合物</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电炉</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4.3</w:t>
            </w:r>
          </w:p>
        </w:tc>
        <w:tc>
          <w:tcPr>
            <w:tcW w:w="142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生产</w:t>
            </w:r>
            <w:r>
              <w:rPr>
                <w:rFonts w:ascii="Times New Roman" w:hAnsi="Times New Roman" w:cs="Times New Roman" w:eastAsiaTheme="minorEastAsia"/>
                <w:spacing w:val="0"/>
                <w:sz w:val="21"/>
                <w:szCs w:val="21"/>
              </w:rPr>
              <w:t>设施排气筒</w:t>
            </w:r>
          </w:p>
        </w:tc>
        <w:tc>
          <w:tcPr>
            <w:tcW w:w="168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sz w:val="21"/>
                <w:szCs w:val="21"/>
              </w:rPr>
              <w:t>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铬</w:t>
            </w:r>
            <w:r>
              <w:rPr>
                <w:rFonts w:ascii="Times New Roman" w:hAnsi="Times New Roman" w:cs="Times New Roman" w:eastAsiaTheme="minorEastAsia"/>
                <w:spacing w:val="0"/>
                <w:sz w:val="21"/>
                <w:szCs w:val="21"/>
              </w:rPr>
              <w:t>及其化合物</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电炉</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sz w:val="21"/>
                <w:szCs w:val="21"/>
              </w:rPr>
              <w:t>GB28666-2012表6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污染因子</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无组织排放源</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限值(mg/m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p>
        </w:tc>
        <w:tc>
          <w:tcPr>
            <w:tcW w:w="142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排放源</w:t>
            </w:r>
          </w:p>
        </w:tc>
        <w:tc>
          <w:tcPr>
            <w:tcW w:w="168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restart"/>
            <w:shd w:val="clear" w:color="auto" w:fill="auto"/>
            <w:vAlign w:val="center"/>
          </w:tcPr>
          <w:p>
            <w:pPr>
              <w:pStyle w:val="4"/>
              <w:spacing w:line="360" w:lineRule="exac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颗粒物</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有厂房生产车间</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8.0</w:t>
            </w:r>
          </w:p>
        </w:tc>
        <w:tc>
          <w:tcPr>
            <w:tcW w:w="142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无组织排放</w:t>
            </w:r>
          </w:p>
        </w:tc>
        <w:tc>
          <w:tcPr>
            <w:tcW w:w="1685"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rPr>
              <w:t>GB28664-2012</w:t>
            </w:r>
            <w:r>
              <w:rPr>
                <w:rFonts w:ascii="Times New Roman" w:hAnsi="Times New Roman" w:cs="Times New Roman" w:eastAsiaTheme="minorEastAsia"/>
                <w:spacing w:val="0"/>
                <w:sz w:val="21"/>
                <w:szCs w:val="21"/>
              </w:rPr>
              <w:t>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无完整厂房车间</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5.0</w:t>
            </w:r>
          </w:p>
        </w:tc>
        <w:tc>
          <w:tcPr>
            <w:tcW w:w="142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685"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88"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铬及其化合物</w:t>
            </w:r>
          </w:p>
        </w:tc>
        <w:tc>
          <w:tcPr>
            <w:tcW w:w="312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w:t>
            </w:r>
          </w:p>
        </w:tc>
        <w:tc>
          <w:tcPr>
            <w:tcW w:w="104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0.006</w:t>
            </w:r>
          </w:p>
        </w:tc>
        <w:tc>
          <w:tcPr>
            <w:tcW w:w="142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企业</w:t>
            </w:r>
            <w:r>
              <w:rPr>
                <w:rFonts w:ascii="Times New Roman" w:hAnsi="Times New Roman" w:cs="Times New Roman" w:eastAsiaTheme="minorEastAsia"/>
                <w:spacing w:val="0"/>
                <w:sz w:val="21"/>
                <w:szCs w:val="21"/>
              </w:rPr>
              <w:t>边界</w:t>
            </w:r>
          </w:p>
        </w:tc>
        <w:tc>
          <w:tcPr>
            <w:tcW w:w="1685"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GB</w:t>
            </w:r>
            <w:r>
              <w:rPr>
                <w:rFonts w:ascii="Times New Roman" w:hAnsi="Times New Roman" w:cs="Times New Roman" w:eastAsiaTheme="minorEastAsia"/>
                <w:spacing w:val="0"/>
                <w:sz w:val="21"/>
                <w:szCs w:val="21"/>
              </w:rPr>
              <w:t>28666-2012</w:t>
            </w:r>
          </w:p>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表</w:t>
            </w:r>
            <w:r>
              <w:rPr>
                <w:rFonts w:ascii="Times New Roman" w:hAnsi="Times New Roman" w:cs="Times New Roman" w:eastAsiaTheme="minorEastAsia"/>
                <w:spacing w:val="0"/>
                <w:sz w:val="21"/>
                <w:szCs w:val="21"/>
              </w:rPr>
              <w:t xml:space="preserve"> 7</w:t>
            </w:r>
          </w:p>
        </w:tc>
      </w:tr>
    </w:tbl>
    <w:p>
      <w:pPr>
        <w:pStyle w:val="712"/>
        <w:spacing w:line="460" w:lineRule="exact"/>
        <w:rPr>
          <w:rFonts w:ascii="Times New Roman" w:hAnsi="Times New Roman" w:cs="Times New Roman" w:eastAsiaTheme="minorEastAsia"/>
          <w:spacing w:val="0"/>
          <w:szCs w:val="24"/>
        </w:rPr>
      </w:pPr>
      <w:r>
        <w:rPr>
          <w:rFonts w:ascii="Times New Roman" w:hAnsi="Times New Roman" w:cs="Times New Roman"/>
          <w:spacing w:val="0"/>
        </w:rPr>
        <w:t>产生大气污染物的生产工艺装置必须设立局部气体收集系统和净化处理装置，达标排放。所有排气筒高度应不低于15m，排气筒周围半径200m范围内有建筑物时，排气筒高度还应高出最高建筑物3m以上</w:t>
      </w:r>
      <w:r>
        <w:rPr>
          <w:rFonts w:ascii="Times New Roman" w:hAnsi="Times New Roman" w:cs="Times New Roman"/>
          <w:spacing w:val="0"/>
          <w:lang w:eastAsia="zh-CN"/>
        </w:rPr>
        <w:t>。</w:t>
      </w:r>
    </w:p>
    <w:p>
      <w:pPr>
        <w:pStyle w:val="712"/>
        <w:spacing w:line="460" w:lineRule="exact"/>
        <w:rPr>
          <w:rFonts w:ascii="Times New Roman" w:hAnsi="Times New Roman" w:cs="Times New Roman"/>
          <w:spacing w:val="0"/>
        </w:rPr>
      </w:pPr>
      <w:r>
        <w:rPr>
          <w:rFonts w:ascii="Times New Roman" w:hAnsi="Times New Roman" w:cs="Times New Roman"/>
          <w:spacing w:val="0"/>
          <w:lang w:eastAsia="zh-CN"/>
        </w:rPr>
        <w:t>另外</w:t>
      </w:r>
      <w:r>
        <w:rPr>
          <w:rFonts w:hint="eastAsia" w:ascii="Times New Roman" w:hAnsi="Times New Roman" w:cs="Times New Roman"/>
          <w:spacing w:val="0"/>
          <w:lang w:eastAsia="zh-CN"/>
        </w:rPr>
        <w:t>，</w:t>
      </w:r>
      <w:r>
        <w:rPr>
          <w:rFonts w:hint="eastAsia" w:ascii="Times New Roman" w:hAnsi="Times New Roman" w:cs="Times New Roman"/>
          <w:spacing w:val="0"/>
        </w:rPr>
        <w:t>《炼钢工业大气污染物排放标准》（GB28664-2012）</w:t>
      </w:r>
      <w:r>
        <w:rPr>
          <w:rFonts w:hint="eastAsia" w:ascii="Times New Roman" w:hAnsi="Times New Roman" w:cs="Times New Roman"/>
          <w:spacing w:val="0"/>
          <w:lang w:eastAsia="zh-CN"/>
        </w:rPr>
        <w:t>中未对</w:t>
      </w:r>
      <w:r>
        <w:rPr>
          <w:rFonts w:ascii="Times New Roman" w:hAnsi="Times New Roman" w:cs="Times New Roman"/>
          <w:spacing w:val="0"/>
          <w:lang w:eastAsia="zh-CN"/>
        </w:rPr>
        <w:t>氟化物</w:t>
      </w:r>
      <w:r>
        <w:rPr>
          <w:rFonts w:hint="eastAsia" w:ascii="Times New Roman" w:hAnsi="Times New Roman" w:cs="Times New Roman"/>
          <w:spacing w:val="0"/>
          <w:lang w:eastAsia="zh-CN"/>
        </w:rPr>
        <w:t>排放</w:t>
      </w:r>
      <w:r>
        <w:rPr>
          <w:rFonts w:ascii="Times New Roman" w:hAnsi="Times New Roman" w:cs="Times New Roman"/>
          <w:spacing w:val="0"/>
          <w:lang w:eastAsia="zh-CN"/>
        </w:rPr>
        <w:t>标准进行</w:t>
      </w:r>
      <w:r>
        <w:rPr>
          <w:rFonts w:hint="eastAsia" w:ascii="Times New Roman" w:hAnsi="Times New Roman" w:cs="Times New Roman"/>
          <w:spacing w:val="0"/>
          <w:lang w:eastAsia="zh-CN"/>
        </w:rPr>
        <w:t>规定</w:t>
      </w:r>
      <w:r>
        <w:rPr>
          <w:rFonts w:ascii="Times New Roman" w:hAnsi="Times New Roman" w:cs="Times New Roman"/>
          <w:spacing w:val="0"/>
          <w:lang w:eastAsia="zh-CN"/>
        </w:rPr>
        <w:t>，本报告参照执行</w:t>
      </w:r>
      <w:r>
        <w:rPr>
          <w:rFonts w:hint="eastAsia" w:ascii="Times New Roman" w:hAnsi="Times New Roman" w:cs="Times New Roman"/>
          <w:spacing w:val="0"/>
          <w:lang w:eastAsia="zh-CN"/>
        </w:rPr>
        <w:t>《</w:t>
      </w:r>
      <w:r>
        <w:rPr>
          <w:rFonts w:ascii="Times New Roman" w:hAnsi="Times New Roman" w:cs="Times New Roman"/>
          <w:spacing w:val="0"/>
        </w:rPr>
        <w:t>大气污染物综合排放标准》（GB16297-1996）中新污染源二级排放标准</w:t>
      </w:r>
      <w:r>
        <w:rPr>
          <w:rFonts w:hint="eastAsia" w:ascii="Times New Roman" w:hAnsi="Times New Roman" w:cs="Times New Roman"/>
          <w:spacing w:val="0"/>
          <w:lang w:eastAsia="zh-CN"/>
        </w:rPr>
        <w:t>。</w:t>
      </w:r>
      <w:r>
        <w:rPr>
          <w:rFonts w:ascii="Times New Roman" w:hAnsi="Times New Roman" w:cs="Times New Roman"/>
          <w:spacing w:val="0"/>
        </w:rPr>
        <w:t>具体</w:t>
      </w:r>
      <w:r>
        <w:rPr>
          <w:rFonts w:hint="eastAsia" w:ascii="Times New Roman" w:hAnsi="Times New Roman" w:cs="Times New Roman"/>
          <w:spacing w:val="0"/>
          <w:lang w:eastAsia="zh-CN"/>
        </w:rPr>
        <w:t>标准值</w:t>
      </w:r>
      <w:r>
        <w:rPr>
          <w:rFonts w:ascii="Times New Roman" w:hAnsi="Times New Roman" w:cs="Times New Roman"/>
          <w:spacing w:val="0"/>
        </w:rPr>
        <w:t>详见</w:t>
      </w:r>
      <w:r>
        <w:rPr>
          <w:rFonts w:hint="eastAsia" w:ascii="Times New Roman" w:hAnsi="Times New Roman" w:cs="Times New Roman"/>
          <w:spacing w:val="0"/>
          <w:lang w:eastAsia="zh-CN"/>
        </w:rPr>
        <w:t>2-1</w:t>
      </w:r>
      <w:r>
        <w:rPr>
          <w:rFonts w:ascii="Times New Roman" w:hAnsi="Times New Roman" w:cs="Times New Roman"/>
          <w:spacing w:val="0"/>
          <w:lang w:eastAsia="zh-CN"/>
        </w:rPr>
        <w:t>1</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rPr>
        <w:t>《大气污染物综合排放标准》（GB16297-1996）</w:t>
      </w:r>
    </w:p>
    <w:tbl>
      <w:tblPr>
        <w:tblStyle w:val="87"/>
        <w:tblW w:w="87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8"/>
        <w:gridCol w:w="1736"/>
        <w:gridCol w:w="2151"/>
        <w:gridCol w:w="1327"/>
        <w:gridCol w:w="989"/>
        <w:gridCol w:w="1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73" w:hRule="exact"/>
        </w:trPr>
        <w:tc>
          <w:tcPr>
            <w:tcW w:w="1338" w:type="dxa"/>
            <w:vMerge w:val="restart"/>
            <w:vAlign w:val="center"/>
          </w:tcPr>
          <w:p>
            <w:pPr>
              <w:spacing w:line="240" w:lineRule="exact"/>
              <w:jc w:val="center"/>
              <w:rPr>
                <w:rFonts w:eastAsiaTheme="minorEastAsia"/>
                <w:sz w:val="21"/>
                <w:szCs w:val="21"/>
              </w:rPr>
            </w:pPr>
            <w:r>
              <w:rPr>
                <w:rFonts w:eastAsiaTheme="minorEastAsia"/>
                <w:sz w:val="21"/>
                <w:szCs w:val="21"/>
              </w:rPr>
              <w:t>污染物</w:t>
            </w:r>
          </w:p>
        </w:tc>
        <w:tc>
          <w:tcPr>
            <w:tcW w:w="1736" w:type="dxa"/>
            <w:vMerge w:val="restart"/>
            <w:vAlign w:val="center"/>
          </w:tcPr>
          <w:p>
            <w:pPr>
              <w:spacing w:line="240" w:lineRule="exact"/>
              <w:jc w:val="center"/>
              <w:rPr>
                <w:rFonts w:eastAsiaTheme="minorEastAsia"/>
                <w:sz w:val="21"/>
                <w:szCs w:val="21"/>
              </w:rPr>
            </w:pPr>
            <w:r>
              <w:rPr>
                <w:rFonts w:eastAsiaTheme="minorEastAsia"/>
                <w:sz w:val="21"/>
                <w:szCs w:val="21"/>
              </w:rPr>
              <w:t>最高允许排放浓度（mg/m</w:t>
            </w:r>
            <w:r>
              <w:rPr>
                <w:rFonts w:eastAsiaTheme="minorEastAsia"/>
                <w:sz w:val="21"/>
                <w:szCs w:val="21"/>
                <w:vertAlign w:val="superscript"/>
              </w:rPr>
              <w:t>3</w:t>
            </w:r>
            <w:r>
              <w:rPr>
                <w:rFonts w:eastAsiaTheme="minorEastAsia"/>
                <w:sz w:val="21"/>
                <w:szCs w:val="21"/>
              </w:rPr>
              <w:t>）</w:t>
            </w:r>
          </w:p>
        </w:tc>
        <w:tc>
          <w:tcPr>
            <w:tcW w:w="3478" w:type="dxa"/>
            <w:gridSpan w:val="2"/>
            <w:vAlign w:val="center"/>
          </w:tcPr>
          <w:p>
            <w:pPr>
              <w:spacing w:line="240" w:lineRule="exact"/>
              <w:jc w:val="center"/>
              <w:rPr>
                <w:rFonts w:eastAsiaTheme="minorEastAsia"/>
                <w:sz w:val="21"/>
                <w:szCs w:val="21"/>
              </w:rPr>
            </w:pPr>
            <w:r>
              <w:rPr>
                <w:rFonts w:eastAsiaTheme="minorEastAsia"/>
                <w:sz w:val="21"/>
                <w:szCs w:val="21"/>
              </w:rPr>
              <w:t>最高允许排放速率（kg/h）</w:t>
            </w:r>
          </w:p>
        </w:tc>
        <w:tc>
          <w:tcPr>
            <w:tcW w:w="2215" w:type="dxa"/>
            <w:gridSpan w:val="2"/>
            <w:vMerge w:val="restart"/>
            <w:tcBorders>
              <w:right w:val="single" w:color="auto" w:sz="4" w:space="0"/>
            </w:tcBorders>
            <w:vAlign w:val="center"/>
          </w:tcPr>
          <w:p>
            <w:pPr>
              <w:spacing w:line="240" w:lineRule="exact"/>
              <w:jc w:val="center"/>
              <w:rPr>
                <w:rFonts w:eastAsiaTheme="minorEastAsia"/>
                <w:sz w:val="21"/>
                <w:szCs w:val="21"/>
              </w:rPr>
            </w:pPr>
            <w:r>
              <w:rPr>
                <w:rFonts w:eastAsiaTheme="minorEastAsia"/>
                <w:sz w:val="21"/>
                <w:szCs w:val="21"/>
              </w:rPr>
              <w:t>无组织排放监控点浓度限值（mg/m</w:t>
            </w:r>
            <w:r>
              <w:rPr>
                <w:rFonts w:eastAsiaTheme="minorEastAsia"/>
                <w:sz w:val="21"/>
                <w:szCs w:val="21"/>
                <w:vertAlign w:val="superscript"/>
              </w:rPr>
              <w:t>3</w:t>
            </w:r>
            <w:r>
              <w:rPr>
                <w:rFonts w:eastAsiaTheme="min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5" w:hRule="exact"/>
        </w:trPr>
        <w:tc>
          <w:tcPr>
            <w:tcW w:w="1338" w:type="dxa"/>
            <w:vMerge w:val="continue"/>
            <w:tcBorders>
              <w:bottom w:val="single" w:color="auto" w:sz="4" w:space="0"/>
            </w:tcBorders>
            <w:vAlign w:val="center"/>
          </w:tcPr>
          <w:p>
            <w:pPr>
              <w:spacing w:line="240" w:lineRule="exact"/>
              <w:jc w:val="center"/>
              <w:rPr>
                <w:rFonts w:eastAsiaTheme="minorEastAsia"/>
                <w:sz w:val="21"/>
                <w:szCs w:val="21"/>
              </w:rPr>
            </w:pPr>
          </w:p>
        </w:tc>
        <w:tc>
          <w:tcPr>
            <w:tcW w:w="1736" w:type="dxa"/>
            <w:vMerge w:val="continue"/>
            <w:vAlign w:val="center"/>
          </w:tcPr>
          <w:p>
            <w:pPr>
              <w:spacing w:line="240" w:lineRule="exact"/>
              <w:jc w:val="center"/>
              <w:rPr>
                <w:rFonts w:eastAsiaTheme="minorEastAsia"/>
                <w:sz w:val="21"/>
                <w:szCs w:val="21"/>
              </w:rPr>
            </w:pPr>
          </w:p>
        </w:tc>
        <w:tc>
          <w:tcPr>
            <w:tcW w:w="2151" w:type="dxa"/>
            <w:vAlign w:val="center"/>
          </w:tcPr>
          <w:p>
            <w:pPr>
              <w:spacing w:line="240" w:lineRule="exact"/>
              <w:jc w:val="center"/>
              <w:rPr>
                <w:rFonts w:eastAsiaTheme="minorEastAsia"/>
                <w:sz w:val="21"/>
                <w:szCs w:val="21"/>
              </w:rPr>
            </w:pPr>
            <w:r>
              <w:rPr>
                <w:rFonts w:eastAsiaTheme="minorEastAsia"/>
                <w:sz w:val="21"/>
                <w:szCs w:val="21"/>
              </w:rPr>
              <w:t>排气筒高度(m)</w:t>
            </w:r>
          </w:p>
        </w:tc>
        <w:tc>
          <w:tcPr>
            <w:tcW w:w="1327" w:type="dxa"/>
            <w:vAlign w:val="center"/>
          </w:tcPr>
          <w:p>
            <w:pPr>
              <w:spacing w:line="240" w:lineRule="exact"/>
              <w:jc w:val="center"/>
              <w:rPr>
                <w:rFonts w:eastAsiaTheme="minorEastAsia"/>
                <w:sz w:val="21"/>
                <w:szCs w:val="21"/>
              </w:rPr>
            </w:pPr>
            <w:r>
              <w:rPr>
                <w:rFonts w:eastAsiaTheme="minorEastAsia"/>
                <w:sz w:val="21"/>
                <w:szCs w:val="21"/>
              </w:rPr>
              <w:t>二级</w:t>
            </w:r>
          </w:p>
        </w:tc>
        <w:tc>
          <w:tcPr>
            <w:tcW w:w="2215" w:type="dxa"/>
            <w:gridSpan w:val="2"/>
            <w:vMerge w:val="continue"/>
            <w:tcBorders>
              <w:right w:val="single" w:color="auto" w:sz="4" w:space="0"/>
            </w:tcBorders>
            <w:vAlign w:val="center"/>
          </w:tcPr>
          <w:p>
            <w:pPr>
              <w:spacing w:line="240" w:lineRule="exact"/>
              <w:jc w:val="center"/>
              <w:rPr>
                <w:rFonts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Merge w:val="restart"/>
            <w:vAlign w:val="center"/>
          </w:tcPr>
          <w:p>
            <w:pPr>
              <w:spacing w:line="240" w:lineRule="exact"/>
              <w:jc w:val="center"/>
              <w:rPr>
                <w:rFonts w:eastAsiaTheme="minorEastAsia"/>
                <w:sz w:val="21"/>
                <w:szCs w:val="21"/>
              </w:rPr>
            </w:pPr>
            <w:r>
              <w:rPr>
                <w:rFonts w:hint="eastAsia" w:eastAsiaTheme="minorEastAsia"/>
                <w:sz w:val="21"/>
                <w:szCs w:val="21"/>
              </w:rPr>
              <w:t>氟化物</w:t>
            </w:r>
          </w:p>
        </w:tc>
        <w:tc>
          <w:tcPr>
            <w:tcW w:w="1736" w:type="dxa"/>
            <w:vMerge w:val="restart"/>
            <w:vAlign w:val="center"/>
          </w:tcPr>
          <w:p>
            <w:pPr>
              <w:spacing w:line="240" w:lineRule="exact"/>
              <w:jc w:val="center"/>
              <w:rPr>
                <w:rFonts w:eastAsiaTheme="minorEastAsia"/>
                <w:sz w:val="21"/>
                <w:szCs w:val="21"/>
              </w:rPr>
            </w:pPr>
            <w:r>
              <w:rPr>
                <w:rFonts w:hint="eastAsia" w:eastAsiaTheme="minorEastAsia"/>
                <w:sz w:val="21"/>
                <w:szCs w:val="21"/>
              </w:rPr>
              <w:t>9.0(其他)</w:t>
            </w:r>
          </w:p>
        </w:tc>
        <w:tc>
          <w:tcPr>
            <w:tcW w:w="2151" w:type="dxa"/>
            <w:vAlign w:val="center"/>
          </w:tcPr>
          <w:p>
            <w:pPr>
              <w:spacing w:line="240" w:lineRule="exact"/>
              <w:jc w:val="center"/>
              <w:rPr>
                <w:rFonts w:eastAsiaTheme="minorEastAsia"/>
                <w:sz w:val="21"/>
                <w:szCs w:val="21"/>
              </w:rPr>
            </w:pPr>
            <w:r>
              <w:rPr>
                <w:rFonts w:eastAsiaTheme="minorEastAsia"/>
                <w:sz w:val="21"/>
                <w:szCs w:val="21"/>
              </w:rPr>
              <w:t>15</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0.15</w:t>
            </w:r>
          </w:p>
        </w:tc>
        <w:tc>
          <w:tcPr>
            <w:tcW w:w="989" w:type="dxa"/>
            <w:vMerge w:val="restart"/>
            <w:vAlign w:val="center"/>
          </w:tcPr>
          <w:p>
            <w:pPr>
              <w:spacing w:line="240" w:lineRule="exact"/>
              <w:jc w:val="center"/>
              <w:rPr>
                <w:rFonts w:eastAsiaTheme="minorEastAsia"/>
                <w:sz w:val="21"/>
                <w:szCs w:val="21"/>
              </w:rPr>
            </w:pPr>
            <w:r>
              <w:rPr>
                <w:rFonts w:eastAsiaTheme="minorEastAsia"/>
                <w:sz w:val="21"/>
                <w:szCs w:val="21"/>
              </w:rPr>
              <w:t>周界外浓度最高点</w:t>
            </w:r>
          </w:p>
        </w:tc>
        <w:tc>
          <w:tcPr>
            <w:tcW w:w="1226" w:type="dxa"/>
            <w:vMerge w:val="restart"/>
            <w:tcBorders>
              <w:right w:val="single" w:color="auto" w:sz="4" w:space="0"/>
            </w:tcBorders>
            <w:vAlign w:val="center"/>
          </w:tcPr>
          <w:p>
            <w:pPr>
              <w:spacing w:line="240" w:lineRule="exact"/>
              <w:jc w:val="center"/>
              <w:rPr>
                <w:rFonts w:eastAsiaTheme="minorEastAsia"/>
                <w:sz w:val="21"/>
                <w:szCs w:val="21"/>
              </w:rPr>
            </w:pPr>
            <w:r>
              <w:rPr>
                <w:rFonts w:hint="eastAsia" w:eastAsiaTheme="minorEastAsia"/>
                <w:sz w:val="21"/>
                <w:szCs w:val="21"/>
              </w:rPr>
              <w:t>20(</w:t>
            </w:r>
            <w:r>
              <w:rPr>
                <w:rFonts w:eastAsiaTheme="minorEastAsia"/>
                <w:sz w:val="21"/>
                <w:szCs w:val="21"/>
              </w:rPr>
              <w:t>µg/m</w:t>
            </w:r>
            <w:r>
              <w:rPr>
                <w:rFonts w:eastAsiaTheme="minorEastAsia"/>
                <w:sz w:val="21"/>
                <w:szCs w:val="21"/>
                <w:vertAlign w:val="superscript"/>
              </w:rPr>
              <w:t>3</w:t>
            </w:r>
            <w:r>
              <w:rPr>
                <w:rFonts w:hint="eastAsia" w:eastAsiaTheme="min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Merge w:val="continue"/>
            <w:vAlign w:val="center"/>
          </w:tcPr>
          <w:p>
            <w:pPr>
              <w:spacing w:line="240" w:lineRule="exact"/>
              <w:jc w:val="center"/>
              <w:rPr>
                <w:rFonts w:eastAsiaTheme="minorEastAsia"/>
                <w:sz w:val="21"/>
                <w:szCs w:val="21"/>
              </w:rPr>
            </w:pPr>
          </w:p>
        </w:tc>
        <w:tc>
          <w:tcPr>
            <w:tcW w:w="1736" w:type="dxa"/>
            <w:vMerge w:val="continue"/>
            <w:vAlign w:val="center"/>
          </w:tcPr>
          <w:p>
            <w:pPr>
              <w:spacing w:line="240" w:lineRule="exact"/>
              <w:jc w:val="center"/>
              <w:rPr>
                <w:rFonts w:eastAsiaTheme="minorEastAsia"/>
                <w:sz w:val="21"/>
                <w:szCs w:val="21"/>
              </w:rPr>
            </w:pPr>
          </w:p>
        </w:tc>
        <w:tc>
          <w:tcPr>
            <w:tcW w:w="2151" w:type="dxa"/>
            <w:vAlign w:val="center"/>
          </w:tcPr>
          <w:p>
            <w:pPr>
              <w:spacing w:line="240" w:lineRule="exact"/>
              <w:jc w:val="center"/>
              <w:rPr>
                <w:rFonts w:eastAsiaTheme="minorEastAsia"/>
                <w:sz w:val="21"/>
                <w:szCs w:val="21"/>
              </w:rPr>
            </w:pPr>
            <w:r>
              <w:rPr>
                <w:rFonts w:eastAsiaTheme="minorEastAsia"/>
                <w:sz w:val="21"/>
                <w:szCs w:val="21"/>
              </w:rPr>
              <w:t>20</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0.26</w:t>
            </w:r>
          </w:p>
        </w:tc>
        <w:tc>
          <w:tcPr>
            <w:tcW w:w="989" w:type="dxa"/>
            <w:vMerge w:val="continue"/>
            <w:vAlign w:val="center"/>
          </w:tcPr>
          <w:p>
            <w:pPr>
              <w:spacing w:line="240" w:lineRule="exact"/>
              <w:jc w:val="center"/>
              <w:rPr>
                <w:rFonts w:eastAsiaTheme="minorEastAsia"/>
                <w:sz w:val="21"/>
                <w:szCs w:val="21"/>
              </w:rPr>
            </w:pPr>
          </w:p>
        </w:tc>
        <w:tc>
          <w:tcPr>
            <w:tcW w:w="1226" w:type="dxa"/>
            <w:vMerge w:val="continue"/>
            <w:tcBorders>
              <w:right w:val="single" w:color="auto" w:sz="4" w:space="0"/>
            </w:tcBorders>
            <w:vAlign w:val="center"/>
          </w:tcPr>
          <w:p>
            <w:pPr>
              <w:spacing w:line="240" w:lineRule="exact"/>
              <w:jc w:val="center"/>
              <w:rPr>
                <w:rFonts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Merge w:val="continue"/>
            <w:vAlign w:val="center"/>
          </w:tcPr>
          <w:p>
            <w:pPr>
              <w:spacing w:line="240" w:lineRule="exact"/>
              <w:jc w:val="center"/>
              <w:rPr>
                <w:rFonts w:eastAsiaTheme="minorEastAsia"/>
                <w:sz w:val="21"/>
                <w:szCs w:val="21"/>
              </w:rPr>
            </w:pPr>
          </w:p>
        </w:tc>
        <w:tc>
          <w:tcPr>
            <w:tcW w:w="1736" w:type="dxa"/>
            <w:vMerge w:val="continue"/>
            <w:vAlign w:val="center"/>
          </w:tcPr>
          <w:p>
            <w:pPr>
              <w:spacing w:line="240" w:lineRule="exact"/>
              <w:jc w:val="center"/>
              <w:rPr>
                <w:rFonts w:eastAsiaTheme="minorEastAsia"/>
                <w:sz w:val="21"/>
                <w:szCs w:val="21"/>
              </w:rPr>
            </w:pPr>
          </w:p>
        </w:tc>
        <w:tc>
          <w:tcPr>
            <w:tcW w:w="2151" w:type="dxa"/>
            <w:vAlign w:val="center"/>
          </w:tcPr>
          <w:p>
            <w:pPr>
              <w:spacing w:line="240" w:lineRule="exact"/>
              <w:jc w:val="center"/>
              <w:rPr>
                <w:rFonts w:eastAsiaTheme="minorEastAsia"/>
                <w:sz w:val="21"/>
                <w:szCs w:val="21"/>
              </w:rPr>
            </w:pPr>
            <w:r>
              <w:rPr>
                <w:rFonts w:eastAsiaTheme="minorEastAsia"/>
                <w:sz w:val="21"/>
                <w:szCs w:val="21"/>
              </w:rPr>
              <w:t>30</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0.88</w:t>
            </w:r>
          </w:p>
        </w:tc>
        <w:tc>
          <w:tcPr>
            <w:tcW w:w="989" w:type="dxa"/>
            <w:vMerge w:val="continue"/>
            <w:vAlign w:val="center"/>
          </w:tcPr>
          <w:p>
            <w:pPr>
              <w:spacing w:line="240" w:lineRule="exact"/>
              <w:jc w:val="center"/>
              <w:rPr>
                <w:rFonts w:eastAsiaTheme="minorEastAsia"/>
                <w:sz w:val="21"/>
                <w:szCs w:val="21"/>
              </w:rPr>
            </w:pPr>
          </w:p>
        </w:tc>
        <w:tc>
          <w:tcPr>
            <w:tcW w:w="1226" w:type="dxa"/>
            <w:vMerge w:val="continue"/>
            <w:tcBorders>
              <w:right w:val="single" w:color="auto" w:sz="4" w:space="0"/>
            </w:tcBorders>
            <w:vAlign w:val="center"/>
          </w:tcPr>
          <w:p>
            <w:pPr>
              <w:spacing w:line="240" w:lineRule="exact"/>
              <w:jc w:val="center"/>
              <w:rPr>
                <w:rFonts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Merge w:val="continue"/>
            <w:vAlign w:val="center"/>
          </w:tcPr>
          <w:p>
            <w:pPr>
              <w:spacing w:line="240" w:lineRule="exact"/>
              <w:jc w:val="center"/>
              <w:rPr>
                <w:rFonts w:eastAsiaTheme="minorEastAsia"/>
                <w:sz w:val="21"/>
                <w:szCs w:val="21"/>
              </w:rPr>
            </w:pPr>
          </w:p>
        </w:tc>
        <w:tc>
          <w:tcPr>
            <w:tcW w:w="1736" w:type="dxa"/>
            <w:vMerge w:val="continue"/>
            <w:vAlign w:val="center"/>
          </w:tcPr>
          <w:p>
            <w:pPr>
              <w:spacing w:line="240" w:lineRule="exact"/>
              <w:jc w:val="center"/>
              <w:rPr>
                <w:rFonts w:eastAsiaTheme="minorEastAsia"/>
                <w:sz w:val="21"/>
                <w:szCs w:val="21"/>
              </w:rPr>
            </w:pPr>
          </w:p>
        </w:tc>
        <w:tc>
          <w:tcPr>
            <w:tcW w:w="2151" w:type="dxa"/>
            <w:vAlign w:val="center"/>
          </w:tcPr>
          <w:p>
            <w:pPr>
              <w:spacing w:line="240" w:lineRule="exact"/>
              <w:jc w:val="center"/>
              <w:rPr>
                <w:rFonts w:eastAsiaTheme="minorEastAsia"/>
                <w:sz w:val="21"/>
                <w:szCs w:val="21"/>
              </w:rPr>
            </w:pPr>
            <w:r>
              <w:rPr>
                <w:rFonts w:eastAsiaTheme="minorEastAsia"/>
                <w:sz w:val="21"/>
                <w:szCs w:val="21"/>
              </w:rPr>
              <w:t>40</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1.5</w:t>
            </w:r>
          </w:p>
        </w:tc>
        <w:tc>
          <w:tcPr>
            <w:tcW w:w="989" w:type="dxa"/>
            <w:vMerge w:val="continue"/>
            <w:vAlign w:val="center"/>
          </w:tcPr>
          <w:p>
            <w:pPr>
              <w:spacing w:line="240" w:lineRule="exact"/>
              <w:jc w:val="center"/>
              <w:rPr>
                <w:rFonts w:eastAsiaTheme="minorEastAsia"/>
                <w:sz w:val="21"/>
                <w:szCs w:val="21"/>
              </w:rPr>
            </w:pPr>
          </w:p>
        </w:tc>
        <w:tc>
          <w:tcPr>
            <w:tcW w:w="1226" w:type="dxa"/>
            <w:vMerge w:val="continue"/>
            <w:tcBorders>
              <w:right w:val="single" w:color="auto" w:sz="4" w:space="0"/>
            </w:tcBorders>
            <w:vAlign w:val="center"/>
          </w:tcPr>
          <w:p>
            <w:pPr>
              <w:spacing w:line="240" w:lineRule="exact"/>
              <w:jc w:val="center"/>
              <w:rPr>
                <w:rFonts w:eastAsiaTheme="minorEastAsia"/>
                <w:sz w:val="21"/>
                <w:szCs w:val="21"/>
              </w:rPr>
            </w:pPr>
          </w:p>
        </w:tc>
      </w:tr>
    </w:tbl>
    <w:p>
      <w:pPr>
        <w:pStyle w:val="712"/>
        <w:spacing w:line="480" w:lineRule="exact"/>
        <w:rPr>
          <w:rFonts w:ascii="Times New Roman" w:hAnsi="Times New Roman" w:cs="Times New Roman"/>
          <w:spacing w:val="0"/>
          <w:lang w:eastAsia="zh-CN"/>
        </w:rPr>
      </w:pPr>
      <w:r>
        <w:rPr>
          <w:rFonts w:ascii="Times New Roman" w:hAnsi="Times New Roman" w:cs="Times New Roman"/>
          <w:spacing w:val="0"/>
          <w:lang w:eastAsia="zh-CN"/>
        </w:rPr>
        <w:t>（</w:t>
      </w:r>
      <w:r>
        <w:rPr>
          <w:rFonts w:hint="eastAsia" w:ascii="Times New Roman" w:hAnsi="Times New Roman" w:cs="Times New Roman"/>
          <w:spacing w:val="0"/>
          <w:lang w:eastAsia="zh-CN"/>
        </w:rPr>
        <w:t>2</w:t>
      </w:r>
      <w:r>
        <w:rPr>
          <w:rFonts w:ascii="Times New Roman" w:hAnsi="Times New Roman" w:cs="Times New Roman"/>
          <w:spacing w:val="0"/>
          <w:lang w:eastAsia="zh-CN"/>
        </w:rPr>
        <w:t>）</w:t>
      </w:r>
      <w:r>
        <w:rPr>
          <w:rFonts w:hint="eastAsia" w:ascii="Times New Roman" w:hAnsi="Times New Roman" w:cs="Times New Roman"/>
          <w:spacing w:val="0"/>
          <w:lang w:eastAsia="zh-CN"/>
        </w:rPr>
        <w:t>天然气燃烧废气</w:t>
      </w:r>
    </w:p>
    <w:p>
      <w:pPr>
        <w:pStyle w:val="712"/>
        <w:spacing w:line="460" w:lineRule="exact"/>
        <w:rPr>
          <w:rFonts w:ascii="Times New Roman" w:hAnsi="Times New Roman" w:cs="Times New Roman"/>
          <w:spacing w:val="0"/>
        </w:rPr>
      </w:pPr>
      <w:r>
        <w:rPr>
          <w:rFonts w:hint="eastAsia" w:ascii="Times New Roman" w:hAnsi="Times New Roman" w:cs="Times New Roman"/>
          <w:spacing w:val="0"/>
          <w:lang w:eastAsia="zh-CN"/>
        </w:rPr>
        <w:t>炼钢一厂、</w:t>
      </w:r>
      <w:r>
        <w:rPr>
          <w:rFonts w:ascii="Times New Roman" w:hAnsi="Times New Roman" w:cs="Times New Roman"/>
          <w:spacing w:val="0"/>
          <w:lang w:eastAsia="zh-CN"/>
        </w:rPr>
        <w:t>炼钢二厂</w:t>
      </w:r>
      <w:r>
        <w:rPr>
          <w:rFonts w:hint="eastAsia" w:ascii="Times New Roman" w:hAnsi="Times New Roman" w:cs="Times New Roman"/>
          <w:spacing w:val="0"/>
        </w:rPr>
        <w:t>钢包烘烤</w:t>
      </w:r>
      <w:r>
        <w:rPr>
          <w:rFonts w:hint="eastAsia" w:ascii="Times New Roman" w:hAnsi="Times New Roman" w:cs="Times New Roman"/>
          <w:spacing w:val="0"/>
          <w:lang w:eastAsia="zh-CN"/>
        </w:rPr>
        <w:t>、中间罐烘烤</w:t>
      </w:r>
      <w:r>
        <w:rPr>
          <w:rFonts w:hint="eastAsia" w:ascii="Times New Roman" w:hAnsi="Times New Roman" w:cs="Times New Roman"/>
          <w:spacing w:val="0"/>
        </w:rPr>
        <w:t>天然气燃烧废气</w:t>
      </w:r>
      <w:r>
        <w:rPr>
          <w:rFonts w:hint="eastAsia" w:ascii="Times New Roman" w:hAnsi="Times New Roman" w:cs="Times New Roman"/>
          <w:spacing w:val="0"/>
          <w:lang w:eastAsia="zh-CN"/>
        </w:rPr>
        <w:t>均无组织排放，废气</w:t>
      </w:r>
      <w:r>
        <w:rPr>
          <w:rFonts w:ascii="Times New Roman" w:hAnsi="Times New Roman" w:cs="Times New Roman"/>
          <w:spacing w:val="0"/>
        </w:rPr>
        <w:t>排放执行《大气污染物综合排放标准》（GB16297-1996）中新污染源</w:t>
      </w:r>
      <w:r>
        <w:rPr>
          <w:rFonts w:eastAsiaTheme="minorEastAsia"/>
          <w:szCs w:val="24"/>
        </w:rPr>
        <w:t>无组织排放监控点浓度限值</w:t>
      </w:r>
      <w:r>
        <w:rPr>
          <w:rFonts w:hint="eastAsia" w:ascii="Times New Roman" w:hAnsi="Times New Roman" w:cs="Times New Roman"/>
          <w:spacing w:val="0"/>
          <w:lang w:eastAsia="zh-CN"/>
        </w:rPr>
        <w:t>，</w:t>
      </w:r>
      <w:r>
        <w:rPr>
          <w:rFonts w:ascii="Times New Roman" w:hAnsi="Times New Roman" w:cs="Times New Roman"/>
          <w:spacing w:val="0"/>
        </w:rPr>
        <w:t>详见</w:t>
      </w:r>
      <w:r>
        <w:rPr>
          <w:rFonts w:hint="eastAsia" w:ascii="Times New Roman" w:hAnsi="Times New Roman" w:cs="Times New Roman"/>
          <w:spacing w:val="0"/>
          <w:lang w:eastAsia="zh-CN"/>
        </w:rPr>
        <w:t>2-1</w:t>
      </w:r>
      <w:r>
        <w:rPr>
          <w:rFonts w:ascii="Times New Roman" w:hAnsi="Times New Roman" w:cs="Times New Roman"/>
          <w:spacing w:val="0"/>
          <w:lang w:eastAsia="zh-CN"/>
        </w:rPr>
        <w:t>2</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rPr>
        <w:t>《大气污染物综合排放标准》（GB16297-1996）</w:t>
      </w:r>
    </w:p>
    <w:tbl>
      <w:tblPr>
        <w:tblStyle w:val="87"/>
        <w:tblW w:w="87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8"/>
        <w:gridCol w:w="1736"/>
        <w:gridCol w:w="2151"/>
        <w:gridCol w:w="1327"/>
        <w:gridCol w:w="989"/>
        <w:gridCol w:w="1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73" w:hRule="exact"/>
        </w:trPr>
        <w:tc>
          <w:tcPr>
            <w:tcW w:w="1338" w:type="dxa"/>
            <w:vMerge w:val="restart"/>
            <w:vAlign w:val="center"/>
          </w:tcPr>
          <w:p>
            <w:pPr>
              <w:spacing w:line="240" w:lineRule="exact"/>
              <w:jc w:val="center"/>
              <w:rPr>
                <w:rFonts w:eastAsiaTheme="minorEastAsia"/>
                <w:sz w:val="21"/>
                <w:szCs w:val="21"/>
              </w:rPr>
            </w:pPr>
            <w:r>
              <w:rPr>
                <w:rFonts w:eastAsiaTheme="minorEastAsia"/>
                <w:sz w:val="21"/>
                <w:szCs w:val="21"/>
              </w:rPr>
              <w:t>污染物</w:t>
            </w:r>
          </w:p>
        </w:tc>
        <w:tc>
          <w:tcPr>
            <w:tcW w:w="1736" w:type="dxa"/>
            <w:vMerge w:val="restart"/>
            <w:vAlign w:val="center"/>
          </w:tcPr>
          <w:p>
            <w:pPr>
              <w:spacing w:line="240" w:lineRule="exact"/>
              <w:jc w:val="center"/>
              <w:rPr>
                <w:rFonts w:eastAsiaTheme="minorEastAsia"/>
                <w:sz w:val="21"/>
                <w:szCs w:val="21"/>
              </w:rPr>
            </w:pPr>
            <w:r>
              <w:rPr>
                <w:rFonts w:eastAsiaTheme="minorEastAsia"/>
                <w:sz w:val="21"/>
                <w:szCs w:val="21"/>
              </w:rPr>
              <w:t>最高允许排放浓度（mg/m</w:t>
            </w:r>
            <w:r>
              <w:rPr>
                <w:rFonts w:eastAsiaTheme="minorEastAsia"/>
                <w:sz w:val="21"/>
                <w:szCs w:val="21"/>
                <w:vertAlign w:val="superscript"/>
              </w:rPr>
              <w:t>3</w:t>
            </w:r>
            <w:r>
              <w:rPr>
                <w:rFonts w:eastAsiaTheme="minorEastAsia"/>
                <w:sz w:val="21"/>
                <w:szCs w:val="21"/>
              </w:rPr>
              <w:t>）</w:t>
            </w:r>
          </w:p>
        </w:tc>
        <w:tc>
          <w:tcPr>
            <w:tcW w:w="3478" w:type="dxa"/>
            <w:gridSpan w:val="2"/>
            <w:vAlign w:val="center"/>
          </w:tcPr>
          <w:p>
            <w:pPr>
              <w:spacing w:line="240" w:lineRule="exact"/>
              <w:jc w:val="center"/>
              <w:rPr>
                <w:rFonts w:eastAsiaTheme="minorEastAsia"/>
                <w:sz w:val="21"/>
                <w:szCs w:val="21"/>
              </w:rPr>
            </w:pPr>
            <w:r>
              <w:rPr>
                <w:rFonts w:eastAsiaTheme="minorEastAsia"/>
                <w:sz w:val="21"/>
                <w:szCs w:val="21"/>
              </w:rPr>
              <w:t>最高允许排放速率（kg/h）</w:t>
            </w:r>
          </w:p>
        </w:tc>
        <w:tc>
          <w:tcPr>
            <w:tcW w:w="2215" w:type="dxa"/>
            <w:gridSpan w:val="2"/>
            <w:vMerge w:val="restart"/>
            <w:tcBorders>
              <w:right w:val="single" w:color="auto" w:sz="4" w:space="0"/>
            </w:tcBorders>
            <w:vAlign w:val="center"/>
          </w:tcPr>
          <w:p>
            <w:pPr>
              <w:spacing w:line="240" w:lineRule="exact"/>
              <w:jc w:val="center"/>
              <w:rPr>
                <w:rFonts w:eastAsiaTheme="minorEastAsia"/>
                <w:sz w:val="21"/>
                <w:szCs w:val="21"/>
              </w:rPr>
            </w:pPr>
            <w:r>
              <w:rPr>
                <w:rFonts w:eastAsiaTheme="minorEastAsia"/>
                <w:sz w:val="21"/>
                <w:szCs w:val="21"/>
              </w:rPr>
              <w:t>无组织排放监控点浓度限值（mg/m</w:t>
            </w:r>
            <w:r>
              <w:rPr>
                <w:rFonts w:eastAsiaTheme="minorEastAsia"/>
                <w:sz w:val="21"/>
                <w:szCs w:val="21"/>
                <w:vertAlign w:val="superscript"/>
              </w:rPr>
              <w:t>3</w:t>
            </w:r>
            <w:r>
              <w:rPr>
                <w:rFonts w:eastAsiaTheme="minorEastAsia"/>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5" w:hRule="exact"/>
        </w:trPr>
        <w:tc>
          <w:tcPr>
            <w:tcW w:w="1338" w:type="dxa"/>
            <w:vMerge w:val="continue"/>
            <w:tcBorders>
              <w:bottom w:val="single" w:color="auto" w:sz="4" w:space="0"/>
            </w:tcBorders>
            <w:vAlign w:val="center"/>
          </w:tcPr>
          <w:p>
            <w:pPr>
              <w:spacing w:line="240" w:lineRule="exact"/>
              <w:jc w:val="center"/>
              <w:rPr>
                <w:rFonts w:eastAsiaTheme="minorEastAsia"/>
                <w:sz w:val="21"/>
                <w:szCs w:val="21"/>
              </w:rPr>
            </w:pPr>
          </w:p>
        </w:tc>
        <w:tc>
          <w:tcPr>
            <w:tcW w:w="1736" w:type="dxa"/>
            <w:vMerge w:val="continue"/>
            <w:vAlign w:val="center"/>
          </w:tcPr>
          <w:p>
            <w:pPr>
              <w:spacing w:line="240" w:lineRule="exact"/>
              <w:jc w:val="center"/>
              <w:rPr>
                <w:rFonts w:eastAsiaTheme="minorEastAsia"/>
                <w:sz w:val="21"/>
                <w:szCs w:val="21"/>
              </w:rPr>
            </w:pPr>
          </w:p>
        </w:tc>
        <w:tc>
          <w:tcPr>
            <w:tcW w:w="2151" w:type="dxa"/>
            <w:vAlign w:val="center"/>
          </w:tcPr>
          <w:p>
            <w:pPr>
              <w:spacing w:line="240" w:lineRule="exact"/>
              <w:jc w:val="center"/>
              <w:rPr>
                <w:rFonts w:eastAsiaTheme="minorEastAsia"/>
                <w:sz w:val="21"/>
                <w:szCs w:val="21"/>
              </w:rPr>
            </w:pPr>
            <w:r>
              <w:rPr>
                <w:rFonts w:eastAsiaTheme="minorEastAsia"/>
                <w:sz w:val="21"/>
                <w:szCs w:val="21"/>
              </w:rPr>
              <w:t>排气筒高度(m)</w:t>
            </w:r>
          </w:p>
        </w:tc>
        <w:tc>
          <w:tcPr>
            <w:tcW w:w="1327" w:type="dxa"/>
            <w:vAlign w:val="center"/>
          </w:tcPr>
          <w:p>
            <w:pPr>
              <w:spacing w:line="240" w:lineRule="exact"/>
              <w:jc w:val="center"/>
              <w:rPr>
                <w:rFonts w:eastAsiaTheme="minorEastAsia"/>
                <w:sz w:val="21"/>
                <w:szCs w:val="21"/>
              </w:rPr>
            </w:pPr>
            <w:r>
              <w:rPr>
                <w:rFonts w:eastAsiaTheme="minorEastAsia"/>
                <w:sz w:val="21"/>
                <w:szCs w:val="21"/>
              </w:rPr>
              <w:t>二级</w:t>
            </w:r>
          </w:p>
        </w:tc>
        <w:tc>
          <w:tcPr>
            <w:tcW w:w="2215" w:type="dxa"/>
            <w:gridSpan w:val="2"/>
            <w:vMerge w:val="continue"/>
            <w:tcBorders>
              <w:right w:val="single" w:color="auto" w:sz="4" w:space="0"/>
            </w:tcBorders>
            <w:vAlign w:val="center"/>
          </w:tcPr>
          <w:p>
            <w:pPr>
              <w:spacing w:line="240" w:lineRule="exact"/>
              <w:jc w:val="center"/>
              <w:rPr>
                <w:rFonts w:eastAsia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tcBorders>
              <w:top w:val="single" w:color="auto" w:sz="4" w:space="0"/>
            </w:tcBorders>
            <w:vAlign w:val="center"/>
          </w:tcPr>
          <w:p>
            <w:pPr>
              <w:spacing w:line="240" w:lineRule="exact"/>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p>
        </w:tc>
        <w:tc>
          <w:tcPr>
            <w:tcW w:w="1736"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2151"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89" w:type="dxa"/>
            <w:vMerge w:val="restart"/>
            <w:vAlign w:val="center"/>
          </w:tcPr>
          <w:p>
            <w:pPr>
              <w:spacing w:line="240" w:lineRule="exact"/>
              <w:jc w:val="center"/>
              <w:rPr>
                <w:rFonts w:eastAsiaTheme="minorEastAsia"/>
                <w:sz w:val="21"/>
                <w:szCs w:val="21"/>
              </w:rPr>
            </w:pPr>
            <w:r>
              <w:rPr>
                <w:rFonts w:eastAsiaTheme="minorEastAsia"/>
                <w:sz w:val="21"/>
                <w:szCs w:val="21"/>
              </w:rPr>
              <w:t>周界外浓度最高点</w:t>
            </w:r>
          </w:p>
        </w:tc>
        <w:tc>
          <w:tcPr>
            <w:tcW w:w="1226" w:type="dxa"/>
            <w:tcBorders>
              <w:right w:val="single" w:color="auto" w:sz="4" w:space="0"/>
            </w:tcBorders>
            <w:vAlign w:val="center"/>
          </w:tcPr>
          <w:p>
            <w:pPr>
              <w:spacing w:line="240" w:lineRule="exact"/>
              <w:jc w:val="center"/>
              <w:rPr>
                <w:rFonts w:eastAsiaTheme="minorEastAsia"/>
                <w:sz w:val="21"/>
                <w:szCs w:val="21"/>
              </w:rPr>
            </w:pPr>
            <w:r>
              <w:rPr>
                <w:rFonts w:eastAsiaTheme="minorEastAsia"/>
                <w:sz w:val="21"/>
                <w:szCs w:val="21"/>
              </w:rPr>
              <w:t>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Align w:val="center"/>
          </w:tcPr>
          <w:p>
            <w:pPr>
              <w:spacing w:line="240" w:lineRule="exact"/>
              <w:ind w:left="-141" w:leftChars="-50" w:right="-141" w:rightChars="-50"/>
              <w:jc w:val="center"/>
              <w:rPr>
                <w:rFonts w:eastAsiaTheme="minorEastAsia"/>
                <w:sz w:val="21"/>
                <w:szCs w:val="21"/>
              </w:rPr>
            </w:pPr>
            <w:r>
              <w:rPr>
                <w:rFonts w:eastAsiaTheme="minorEastAsia"/>
                <w:sz w:val="21"/>
                <w:szCs w:val="21"/>
              </w:rPr>
              <w:t>NOx</w:t>
            </w:r>
          </w:p>
        </w:tc>
        <w:tc>
          <w:tcPr>
            <w:tcW w:w="1736"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2151"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89" w:type="dxa"/>
            <w:vMerge w:val="continue"/>
            <w:vAlign w:val="center"/>
          </w:tcPr>
          <w:p>
            <w:pPr>
              <w:spacing w:line="240" w:lineRule="exact"/>
              <w:jc w:val="center"/>
              <w:rPr>
                <w:rFonts w:eastAsiaTheme="minorEastAsia"/>
                <w:sz w:val="21"/>
                <w:szCs w:val="21"/>
              </w:rPr>
            </w:pPr>
          </w:p>
        </w:tc>
        <w:tc>
          <w:tcPr>
            <w:tcW w:w="1226" w:type="dxa"/>
            <w:tcBorders>
              <w:right w:val="single" w:color="auto" w:sz="4" w:space="0"/>
            </w:tcBorders>
            <w:vAlign w:val="center"/>
          </w:tcPr>
          <w:p>
            <w:pPr>
              <w:spacing w:line="240" w:lineRule="exact"/>
              <w:jc w:val="center"/>
              <w:rPr>
                <w:rFonts w:eastAsiaTheme="minorEastAsia"/>
                <w:sz w:val="21"/>
                <w:szCs w:val="21"/>
              </w:rPr>
            </w:pPr>
            <w:r>
              <w:rPr>
                <w:rFonts w:eastAsiaTheme="minorEastAsia"/>
                <w:sz w:val="21"/>
                <w:szCs w:val="21"/>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exact"/>
        </w:trPr>
        <w:tc>
          <w:tcPr>
            <w:tcW w:w="1338" w:type="dxa"/>
            <w:vAlign w:val="center"/>
          </w:tcPr>
          <w:p>
            <w:pPr>
              <w:spacing w:line="240" w:lineRule="exact"/>
              <w:jc w:val="center"/>
              <w:rPr>
                <w:rFonts w:eastAsiaTheme="minorEastAsia"/>
                <w:sz w:val="21"/>
                <w:szCs w:val="21"/>
              </w:rPr>
            </w:pPr>
            <w:r>
              <w:rPr>
                <w:rFonts w:eastAsiaTheme="minorEastAsia"/>
                <w:sz w:val="21"/>
                <w:szCs w:val="21"/>
              </w:rPr>
              <w:t>颗粒物</w:t>
            </w:r>
          </w:p>
        </w:tc>
        <w:tc>
          <w:tcPr>
            <w:tcW w:w="1736"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2151"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27"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89" w:type="dxa"/>
            <w:vMerge w:val="continue"/>
            <w:vAlign w:val="center"/>
          </w:tcPr>
          <w:p>
            <w:pPr>
              <w:spacing w:line="240" w:lineRule="exact"/>
              <w:jc w:val="center"/>
              <w:rPr>
                <w:rFonts w:eastAsiaTheme="minorEastAsia"/>
                <w:sz w:val="21"/>
                <w:szCs w:val="21"/>
              </w:rPr>
            </w:pPr>
          </w:p>
        </w:tc>
        <w:tc>
          <w:tcPr>
            <w:tcW w:w="1226" w:type="dxa"/>
            <w:tcBorders>
              <w:right w:val="single" w:color="auto" w:sz="4" w:space="0"/>
            </w:tcBorders>
            <w:vAlign w:val="center"/>
          </w:tcPr>
          <w:p>
            <w:pPr>
              <w:spacing w:line="240" w:lineRule="exact"/>
              <w:jc w:val="center"/>
              <w:rPr>
                <w:rFonts w:eastAsiaTheme="minorEastAsia"/>
                <w:sz w:val="21"/>
                <w:szCs w:val="21"/>
              </w:rPr>
            </w:pPr>
            <w:r>
              <w:rPr>
                <w:rFonts w:eastAsiaTheme="minorEastAsia"/>
                <w:sz w:val="21"/>
                <w:szCs w:val="21"/>
              </w:rPr>
              <w:t>1.0</w:t>
            </w:r>
          </w:p>
        </w:tc>
      </w:tr>
    </w:tbl>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（3）轧钢厂轧钢加热炉、固溶炉废气、精整</w:t>
      </w:r>
      <w:r>
        <w:rPr>
          <w:rFonts w:ascii="Times New Roman" w:hAnsi="Times New Roman" w:cs="Times New Roman"/>
          <w:spacing w:val="0"/>
          <w:lang w:eastAsia="zh-CN"/>
        </w:rPr>
        <w:t>酸洗车间</w:t>
      </w:r>
      <w:r>
        <w:rPr>
          <w:rFonts w:hint="eastAsia" w:ascii="Times New Roman" w:hAnsi="Times New Roman" w:cs="Times New Roman"/>
          <w:spacing w:val="0"/>
          <w:lang w:eastAsia="zh-CN"/>
        </w:rPr>
        <w:t>酸洗废气</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企业现状轧钢加热炉、固溶炉废气、精整</w:t>
      </w:r>
      <w:r>
        <w:rPr>
          <w:rFonts w:ascii="Times New Roman" w:hAnsi="Times New Roman" w:cs="Times New Roman"/>
          <w:spacing w:val="0"/>
          <w:lang w:eastAsia="zh-CN"/>
        </w:rPr>
        <w:t>酸洗车间</w:t>
      </w:r>
      <w:r>
        <w:rPr>
          <w:rFonts w:hint="eastAsia" w:ascii="Times New Roman" w:hAnsi="Times New Roman" w:cs="Times New Roman"/>
          <w:spacing w:val="0"/>
          <w:lang w:eastAsia="zh-CN"/>
        </w:rPr>
        <w:t>酸洗废气排放执行</w:t>
      </w:r>
      <w:r>
        <w:rPr>
          <w:rFonts w:hint="eastAsia" w:ascii="Times New Roman" w:hAnsi="Times New Roman" w:cs="Times New Roman"/>
          <w:spacing w:val="0"/>
        </w:rPr>
        <w:t>《轧钢工业大气污染物排放标准》(GB28665-2012)表3中相关的特别排放限值</w:t>
      </w:r>
      <w:r>
        <w:rPr>
          <w:rFonts w:hint="eastAsia" w:ascii="Times New Roman" w:hAnsi="Times New Roman" w:cs="Times New Roman"/>
          <w:spacing w:val="0"/>
          <w:lang w:eastAsia="zh-CN"/>
        </w:rPr>
        <w:t>及表4厂界无组织排放标准，酸洗</w:t>
      </w:r>
      <w:r>
        <w:rPr>
          <w:rFonts w:ascii="Times New Roman" w:hAnsi="Times New Roman" w:cs="Times New Roman"/>
          <w:spacing w:val="0"/>
          <w:lang w:eastAsia="zh-CN"/>
        </w:rPr>
        <w:t>车间</w:t>
      </w:r>
      <w:r>
        <w:rPr>
          <w:rFonts w:hint="eastAsia" w:ascii="Times New Roman" w:hAnsi="Times New Roman" w:cs="Times New Roman"/>
          <w:spacing w:val="0"/>
          <w:lang w:eastAsia="zh-CN"/>
        </w:rPr>
        <w:t>HF无组织排放</w:t>
      </w:r>
      <w:r>
        <w:rPr>
          <w:rFonts w:ascii="Times New Roman" w:hAnsi="Times New Roman" w:cs="Times New Roman"/>
          <w:spacing w:val="0"/>
          <w:lang w:eastAsia="zh-CN"/>
        </w:rPr>
        <w:t>参照执行</w:t>
      </w:r>
      <w:r>
        <w:rPr>
          <w:rFonts w:hint="eastAsia" w:ascii="Times New Roman" w:hAnsi="Times New Roman" w:cs="Times New Roman"/>
          <w:spacing w:val="0"/>
          <w:lang w:eastAsia="zh-CN"/>
        </w:rPr>
        <w:t>《</w:t>
      </w:r>
      <w:r>
        <w:rPr>
          <w:rFonts w:ascii="Times New Roman" w:hAnsi="Times New Roman" w:cs="Times New Roman"/>
          <w:spacing w:val="0"/>
        </w:rPr>
        <w:t>大气污染物综合排放标准》（GB16297-1996）中新污染源二级排放标准</w:t>
      </w:r>
      <w:r>
        <w:rPr>
          <w:rFonts w:hint="eastAsia" w:ascii="Times New Roman" w:hAnsi="Times New Roman" w:cs="Times New Roman"/>
          <w:spacing w:val="0"/>
          <w:lang w:eastAsia="zh-CN"/>
        </w:rPr>
        <w:t>，</w:t>
      </w:r>
      <w:r>
        <w:rPr>
          <w:rFonts w:hint="eastAsia" w:ascii="Times New Roman" w:hAnsi="Times New Roman" w:cs="Times New Roman"/>
          <w:spacing w:val="0"/>
        </w:rPr>
        <w:t>《轧钢工业大气污染物排放标准》(GB28665-2012)</w:t>
      </w:r>
      <w:r>
        <w:rPr>
          <w:rFonts w:hint="eastAsia" w:ascii="Times New Roman" w:hAnsi="Times New Roman" w:cs="Times New Roman"/>
          <w:spacing w:val="0"/>
          <w:lang w:eastAsia="zh-CN"/>
        </w:rPr>
        <w:t>详见表2-1</w:t>
      </w:r>
      <w:r>
        <w:rPr>
          <w:rFonts w:ascii="Times New Roman" w:hAnsi="Times New Roman" w:cs="Times New Roman"/>
          <w:spacing w:val="0"/>
          <w:lang w:eastAsia="zh-CN"/>
        </w:rPr>
        <w:t>3</w:t>
      </w:r>
      <w:r>
        <w:rPr>
          <w:rFonts w:hint="eastAsia" w:ascii="Times New Roman" w:hAnsi="Times New Roman" w:cs="Times New Roman"/>
          <w:spacing w:val="0"/>
          <w:lang w:eastAsia="zh-CN"/>
        </w:rPr>
        <w:t>。</w:t>
      </w:r>
    </w:p>
    <w:p>
      <w:pPr>
        <w:pStyle w:val="313"/>
        <w:tabs>
          <w:tab w:val="clear" w:pos="3908"/>
        </w:tabs>
        <w:ind w:left="1122" w:hanging="561"/>
        <w:rPr>
          <w:rFonts w:ascii="Times New Roman" w:hAnsi="Times New Roman"/>
        </w:rPr>
      </w:pPr>
      <w:r>
        <w:rPr>
          <w:rFonts w:hint="eastAsia" w:ascii="Times New Roman" w:hAnsi="Times New Roman"/>
        </w:rPr>
        <w:t>《轧钢工业大气污染物排放标准》(GB28665-2012)</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203"/>
        <w:gridCol w:w="2760"/>
        <w:gridCol w:w="1120"/>
        <w:gridCol w:w="1492"/>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序号</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污染物项目</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生产工序或设施</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限值(mg/m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p>
        </w:tc>
        <w:tc>
          <w:tcPr>
            <w:tcW w:w="1492"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污染物排放监控位置</w:t>
            </w:r>
          </w:p>
        </w:tc>
        <w:tc>
          <w:tcPr>
            <w:tcW w:w="15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w:t>
            </w:r>
          </w:p>
        </w:tc>
        <w:tc>
          <w:tcPr>
            <w:tcW w:w="1203"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颗粒物</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热轧精轧机</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w:t>
            </w:r>
          </w:p>
        </w:tc>
        <w:tc>
          <w:tcPr>
            <w:tcW w:w="1492"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车间或生产设施排气筒</w:t>
            </w:r>
          </w:p>
        </w:tc>
        <w:tc>
          <w:tcPr>
            <w:tcW w:w="1503"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sz w:val="21"/>
                <w:szCs w:val="21"/>
              </w:rPr>
              <w:t>GB28665-2012</w:t>
            </w:r>
            <w:r>
              <w:rPr>
                <w:rFonts w:hint="eastAsia" w:ascii="Times New Roman" w:hAnsi="Times New Roman" w:cs="Times New Roman" w:eastAsiaTheme="minorEastAsia"/>
                <w:spacing w:val="0"/>
                <w:sz w:val="21"/>
                <w:szCs w:val="21"/>
              </w:rPr>
              <w:t>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2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废酸再生</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2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热处理炉、拉矫、精整、抛丸、修磨、焊脚机及其它生产设施</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二氧化硫</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热处理炉</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N</w:t>
            </w:r>
            <w:r>
              <w:rPr>
                <w:rFonts w:ascii="Times New Roman" w:hAnsi="Times New Roman" w:cs="Times New Roman" w:eastAsiaTheme="minorEastAsia"/>
                <w:spacing w:val="0"/>
                <w:sz w:val="21"/>
                <w:szCs w:val="21"/>
              </w:rPr>
              <w:t>Ox</w:t>
            </w:r>
          </w:p>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(以NO</w:t>
            </w:r>
            <w:r>
              <w:rPr>
                <w:rFonts w:hint="eastAsia" w:ascii="Times New Roman" w:hAnsi="Times New Roman" w:cs="Times New Roman" w:eastAsiaTheme="minorEastAsia"/>
                <w:spacing w:val="0"/>
                <w:sz w:val="21"/>
                <w:szCs w:val="21"/>
                <w:vertAlign w:val="subscript"/>
              </w:rPr>
              <w:t>2</w:t>
            </w:r>
            <w:r>
              <w:rPr>
                <w:rFonts w:hint="eastAsia" w:ascii="Times New Roman" w:hAnsi="Times New Roman" w:cs="Times New Roman" w:eastAsiaTheme="minorEastAsia"/>
                <w:spacing w:val="0"/>
                <w:sz w:val="21"/>
                <w:szCs w:val="21"/>
              </w:rPr>
              <w:t>计)</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热处理炉</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300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4</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硫酸雾</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酸洗机组</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5</w:t>
            </w:r>
          </w:p>
        </w:tc>
        <w:tc>
          <w:tcPr>
            <w:tcW w:w="1203"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硝酸雾</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酸洗机组</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2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废酸再生</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240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6</w:t>
            </w:r>
          </w:p>
        </w:tc>
        <w:tc>
          <w:tcPr>
            <w:tcW w:w="1203"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氟化物</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酸洗机组</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6.0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2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废酸再生</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9.0</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7</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颗粒物</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板坯加热、磨辊作业、钢卷精整、酸再生下料</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5.0</w:t>
            </w:r>
          </w:p>
        </w:tc>
        <w:tc>
          <w:tcPr>
            <w:tcW w:w="1492"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厂界无组织</w:t>
            </w:r>
          </w:p>
        </w:tc>
        <w:tc>
          <w:tcPr>
            <w:tcW w:w="1503"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spacing w:val="0"/>
                <w:sz w:val="21"/>
                <w:szCs w:val="21"/>
              </w:rPr>
              <w:t>GB28665-2012</w:t>
            </w:r>
            <w:r>
              <w:rPr>
                <w:rFonts w:hint="eastAsia" w:ascii="Times New Roman" w:hAnsi="Times New Roman" w:cs="Times New Roman" w:eastAsiaTheme="minorEastAsia"/>
                <w:spacing w:val="0"/>
                <w:sz w:val="21"/>
                <w:szCs w:val="21"/>
              </w:rPr>
              <w:t>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8</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硫酸雾</w:t>
            </w:r>
          </w:p>
        </w:tc>
        <w:tc>
          <w:tcPr>
            <w:tcW w:w="2760" w:type="dxa"/>
            <w:vMerge w:val="restart"/>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酸洗机组及废酸再生</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1.2</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9</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硝酸雾</w:t>
            </w:r>
          </w:p>
        </w:tc>
        <w:tc>
          <w:tcPr>
            <w:tcW w:w="2760"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0.12</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10</w:t>
            </w:r>
          </w:p>
        </w:tc>
        <w:tc>
          <w:tcPr>
            <w:tcW w:w="12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HF</w:t>
            </w:r>
          </w:p>
        </w:tc>
        <w:tc>
          <w:tcPr>
            <w:tcW w:w="276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w:t>
            </w:r>
          </w:p>
        </w:tc>
        <w:tc>
          <w:tcPr>
            <w:tcW w:w="1120"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20</w:t>
            </w:r>
            <w:r>
              <w:rPr>
                <w:rFonts w:ascii="Times New Roman" w:hAnsi="Times New Roman" w:cs="Times New Roman" w:eastAsiaTheme="minorEastAsia"/>
                <w:sz w:val="21"/>
                <w:szCs w:val="21"/>
              </w:rPr>
              <w:t>µg/m</w:t>
            </w:r>
            <w:r>
              <w:rPr>
                <w:rFonts w:ascii="Times New Roman" w:hAnsi="Times New Roman" w:cs="Times New Roman" w:eastAsiaTheme="minorEastAsia"/>
                <w:sz w:val="21"/>
                <w:szCs w:val="21"/>
                <w:vertAlign w:val="superscript"/>
              </w:rPr>
              <w:t>3</w:t>
            </w:r>
          </w:p>
        </w:tc>
        <w:tc>
          <w:tcPr>
            <w:tcW w:w="1492" w:type="dxa"/>
            <w:vMerge w:val="continue"/>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p>
        </w:tc>
        <w:tc>
          <w:tcPr>
            <w:tcW w:w="1503" w:type="dxa"/>
            <w:shd w:val="clear" w:color="auto" w:fill="auto"/>
            <w:vAlign w:val="center"/>
          </w:tcPr>
          <w:p>
            <w:pPr>
              <w:pStyle w:val="4"/>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spacing w:val="0"/>
                <w:sz w:val="21"/>
                <w:szCs w:val="21"/>
              </w:rPr>
              <w:t>GB16297-1996</w:t>
            </w:r>
          </w:p>
        </w:tc>
      </w:tr>
    </w:tbl>
    <w:p>
      <w:pPr>
        <w:pStyle w:val="712"/>
        <w:spacing w:line="480" w:lineRule="exact"/>
        <w:rPr>
          <w:rFonts w:ascii="Times New Roman" w:hAnsi="Times New Roman" w:cs="Times New Roman"/>
          <w:spacing w:val="0"/>
          <w:lang w:eastAsia="zh-CN"/>
        </w:rPr>
      </w:pPr>
      <w:r>
        <w:rPr>
          <w:rFonts w:ascii="Times New Roman" w:hAnsi="Times New Roman" w:cs="Times New Roman"/>
          <w:spacing w:val="0"/>
        </w:rPr>
        <w:t>产生大气污染物的生产工艺装置必须设立局部气体收集系统和净化处理装置，达标排放。所有排气筒高度应不低于15m，排气筒周围半径200m范围内有建筑物时，排气筒高度还应高出最高建筑物3m以上</w:t>
      </w:r>
      <w:r>
        <w:rPr>
          <w:rFonts w:hint="eastAsia" w:ascii="Times New Roman" w:hAnsi="Times New Roman" w:cs="Times New Roman"/>
          <w:spacing w:val="0"/>
          <w:lang w:eastAsia="zh-CN"/>
        </w:rPr>
        <w:t>。</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（4）锅炉</w:t>
      </w:r>
      <w:r>
        <w:rPr>
          <w:rFonts w:ascii="Times New Roman" w:hAnsi="Times New Roman" w:cs="Times New Roman"/>
          <w:spacing w:val="0"/>
          <w:lang w:eastAsia="zh-CN"/>
        </w:rPr>
        <w:t>废气</w:t>
      </w:r>
    </w:p>
    <w:p>
      <w:pPr>
        <w:pStyle w:val="712"/>
        <w:spacing w:line="480" w:lineRule="exact"/>
        <w:rPr>
          <w:rFonts w:ascii="Times New Roman" w:hAnsi="Times New Roman" w:cs="Times New Roman"/>
          <w:spacing w:val="0"/>
          <w:szCs w:val="24"/>
          <w:lang w:eastAsia="zh-CN"/>
        </w:rPr>
      </w:pPr>
      <w:r>
        <w:rPr>
          <w:rFonts w:ascii="Times New Roman" w:hAnsi="Times New Roman" w:cs="Times New Roman"/>
          <w:spacing w:val="0"/>
          <w:lang w:eastAsia="zh-CN"/>
        </w:rPr>
        <w:t>企业现状设有1台3t/h天然气锅炉，锅炉废气排放</w:t>
      </w:r>
      <w:r>
        <w:rPr>
          <w:rFonts w:ascii="Times New Roman" w:hAnsi="Times New Roman" w:cs="Times New Roman"/>
          <w:spacing w:val="0"/>
        </w:rPr>
        <w:t>执行《锅炉大气污染物排放标准》(GB13271-2014)</w:t>
      </w:r>
      <w:r>
        <w:rPr>
          <w:rFonts w:ascii="Times New Roman" w:hAnsi="Times New Roman" w:cs="Times New Roman"/>
          <w:spacing w:val="0"/>
          <w:lang w:eastAsia="zh-CN"/>
        </w:rPr>
        <w:t>中燃气锅炉的</w:t>
      </w:r>
      <w:r>
        <w:rPr>
          <w:rFonts w:ascii="Times New Roman" w:hAnsi="Times New Roman" w:cs="Times New Roman"/>
          <w:spacing w:val="0"/>
        </w:rPr>
        <w:t>大气污染物特</w:t>
      </w:r>
      <w:r>
        <w:rPr>
          <w:rFonts w:ascii="Times New Roman" w:hAnsi="Times New Roman" w:cs="Times New Roman"/>
          <w:spacing w:val="0"/>
          <w:szCs w:val="24"/>
        </w:rPr>
        <w:t>别排放限值</w:t>
      </w:r>
      <w:r>
        <w:rPr>
          <w:rFonts w:ascii="Times New Roman" w:hAnsi="Times New Roman" w:cs="Times New Roman"/>
          <w:spacing w:val="0"/>
          <w:szCs w:val="24"/>
          <w:lang w:eastAsia="zh-CN"/>
        </w:rPr>
        <w:t>。另外</w:t>
      </w:r>
      <w:r>
        <w:rPr>
          <w:rFonts w:ascii="Times New Roman" w:hAnsi="Times New Roman" w:cs="Times New Roman" w:eastAsiaTheme="minorEastAsia"/>
          <w:spacing w:val="0"/>
          <w:szCs w:val="24"/>
        </w:rPr>
        <w:t>根据</w:t>
      </w:r>
      <w:r>
        <w:rPr>
          <w:rFonts w:hint="eastAsia" w:ascii="Times New Roman" w:hAnsi="Times New Roman" w:cs="Times New Roman" w:eastAsiaTheme="minorEastAsia"/>
          <w:spacing w:val="0"/>
          <w:szCs w:val="24"/>
          <w:lang w:eastAsia="zh-CN"/>
        </w:rPr>
        <w:t>湖政办发明</w:t>
      </w:r>
      <w:r>
        <w:rPr>
          <w:rFonts w:ascii="Times New Roman" w:hAnsi="Times New Roman" w:cs="Times New Roman" w:eastAsiaTheme="minorEastAsia"/>
          <w:spacing w:val="0"/>
          <w:szCs w:val="24"/>
          <w:lang w:eastAsia="zh-CN"/>
        </w:rPr>
        <w:t>电</w:t>
      </w:r>
      <w:r>
        <w:rPr>
          <w:rFonts w:ascii="Times New Roman" w:hAnsi="Times New Roman" w:cs="Times New Roman" w:eastAsiaTheme="minorEastAsia"/>
          <w:spacing w:val="0"/>
          <w:szCs w:val="24"/>
        </w:rPr>
        <w:t>[2018]62文《</w:t>
      </w:r>
      <w:r>
        <w:rPr>
          <w:rFonts w:hint="eastAsia" w:ascii="Times New Roman" w:hAnsi="Times New Roman" w:cs="Times New Roman" w:eastAsiaTheme="minorEastAsia"/>
          <w:spacing w:val="0"/>
          <w:szCs w:val="24"/>
          <w:lang w:eastAsia="zh-CN"/>
        </w:rPr>
        <w:t>湖州市人民</w:t>
      </w:r>
      <w:r>
        <w:rPr>
          <w:rFonts w:ascii="Times New Roman" w:hAnsi="Times New Roman" w:cs="Times New Roman" w:eastAsiaTheme="minorEastAsia"/>
          <w:spacing w:val="0"/>
          <w:szCs w:val="24"/>
          <w:lang w:eastAsia="zh-CN"/>
        </w:rPr>
        <w:t>政府办公室关于印发湖州市锅炉专项整治提升工作</w:t>
      </w:r>
      <w:r>
        <w:rPr>
          <w:rFonts w:ascii="Times New Roman" w:hAnsi="Times New Roman" w:cs="Times New Roman" w:eastAsiaTheme="minorEastAsia"/>
          <w:spacing w:val="0"/>
          <w:szCs w:val="24"/>
        </w:rPr>
        <w:t>方案的通知》：</w:t>
      </w:r>
      <w:r>
        <w:rPr>
          <w:rFonts w:hint="eastAsia" w:ascii="Times New Roman" w:hAnsi="Times New Roman" w:cs="Times New Roman" w:eastAsiaTheme="minorEastAsia"/>
          <w:spacing w:val="0"/>
          <w:szCs w:val="24"/>
          <w:lang w:eastAsia="zh-CN"/>
        </w:rPr>
        <w:t>“逐步</w:t>
      </w:r>
      <w:r>
        <w:rPr>
          <w:rFonts w:ascii="Times New Roman" w:hAnsi="Times New Roman" w:cs="Times New Roman" w:eastAsiaTheme="minorEastAsia"/>
          <w:spacing w:val="0"/>
          <w:szCs w:val="24"/>
        </w:rPr>
        <w:t>推进燃气锅炉低氮</w:t>
      </w:r>
      <w:r>
        <w:rPr>
          <w:rFonts w:hint="eastAsia" w:ascii="Times New Roman" w:hAnsi="Times New Roman" w:cs="Times New Roman" w:eastAsiaTheme="minorEastAsia"/>
          <w:spacing w:val="0"/>
          <w:szCs w:val="24"/>
          <w:lang w:eastAsia="zh-CN"/>
        </w:rPr>
        <w:t>排放</w:t>
      </w:r>
      <w:r>
        <w:rPr>
          <w:rFonts w:ascii="Times New Roman" w:hAnsi="Times New Roman" w:cs="Times New Roman" w:eastAsiaTheme="minorEastAsia"/>
          <w:spacing w:val="0"/>
          <w:szCs w:val="24"/>
        </w:rPr>
        <w:t>改造，2019年12月底前，</w:t>
      </w:r>
      <w:r>
        <w:rPr>
          <w:rFonts w:hint="eastAsia" w:ascii="Times New Roman" w:hAnsi="Times New Roman" w:cs="Times New Roman" w:eastAsiaTheme="minorEastAsia"/>
          <w:spacing w:val="0"/>
          <w:szCs w:val="24"/>
          <w:lang w:eastAsia="zh-CN"/>
        </w:rPr>
        <w:t>2蒸吨/小时</w:t>
      </w:r>
      <w:r>
        <w:rPr>
          <w:rFonts w:ascii="Times New Roman" w:hAnsi="Times New Roman" w:cs="Times New Roman" w:eastAsiaTheme="minorEastAsia"/>
          <w:spacing w:val="0"/>
          <w:szCs w:val="24"/>
          <w:lang w:eastAsia="zh-CN"/>
        </w:rPr>
        <w:t>以上</w:t>
      </w:r>
      <w:r>
        <w:rPr>
          <w:rFonts w:hint="eastAsia" w:ascii="Times New Roman" w:hAnsi="Times New Roman" w:cs="Times New Roman" w:eastAsiaTheme="minorEastAsia"/>
          <w:spacing w:val="0"/>
          <w:szCs w:val="24"/>
          <w:lang w:eastAsia="zh-CN"/>
        </w:rPr>
        <w:t>N</w:t>
      </w:r>
      <w:r>
        <w:rPr>
          <w:rFonts w:ascii="Times New Roman" w:hAnsi="Times New Roman" w:cs="Times New Roman" w:eastAsiaTheme="minorEastAsia"/>
          <w:spacing w:val="0"/>
          <w:szCs w:val="24"/>
          <w:lang w:eastAsia="zh-CN"/>
        </w:rPr>
        <w:t>Ox浓度</w:t>
      </w:r>
      <w:r>
        <w:rPr>
          <w:rFonts w:hint="eastAsia" w:ascii="Times New Roman" w:hAnsi="Times New Roman" w:cs="Times New Roman" w:eastAsiaTheme="minorEastAsia"/>
          <w:spacing w:val="0"/>
          <w:szCs w:val="24"/>
          <w:lang w:eastAsia="zh-CN"/>
        </w:rPr>
        <w:t>超过</w:t>
      </w:r>
      <w:r>
        <w:rPr>
          <w:rFonts w:ascii="Times New Roman" w:hAnsi="Times New Roman" w:cs="Times New Roman" w:eastAsiaTheme="minorEastAsia"/>
          <w:spacing w:val="0"/>
          <w:szCs w:val="24"/>
        </w:rPr>
        <w:t>50mg/m</w:t>
      </w:r>
      <w:r>
        <w:rPr>
          <w:rFonts w:ascii="Times New Roman" w:hAnsi="Times New Roman" w:cs="Times New Roman" w:eastAsiaTheme="minorEastAsia"/>
          <w:spacing w:val="0"/>
          <w:szCs w:val="24"/>
          <w:vertAlign w:val="superscript"/>
        </w:rPr>
        <w:t>3</w:t>
      </w:r>
      <w:r>
        <w:rPr>
          <w:rFonts w:hint="eastAsia" w:ascii="Times New Roman" w:hAnsi="Times New Roman" w:cs="Times New Roman" w:eastAsiaTheme="minorEastAsia"/>
          <w:spacing w:val="0"/>
          <w:szCs w:val="24"/>
          <w:lang w:eastAsia="zh-CN"/>
        </w:rPr>
        <w:t>的</w:t>
      </w:r>
      <w:r>
        <w:rPr>
          <w:rFonts w:ascii="Times New Roman" w:hAnsi="Times New Roman" w:cs="Times New Roman" w:eastAsiaTheme="minorEastAsia"/>
          <w:spacing w:val="0"/>
          <w:szCs w:val="24"/>
          <w:lang w:eastAsia="zh-CN"/>
        </w:rPr>
        <w:t>天然气锅炉基本完成</w:t>
      </w:r>
      <w:r>
        <w:rPr>
          <w:rFonts w:hint="eastAsia" w:ascii="Times New Roman" w:hAnsi="Times New Roman" w:cs="Times New Roman" w:eastAsiaTheme="minorEastAsia"/>
          <w:spacing w:val="0"/>
          <w:szCs w:val="24"/>
          <w:lang w:eastAsia="zh-CN"/>
        </w:rPr>
        <w:t>低氮</w:t>
      </w:r>
      <w:r>
        <w:rPr>
          <w:rFonts w:ascii="Times New Roman" w:hAnsi="Times New Roman" w:cs="Times New Roman" w:eastAsiaTheme="minorEastAsia"/>
          <w:spacing w:val="0"/>
          <w:szCs w:val="24"/>
          <w:lang w:eastAsia="zh-CN"/>
        </w:rPr>
        <w:t>排放改造；</w:t>
      </w:r>
      <w:r>
        <w:rPr>
          <w:rFonts w:hint="eastAsia" w:ascii="Times New Roman" w:hAnsi="Times New Roman" w:cs="Times New Roman" w:eastAsiaTheme="minorEastAsia"/>
          <w:spacing w:val="0"/>
          <w:szCs w:val="24"/>
          <w:lang w:eastAsia="zh-CN"/>
        </w:rPr>
        <w:t>2020年</w:t>
      </w:r>
      <w:r>
        <w:rPr>
          <w:rFonts w:ascii="Times New Roman" w:hAnsi="Times New Roman" w:cs="Times New Roman" w:eastAsiaTheme="minorEastAsia"/>
          <w:spacing w:val="0"/>
          <w:szCs w:val="24"/>
          <w:lang w:eastAsia="zh-CN"/>
        </w:rPr>
        <w:t>底前，</w:t>
      </w:r>
      <w:r>
        <w:rPr>
          <w:rFonts w:hint="eastAsia" w:ascii="Times New Roman" w:hAnsi="Times New Roman" w:cs="Times New Roman" w:eastAsiaTheme="minorEastAsia"/>
          <w:spacing w:val="0"/>
          <w:szCs w:val="24"/>
          <w:lang w:eastAsia="zh-CN"/>
        </w:rPr>
        <w:t>2蒸吨/小时</w:t>
      </w:r>
      <w:r>
        <w:rPr>
          <w:rFonts w:ascii="Times New Roman" w:hAnsi="Times New Roman" w:cs="Times New Roman" w:eastAsiaTheme="minorEastAsia"/>
          <w:spacing w:val="0"/>
          <w:szCs w:val="24"/>
          <w:lang w:eastAsia="zh-CN"/>
        </w:rPr>
        <w:t>以</w:t>
      </w:r>
      <w:r>
        <w:rPr>
          <w:rFonts w:hint="eastAsia" w:ascii="Times New Roman" w:hAnsi="Times New Roman" w:cs="Times New Roman" w:eastAsiaTheme="minorEastAsia"/>
          <w:spacing w:val="0"/>
          <w:szCs w:val="24"/>
          <w:lang w:eastAsia="zh-CN"/>
        </w:rPr>
        <w:t>下N</w:t>
      </w:r>
      <w:r>
        <w:rPr>
          <w:rFonts w:ascii="Times New Roman" w:hAnsi="Times New Roman" w:cs="Times New Roman" w:eastAsiaTheme="minorEastAsia"/>
          <w:spacing w:val="0"/>
          <w:szCs w:val="24"/>
          <w:lang w:eastAsia="zh-CN"/>
        </w:rPr>
        <w:t>Ox浓度</w:t>
      </w:r>
      <w:r>
        <w:rPr>
          <w:rFonts w:hint="eastAsia" w:ascii="Times New Roman" w:hAnsi="Times New Roman" w:cs="Times New Roman" w:eastAsiaTheme="minorEastAsia"/>
          <w:spacing w:val="0"/>
          <w:szCs w:val="24"/>
          <w:lang w:eastAsia="zh-CN"/>
        </w:rPr>
        <w:t>超过</w:t>
      </w:r>
      <w:r>
        <w:rPr>
          <w:rFonts w:ascii="Times New Roman" w:hAnsi="Times New Roman" w:cs="Times New Roman" w:eastAsiaTheme="minorEastAsia"/>
          <w:spacing w:val="0"/>
          <w:szCs w:val="24"/>
        </w:rPr>
        <w:t>50mg/m</w:t>
      </w:r>
      <w:r>
        <w:rPr>
          <w:rFonts w:ascii="Times New Roman" w:hAnsi="Times New Roman" w:cs="Times New Roman" w:eastAsiaTheme="minorEastAsia"/>
          <w:spacing w:val="0"/>
          <w:szCs w:val="24"/>
          <w:vertAlign w:val="superscript"/>
        </w:rPr>
        <w:t>3</w:t>
      </w:r>
      <w:r>
        <w:rPr>
          <w:rFonts w:hint="eastAsia" w:ascii="Times New Roman" w:hAnsi="Times New Roman" w:cs="Times New Roman" w:eastAsiaTheme="minorEastAsia"/>
          <w:spacing w:val="0"/>
          <w:szCs w:val="24"/>
          <w:lang w:eastAsia="zh-CN"/>
        </w:rPr>
        <w:t>的</w:t>
      </w:r>
      <w:r>
        <w:rPr>
          <w:rFonts w:ascii="Times New Roman" w:hAnsi="Times New Roman" w:cs="Times New Roman" w:eastAsiaTheme="minorEastAsia"/>
          <w:spacing w:val="0"/>
          <w:szCs w:val="24"/>
          <w:lang w:eastAsia="zh-CN"/>
        </w:rPr>
        <w:t>天然气锅炉基本完成</w:t>
      </w:r>
      <w:r>
        <w:rPr>
          <w:rFonts w:hint="eastAsia" w:ascii="Times New Roman" w:hAnsi="Times New Roman" w:cs="Times New Roman" w:eastAsiaTheme="minorEastAsia"/>
          <w:spacing w:val="0"/>
          <w:szCs w:val="24"/>
          <w:lang w:eastAsia="zh-CN"/>
        </w:rPr>
        <w:t>低氮</w:t>
      </w:r>
      <w:r>
        <w:rPr>
          <w:rFonts w:ascii="Times New Roman" w:hAnsi="Times New Roman" w:cs="Times New Roman" w:eastAsiaTheme="minorEastAsia"/>
          <w:spacing w:val="0"/>
          <w:szCs w:val="24"/>
          <w:lang w:eastAsia="zh-CN"/>
        </w:rPr>
        <w:t>排放改造</w:t>
      </w:r>
      <w:r>
        <w:rPr>
          <w:rFonts w:hint="eastAsia" w:ascii="Times New Roman" w:hAnsi="Times New Roman" w:cs="Times New Roman" w:eastAsiaTheme="minorEastAsia"/>
          <w:spacing w:val="0"/>
          <w:szCs w:val="24"/>
          <w:lang w:eastAsia="zh-CN"/>
        </w:rPr>
        <w:t>。”企业现状</w:t>
      </w:r>
      <w:r>
        <w:rPr>
          <w:rFonts w:ascii="Times New Roman" w:hAnsi="Times New Roman" w:cs="Times New Roman" w:eastAsiaTheme="minorEastAsia"/>
          <w:spacing w:val="0"/>
          <w:szCs w:val="24"/>
          <w:lang w:eastAsia="zh-CN"/>
        </w:rPr>
        <w:t>锅炉大小为</w:t>
      </w:r>
      <w:r>
        <w:rPr>
          <w:rFonts w:hint="eastAsia" w:ascii="Times New Roman" w:hAnsi="Times New Roman" w:cs="Times New Roman" w:eastAsiaTheme="minorEastAsia"/>
          <w:spacing w:val="0"/>
          <w:szCs w:val="24"/>
          <w:lang w:eastAsia="zh-CN"/>
        </w:rPr>
        <w:t>3</w:t>
      </w:r>
      <w:r>
        <w:rPr>
          <w:rFonts w:ascii="Times New Roman" w:hAnsi="Times New Roman" w:cs="Times New Roman" w:eastAsiaTheme="minorEastAsia"/>
          <w:spacing w:val="0"/>
          <w:szCs w:val="24"/>
          <w:lang w:eastAsia="zh-CN"/>
        </w:rPr>
        <w:t>t/h，需在</w:t>
      </w:r>
      <w:r>
        <w:rPr>
          <w:rFonts w:hint="eastAsia" w:ascii="Times New Roman" w:hAnsi="Times New Roman" w:cs="Times New Roman" w:eastAsiaTheme="minorEastAsia"/>
          <w:spacing w:val="0"/>
          <w:szCs w:val="24"/>
          <w:lang w:eastAsia="zh-CN"/>
        </w:rPr>
        <w:t>2019年12月底</w:t>
      </w:r>
      <w:r>
        <w:rPr>
          <w:rFonts w:ascii="Times New Roman" w:hAnsi="Times New Roman" w:cs="Times New Roman" w:eastAsiaTheme="minorEastAsia"/>
          <w:spacing w:val="0"/>
          <w:szCs w:val="24"/>
          <w:lang w:eastAsia="zh-CN"/>
        </w:rPr>
        <w:t>前完成低氮改造</w:t>
      </w:r>
      <w:r>
        <w:rPr>
          <w:rFonts w:hint="eastAsia" w:ascii="Times New Roman" w:hAnsi="Times New Roman" w:cs="Times New Roman" w:eastAsiaTheme="minorEastAsia"/>
          <w:spacing w:val="0"/>
          <w:szCs w:val="24"/>
          <w:lang w:eastAsia="zh-CN"/>
        </w:rPr>
        <w:t>。</w:t>
      </w:r>
      <w:r>
        <w:rPr>
          <w:rFonts w:hint="eastAsia" w:ascii="Times New Roman" w:hAnsi="Times New Roman" w:cs="Times New Roman"/>
          <w:spacing w:val="0"/>
          <w:szCs w:val="24"/>
          <w:lang w:eastAsia="zh-CN"/>
        </w:rPr>
        <w:t>锅炉废气排放</w:t>
      </w:r>
      <w:r>
        <w:rPr>
          <w:rFonts w:ascii="Times New Roman" w:hAnsi="Times New Roman" w:cs="Times New Roman"/>
          <w:spacing w:val="0"/>
          <w:szCs w:val="24"/>
          <w:lang w:eastAsia="zh-CN"/>
        </w:rPr>
        <w:t>标准见</w:t>
      </w:r>
      <w:r>
        <w:rPr>
          <w:rFonts w:ascii="Times New Roman" w:hAnsi="Times New Roman" w:cs="Times New Roman"/>
          <w:spacing w:val="0"/>
          <w:szCs w:val="24"/>
        </w:rPr>
        <w:t>表</w:t>
      </w:r>
      <w:r>
        <w:rPr>
          <w:rFonts w:ascii="Times New Roman" w:hAnsi="Times New Roman" w:cs="Times New Roman"/>
          <w:spacing w:val="0"/>
          <w:szCs w:val="24"/>
          <w:lang w:eastAsia="zh-CN"/>
        </w:rPr>
        <w:t>2-14</w:t>
      </w:r>
      <w:r>
        <w:rPr>
          <w:rFonts w:ascii="Times New Roman" w:hAnsi="Times New Roman" w:cs="Times New Roman"/>
          <w:spacing w:val="0"/>
          <w:szCs w:val="24"/>
        </w:rPr>
        <w:t>。</w:t>
      </w:r>
    </w:p>
    <w:p>
      <w:pPr>
        <w:pStyle w:val="313"/>
        <w:tabs>
          <w:tab w:val="clear" w:pos="3908"/>
        </w:tabs>
        <w:ind w:left="1122" w:hanging="561"/>
        <w:rPr>
          <w:rFonts w:ascii="Times New Roman" w:hAnsi="Times New Roman"/>
        </w:rPr>
      </w:pPr>
      <w:r>
        <w:rPr>
          <w:rFonts w:ascii="Times New Roman" w:hAnsi="Times New Roman"/>
        </w:rPr>
        <w:t>《锅炉大气污染物排放标准》</w:t>
      </w:r>
      <w:r>
        <w:rPr>
          <w:rFonts w:ascii="Times New Roman" w:hAnsi="Times New Roman"/>
          <w:lang w:eastAsia="zh-CN"/>
        </w:rPr>
        <w:t>(</w:t>
      </w:r>
      <w:r>
        <w:rPr>
          <w:rFonts w:ascii="Times New Roman" w:hAnsi="Times New Roman"/>
        </w:rPr>
        <w:t>GB13271-2014</w:t>
      </w:r>
      <w:r>
        <w:rPr>
          <w:rFonts w:ascii="Times New Roman" w:hAnsi="Times New Roman"/>
          <w:lang w:eastAsia="zh-CN"/>
        </w:rPr>
        <w:t>)</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2615"/>
        <w:gridCol w:w="2978"/>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349"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锅炉类型</w:t>
            </w:r>
          </w:p>
        </w:tc>
        <w:tc>
          <w:tcPr>
            <w:tcW w:w="2615"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污染物名称</w:t>
            </w:r>
          </w:p>
        </w:tc>
        <w:tc>
          <w:tcPr>
            <w:tcW w:w="4803" w:type="dxa"/>
            <w:gridSpan w:val="2"/>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最高允许排放浓度限值</w:t>
            </w:r>
            <w:r>
              <w:rPr>
                <w:rFonts w:hint="eastAsia" w:ascii="Times New Roman" w:hAnsi="Times New Roman" w:cs="Times New Roman"/>
                <w:spacing w:val="0"/>
                <w:sz w:val="21"/>
                <w:szCs w:val="21"/>
              </w:rPr>
              <w:t>(</w:t>
            </w:r>
            <w:r>
              <w:rPr>
                <w:rFonts w:ascii="Times New Roman" w:hAnsi="Times New Roman" w:cs="Times New Roman"/>
                <w:spacing w:val="0"/>
                <w:sz w:val="21"/>
                <w:szCs w:val="21"/>
              </w:rPr>
              <w:t>mg/m</w:t>
            </w:r>
            <w:r>
              <w:rPr>
                <w:rFonts w:ascii="Times New Roman" w:hAnsi="Times New Roman" w:cs="Times New Roman"/>
                <w:spacing w:val="0"/>
                <w:sz w:val="21"/>
                <w:szCs w:val="21"/>
                <w:vertAlign w:val="superscript"/>
              </w:rPr>
              <w:t>3</w:t>
            </w:r>
            <w:r>
              <w:rPr>
                <w:rFonts w:hint="eastAsia"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349" w:type="dxa"/>
            <w:vMerge w:val="restart"/>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燃气锅炉</w:t>
            </w:r>
          </w:p>
        </w:tc>
        <w:tc>
          <w:tcPr>
            <w:tcW w:w="2615"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SO</w:t>
            </w:r>
            <w:r>
              <w:rPr>
                <w:rFonts w:ascii="Times New Roman" w:hAnsi="Times New Roman" w:cs="Times New Roman"/>
                <w:spacing w:val="0"/>
                <w:sz w:val="21"/>
                <w:szCs w:val="21"/>
                <w:vertAlign w:val="subscript"/>
              </w:rPr>
              <w:t>2</w:t>
            </w:r>
          </w:p>
        </w:tc>
        <w:tc>
          <w:tcPr>
            <w:tcW w:w="2978"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50</w:t>
            </w:r>
          </w:p>
        </w:tc>
        <w:tc>
          <w:tcPr>
            <w:tcW w:w="1825" w:type="dxa"/>
            <w:vMerge w:val="restart"/>
            <w:vAlign w:val="center"/>
          </w:tcPr>
          <w:p>
            <w:pPr>
              <w:pStyle w:val="4"/>
              <w:adjustRightInd w:val="0"/>
              <w:snapToGrid w:val="0"/>
              <w:spacing w:line="36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烟囱高度(m)不得低于8m，按环境影响报告书要求确定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349"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c>
          <w:tcPr>
            <w:tcW w:w="2615"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颗粒物</w:t>
            </w:r>
          </w:p>
        </w:tc>
        <w:tc>
          <w:tcPr>
            <w:tcW w:w="2978"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20</w:t>
            </w:r>
          </w:p>
        </w:tc>
        <w:tc>
          <w:tcPr>
            <w:tcW w:w="1825"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349"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c>
          <w:tcPr>
            <w:tcW w:w="2615"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烟气黑度(林格曼黑度,级)</w:t>
            </w:r>
          </w:p>
        </w:tc>
        <w:tc>
          <w:tcPr>
            <w:tcW w:w="2978"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≤1级</w:t>
            </w:r>
          </w:p>
        </w:tc>
        <w:tc>
          <w:tcPr>
            <w:tcW w:w="1825"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349"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c>
          <w:tcPr>
            <w:tcW w:w="2615" w:type="dxa"/>
            <w:vAlign w:val="center"/>
          </w:tcPr>
          <w:p>
            <w:pPr>
              <w:pStyle w:val="4"/>
              <w:adjustRightInd w:val="0"/>
              <w:snapToGrid w:val="0"/>
              <w:spacing w:line="36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NO</w:t>
            </w:r>
            <w:r>
              <w:rPr>
                <w:rFonts w:ascii="Times New Roman" w:hAnsi="Times New Roman" w:cs="Times New Roman"/>
                <w:spacing w:val="0"/>
                <w:sz w:val="21"/>
                <w:szCs w:val="21"/>
                <w:vertAlign w:val="subscript"/>
              </w:rPr>
              <w:t>X</w:t>
            </w:r>
          </w:p>
        </w:tc>
        <w:tc>
          <w:tcPr>
            <w:tcW w:w="2978" w:type="dxa"/>
            <w:vAlign w:val="center"/>
          </w:tcPr>
          <w:p>
            <w:pPr>
              <w:pStyle w:val="4"/>
              <w:adjustRightInd w:val="0"/>
              <w:snapToGrid w:val="0"/>
              <w:spacing w:line="24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150</w:t>
            </w:r>
          </w:p>
          <w:p>
            <w:pPr>
              <w:pStyle w:val="4"/>
              <w:adjustRightInd w:val="0"/>
              <w:snapToGrid w:val="0"/>
              <w:spacing w:line="240" w:lineRule="exact"/>
              <w:ind w:firstLine="0"/>
              <w:jc w:val="center"/>
              <w:rPr>
                <w:rFonts w:ascii="Times New Roman" w:hAnsi="Times New Roman" w:cs="Times New Roman"/>
                <w:spacing w:val="0"/>
                <w:sz w:val="21"/>
                <w:szCs w:val="21"/>
              </w:rPr>
            </w:pPr>
            <w:r>
              <w:rPr>
                <w:rFonts w:hint="eastAsia" w:ascii="Times New Roman" w:hAnsi="Times New Roman" w:cs="Times New Roman"/>
                <w:spacing w:val="0"/>
                <w:sz w:val="21"/>
                <w:szCs w:val="21"/>
              </w:rPr>
              <w:t>(</w:t>
            </w:r>
            <w:r>
              <w:rPr>
                <w:rFonts w:ascii="Times New Roman" w:hAnsi="Times New Roman" w:cs="Times New Roman"/>
                <w:spacing w:val="0"/>
                <w:sz w:val="21"/>
                <w:szCs w:val="21"/>
              </w:rPr>
              <w:t>2019</w:t>
            </w:r>
            <w:r>
              <w:rPr>
                <w:rFonts w:hint="eastAsia" w:ascii="Times New Roman" w:hAnsi="Times New Roman" w:cs="Times New Roman"/>
                <w:spacing w:val="0"/>
                <w:sz w:val="21"/>
                <w:szCs w:val="21"/>
              </w:rPr>
              <w:t>年12月底</w:t>
            </w:r>
            <w:r>
              <w:rPr>
                <w:rFonts w:ascii="Times New Roman" w:hAnsi="Times New Roman" w:cs="Times New Roman"/>
                <w:spacing w:val="0"/>
                <w:sz w:val="21"/>
                <w:szCs w:val="21"/>
              </w:rPr>
              <w:t>前完成低氮改造，</w:t>
            </w:r>
            <w:r>
              <w:rPr>
                <w:rFonts w:hint="eastAsia" w:ascii="Times New Roman" w:hAnsi="Times New Roman" w:cs="Times New Roman"/>
                <w:spacing w:val="0"/>
                <w:sz w:val="21"/>
                <w:szCs w:val="21"/>
              </w:rPr>
              <w:t>N</w:t>
            </w:r>
            <w:r>
              <w:rPr>
                <w:rFonts w:ascii="Times New Roman" w:hAnsi="Times New Roman" w:cs="Times New Roman"/>
                <w:spacing w:val="0"/>
                <w:sz w:val="21"/>
                <w:szCs w:val="21"/>
              </w:rPr>
              <w:t>Ox排放浓度≤</w:t>
            </w:r>
            <w:r>
              <w:rPr>
                <w:rFonts w:hint="eastAsia" w:ascii="Times New Roman" w:hAnsi="Times New Roman" w:cs="Times New Roman"/>
                <w:spacing w:val="0"/>
                <w:sz w:val="21"/>
                <w:szCs w:val="21"/>
              </w:rPr>
              <w:t>50)</w:t>
            </w:r>
          </w:p>
        </w:tc>
        <w:tc>
          <w:tcPr>
            <w:tcW w:w="1825" w:type="dxa"/>
            <w:vMerge w:val="continue"/>
            <w:vAlign w:val="center"/>
          </w:tcPr>
          <w:p>
            <w:pPr>
              <w:pStyle w:val="4"/>
              <w:adjustRightInd w:val="0"/>
              <w:snapToGrid w:val="0"/>
              <w:spacing w:line="360" w:lineRule="exact"/>
              <w:ind w:firstLine="0"/>
              <w:jc w:val="center"/>
              <w:rPr>
                <w:rFonts w:ascii="Times New Roman" w:hAnsi="Times New Roman" w:cs="Times New Roman"/>
                <w:spacing w:val="0"/>
                <w:sz w:val="21"/>
                <w:szCs w:val="21"/>
              </w:rPr>
            </w:pPr>
          </w:p>
        </w:tc>
      </w:tr>
    </w:tbl>
    <w:p>
      <w:pPr>
        <w:pStyle w:val="4"/>
        <w:spacing w:line="480" w:lineRule="exact"/>
        <w:ind w:firstLine="520"/>
        <w:rPr>
          <w:rFonts w:ascii="Times New Roman" w:hAnsi="Times New Roman" w:cs="Times New Roman" w:eastAsiaTheme="minorEastAsia"/>
          <w:spacing w:val="0"/>
        </w:rPr>
      </w:pPr>
      <w:r>
        <w:rPr>
          <w:rFonts w:ascii="Times New Roman" w:hAnsi="Times New Roman" w:cs="Times New Roman" w:eastAsiaTheme="minorEastAsia"/>
          <w:spacing w:val="0"/>
        </w:rPr>
        <w:t>（5）食堂油烟废气</w:t>
      </w:r>
    </w:p>
    <w:p>
      <w:pPr>
        <w:spacing w:line="480" w:lineRule="exact"/>
        <w:ind w:firstLine="486" w:firstLineChars="200"/>
        <w:rPr>
          <w:rFonts w:eastAsiaTheme="minorEastAsia"/>
          <w:sz w:val="24"/>
          <w:szCs w:val="24"/>
        </w:rPr>
      </w:pPr>
      <w:r>
        <w:rPr>
          <w:rFonts w:hint="eastAsia" w:eastAsiaTheme="minorEastAsia"/>
          <w:sz w:val="24"/>
          <w:szCs w:val="24"/>
        </w:rPr>
        <w:t>企业现状</w:t>
      </w:r>
      <w:r>
        <w:rPr>
          <w:rFonts w:eastAsiaTheme="minorEastAsia"/>
          <w:sz w:val="24"/>
          <w:szCs w:val="24"/>
        </w:rPr>
        <w:t>设有食堂，</w:t>
      </w:r>
      <w:r>
        <w:rPr>
          <w:rFonts w:hint="eastAsia" w:eastAsiaTheme="minorEastAsia"/>
          <w:sz w:val="24"/>
          <w:szCs w:val="24"/>
        </w:rPr>
        <w:t>内</w:t>
      </w:r>
      <w:r>
        <w:rPr>
          <w:rFonts w:eastAsiaTheme="minorEastAsia"/>
          <w:sz w:val="24"/>
          <w:szCs w:val="24"/>
        </w:rPr>
        <w:t>设</w:t>
      </w:r>
      <w:r>
        <w:rPr>
          <w:rFonts w:hint="eastAsia" w:eastAsiaTheme="minorEastAsia"/>
          <w:sz w:val="24"/>
          <w:szCs w:val="24"/>
        </w:rPr>
        <w:t>6</w:t>
      </w:r>
      <w:r>
        <w:rPr>
          <w:rFonts w:eastAsiaTheme="minorEastAsia"/>
          <w:sz w:val="24"/>
          <w:szCs w:val="24"/>
        </w:rPr>
        <w:t>个灶头，食堂油烟排放执行《饮食业油烟排放标准》（试行）(GB18483</w:t>
      </w:r>
      <w:r>
        <w:rPr>
          <w:rFonts w:hint="eastAsia" w:eastAsiaTheme="minorEastAsia"/>
          <w:sz w:val="24"/>
          <w:szCs w:val="24"/>
        </w:rPr>
        <w:t>-</w:t>
      </w:r>
      <w:r>
        <w:rPr>
          <w:rFonts w:eastAsiaTheme="minorEastAsia"/>
          <w:sz w:val="24"/>
          <w:szCs w:val="24"/>
        </w:rPr>
        <w:t>2001)</w:t>
      </w:r>
      <w:r>
        <w:rPr>
          <w:rFonts w:hint="eastAsia" w:eastAsiaTheme="minorEastAsia"/>
          <w:sz w:val="24"/>
          <w:szCs w:val="24"/>
        </w:rPr>
        <w:t>大型规模</w:t>
      </w:r>
      <w:r>
        <w:rPr>
          <w:rFonts w:eastAsiaTheme="minorEastAsia"/>
          <w:sz w:val="24"/>
          <w:szCs w:val="24"/>
        </w:rPr>
        <w:t>标准，单个灶头基准排风量为2000m</w:t>
      </w:r>
      <w:r>
        <w:rPr>
          <w:rFonts w:eastAsiaTheme="minorEastAsia"/>
          <w:sz w:val="24"/>
          <w:szCs w:val="24"/>
          <w:vertAlign w:val="superscript"/>
        </w:rPr>
        <w:t>3</w:t>
      </w:r>
      <w:r>
        <w:rPr>
          <w:rFonts w:eastAsiaTheme="minorEastAsia"/>
          <w:sz w:val="24"/>
          <w:szCs w:val="24"/>
        </w:rPr>
        <w:t>/h，</w:t>
      </w:r>
      <w:r>
        <w:rPr>
          <w:rFonts w:hint="eastAsia" w:eastAsiaTheme="minorEastAsia"/>
          <w:sz w:val="24"/>
          <w:szCs w:val="24"/>
        </w:rPr>
        <w:t>标准值</w:t>
      </w:r>
      <w:r>
        <w:rPr>
          <w:rFonts w:eastAsiaTheme="minorEastAsia"/>
          <w:sz w:val="24"/>
          <w:szCs w:val="24"/>
        </w:rPr>
        <w:t>详见表2-15。</w:t>
      </w:r>
    </w:p>
    <w:p>
      <w:pPr>
        <w:pStyle w:val="313"/>
        <w:tabs>
          <w:tab w:val="clear" w:pos="3908"/>
        </w:tabs>
        <w:ind w:left="1122" w:hanging="561"/>
        <w:rPr>
          <w:rFonts w:ascii="Times New Roman" w:hAnsi="Times New Roman"/>
        </w:rPr>
      </w:pPr>
      <w:r>
        <w:rPr>
          <w:rFonts w:ascii="Times New Roman" w:hAnsi="Times New Roman"/>
        </w:rPr>
        <w:t>《饮食业油烟排放标准》</w:t>
      </w:r>
      <w:r>
        <w:rPr>
          <w:rFonts w:hint="eastAsia" w:ascii="Times New Roman" w:hAnsi="Times New Roman"/>
          <w:lang w:eastAsia="zh-CN"/>
        </w:rPr>
        <w:t>(</w:t>
      </w:r>
      <w:r>
        <w:rPr>
          <w:rFonts w:ascii="Times New Roman" w:hAnsi="Times New Roman"/>
        </w:rPr>
        <w:t>GB18483-2001</w:t>
      </w:r>
      <w:r>
        <w:rPr>
          <w:rFonts w:hint="eastAsia" w:ascii="Times New Roman" w:hAnsi="Times New Roman"/>
          <w:lang w:eastAsia="zh-CN"/>
        </w:rPr>
        <w:t>)</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4"/>
        <w:gridCol w:w="1773"/>
        <w:gridCol w:w="177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规模</w:t>
            </w:r>
          </w:p>
        </w:tc>
        <w:tc>
          <w:tcPr>
            <w:tcW w:w="1773"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小型</w:t>
            </w:r>
          </w:p>
        </w:tc>
        <w:tc>
          <w:tcPr>
            <w:tcW w:w="177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中型</w:t>
            </w:r>
          </w:p>
        </w:tc>
        <w:tc>
          <w:tcPr>
            <w:tcW w:w="1776"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基准灶头数</w:t>
            </w:r>
          </w:p>
        </w:tc>
        <w:tc>
          <w:tcPr>
            <w:tcW w:w="1773"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≥1，＜3</w:t>
            </w:r>
          </w:p>
        </w:tc>
        <w:tc>
          <w:tcPr>
            <w:tcW w:w="177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≥3，＜6</w:t>
            </w:r>
          </w:p>
        </w:tc>
        <w:tc>
          <w:tcPr>
            <w:tcW w:w="1776"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对应灶头总功率</w:t>
            </w:r>
            <w:r>
              <w:rPr>
                <w:rFonts w:hint="eastAsia" w:ascii="Times New Roman" w:hAnsi="Times New Roman"/>
                <w:kern w:val="2"/>
                <w:szCs w:val="24"/>
                <w:lang w:eastAsia="zh-CN"/>
              </w:rPr>
              <w:t>(</w:t>
            </w:r>
            <w:r>
              <w:rPr>
                <w:rFonts w:ascii="Times New Roman" w:hAnsi="Times New Roman"/>
                <w:kern w:val="2"/>
                <w:szCs w:val="24"/>
              </w:rPr>
              <w:t>10</w:t>
            </w:r>
            <w:r>
              <w:rPr>
                <w:rFonts w:ascii="Times New Roman" w:hAnsi="Times New Roman"/>
                <w:kern w:val="2"/>
                <w:szCs w:val="24"/>
                <w:vertAlign w:val="superscript"/>
              </w:rPr>
              <w:t>8</w:t>
            </w:r>
            <w:r>
              <w:rPr>
                <w:rFonts w:ascii="Times New Roman" w:hAnsi="Times New Roman"/>
                <w:kern w:val="2"/>
                <w:szCs w:val="24"/>
              </w:rPr>
              <w:t>J/h</w:t>
            </w:r>
            <w:r>
              <w:rPr>
                <w:rFonts w:hint="eastAsia" w:ascii="Times New Roman" w:hAnsi="Times New Roman"/>
                <w:kern w:val="2"/>
                <w:szCs w:val="24"/>
                <w:lang w:eastAsia="zh-CN"/>
              </w:rPr>
              <w:t>)</w:t>
            </w:r>
          </w:p>
        </w:tc>
        <w:tc>
          <w:tcPr>
            <w:tcW w:w="1773"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1.67，＜5.00</w:t>
            </w:r>
          </w:p>
        </w:tc>
        <w:tc>
          <w:tcPr>
            <w:tcW w:w="177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≥5.00，＜10</w:t>
            </w:r>
          </w:p>
        </w:tc>
        <w:tc>
          <w:tcPr>
            <w:tcW w:w="1776"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对应排气罩灶面总投影面积（m</w:t>
            </w:r>
            <w:r>
              <w:rPr>
                <w:rFonts w:ascii="Times New Roman" w:hAnsi="Times New Roman"/>
                <w:kern w:val="2"/>
                <w:szCs w:val="24"/>
                <w:vertAlign w:val="superscript"/>
              </w:rPr>
              <w:t>2</w:t>
            </w:r>
            <w:r>
              <w:rPr>
                <w:rFonts w:ascii="Times New Roman" w:hAnsi="Times New Roman"/>
                <w:kern w:val="2"/>
                <w:szCs w:val="24"/>
              </w:rPr>
              <w:t>）</w:t>
            </w:r>
          </w:p>
        </w:tc>
        <w:tc>
          <w:tcPr>
            <w:tcW w:w="1773"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≥1.1，＜3.3</w:t>
            </w:r>
          </w:p>
        </w:tc>
        <w:tc>
          <w:tcPr>
            <w:tcW w:w="177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≥3.3，＜6.6</w:t>
            </w:r>
          </w:p>
        </w:tc>
        <w:tc>
          <w:tcPr>
            <w:tcW w:w="1776"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最高允许排放浓度（mg/m</w:t>
            </w:r>
            <w:r>
              <w:rPr>
                <w:rFonts w:ascii="Times New Roman" w:hAnsi="Times New Roman"/>
                <w:kern w:val="2"/>
                <w:szCs w:val="24"/>
                <w:vertAlign w:val="superscript"/>
              </w:rPr>
              <w:t>3</w:t>
            </w:r>
            <w:r>
              <w:rPr>
                <w:rFonts w:ascii="Times New Roman" w:hAnsi="Times New Roman"/>
                <w:kern w:val="2"/>
                <w:szCs w:val="24"/>
              </w:rPr>
              <w:t>）</w:t>
            </w:r>
          </w:p>
        </w:tc>
        <w:tc>
          <w:tcPr>
            <w:tcW w:w="5323" w:type="dxa"/>
            <w:gridSpan w:val="3"/>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净化设施最低去除率（%）</w:t>
            </w:r>
          </w:p>
        </w:tc>
        <w:tc>
          <w:tcPr>
            <w:tcW w:w="1773"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60</w:t>
            </w:r>
          </w:p>
        </w:tc>
        <w:tc>
          <w:tcPr>
            <w:tcW w:w="1774"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75</w:t>
            </w:r>
          </w:p>
        </w:tc>
        <w:tc>
          <w:tcPr>
            <w:tcW w:w="1776" w:type="dxa"/>
            <w:vAlign w:val="center"/>
          </w:tcPr>
          <w:p>
            <w:pPr>
              <w:pStyle w:val="328"/>
              <w:widowControl w:val="0"/>
              <w:pBdr>
                <w:left w:val="none" w:color="auto" w:sz="0" w:space="0"/>
                <w:bottom w:val="none" w:color="auto" w:sz="0" w:space="0"/>
                <w:right w:val="none" w:color="auto" w:sz="0" w:space="0"/>
              </w:pBdr>
              <w:snapToGrid w:val="0"/>
              <w:spacing w:before="0" w:beforeAutospacing="0" w:after="0" w:afterAutospacing="0" w:line="300" w:lineRule="exact"/>
              <w:rPr>
                <w:rFonts w:ascii="Times New Roman" w:hAnsi="Times New Roman"/>
                <w:kern w:val="2"/>
                <w:szCs w:val="24"/>
              </w:rPr>
            </w:pPr>
            <w:r>
              <w:rPr>
                <w:rFonts w:ascii="Times New Roman" w:hAnsi="Times New Roman"/>
                <w:kern w:val="2"/>
                <w:szCs w:val="24"/>
              </w:rPr>
              <w:t>85</w:t>
            </w:r>
          </w:p>
        </w:tc>
      </w:tr>
    </w:tbl>
    <w:p>
      <w:pPr>
        <w:pStyle w:val="4"/>
        <w:spacing w:line="460" w:lineRule="exact"/>
        <w:ind w:firstLine="520"/>
        <w:rPr>
          <w:rFonts w:ascii="Times New Roman" w:hAnsi="Times New Roman" w:cs="Times New Roman"/>
          <w:spacing w:val="0"/>
        </w:rPr>
      </w:pPr>
      <w:r>
        <w:rPr>
          <w:rFonts w:ascii="Times New Roman" w:hAnsi="Times New Roman" w:cs="Times New Roman"/>
          <w:spacing w:val="0"/>
        </w:rPr>
        <w:t>2．</w:t>
      </w:r>
      <w:r>
        <w:rPr>
          <w:rFonts w:ascii="Times New Roman" w:hAnsi="Times New Roman" w:cs="Times New Roman"/>
          <w:spacing w:val="0"/>
          <w:szCs w:val="24"/>
        </w:rPr>
        <w:t>废水</w:t>
      </w:r>
    </w:p>
    <w:p>
      <w:pPr>
        <w:pStyle w:val="1034"/>
        <w:spacing w:line="460" w:lineRule="exact"/>
        <w:ind w:firstLine="486"/>
        <w:rPr>
          <w:lang w:eastAsia="zh-CN"/>
        </w:rPr>
      </w:pPr>
      <w:r>
        <w:rPr>
          <w:rFonts w:hint="eastAsia"/>
          <w:lang w:eastAsia="zh-CN"/>
        </w:rPr>
        <w:t>(1)废水排放标准</w:t>
      </w:r>
    </w:p>
    <w:p>
      <w:pPr>
        <w:pStyle w:val="1034"/>
        <w:spacing w:line="460" w:lineRule="exact"/>
        <w:ind w:firstLine="486"/>
        <w:rPr>
          <w:lang w:eastAsia="zh-CN"/>
        </w:rPr>
      </w:pPr>
      <w:r>
        <w:rPr>
          <w:rFonts w:hint="eastAsia"/>
          <w:lang w:eastAsia="zh-CN"/>
        </w:rPr>
        <w:t>企业现状炼钢无废水排放，本项目炼钢一厂新增精炼炉及连铸机，亦无生产废水排放</w:t>
      </w:r>
      <w:r>
        <w:rPr>
          <w:rFonts w:hint="eastAsia"/>
          <w:szCs w:val="24"/>
          <w:lang w:eastAsia="zh-CN"/>
        </w:rPr>
        <w:t>。</w:t>
      </w:r>
    </w:p>
    <w:p>
      <w:pPr>
        <w:spacing w:line="480" w:lineRule="exact"/>
        <w:ind w:firstLine="486" w:firstLineChars="200"/>
        <w:rPr>
          <w:rFonts w:eastAsiaTheme="minorEastAsia"/>
          <w:sz w:val="24"/>
          <w:szCs w:val="24"/>
        </w:rPr>
      </w:pPr>
      <w:r>
        <w:rPr>
          <w:rFonts w:hint="eastAsia" w:eastAsiaTheme="minorEastAsia"/>
          <w:sz w:val="24"/>
          <w:szCs w:val="24"/>
        </w:rPr>
        <w:t>企业现状废水主要为生活污水及轧钢厂的</w:t>
      </w:r>
      <w:r>
        <w:rPr>
          <w:rFonts w:eastAsiaTheme="minorEastAsia"/>
          <w:sz w:val="24"/>
          <w:szCs w:val="24"/>
        </w:rPr>
        <w:t>浊环水</w:t>
      </w:r>
      <w:r>
        <w:rPr>
          <w:rFonts w:hint="eastAsia" w:eastAsiaTheme="minorEastAsia"/>
          <w:sz w:val="24"/>
          <w:szCs w:val="24"/>
        </w:rPr>
        <w:t>，</w:t>
      </w:r>
      <w:r>
        <w:rPr>
          <w:rFonts w:eastAsiaTheme="minorEastAsia"/>
          <w:sz w:val="24"/>
          <w:szCs w:val="24"/>
        </w:rPr>
        <w:t>企业现状废水经预处理达《钢铁工业水污染物排放标准》（GB13456-2012）表2</w:t>
      </w:r>
      <w:r>
        <w:rPr>
          <w:rFonts w:hint="eastAsia" w:eastAsiaTheme="minorEastAsia"/>
          <w:sz w:val="24"/>
          <w:szCs w:val="24"/>
        </w:rPr>
        <w:t>新建</w:t>
      </w:r>
      <w:r>
        <w:rPr>
          <w:rFonts w:eastAsiaTheme="minorEastAsia"/>
          <w:sz w:val="24"/>
          <w:szCs w:val="24"/>
        </w:rPr>
        <w:t>企业水污染物排放</w:t>
      </w:r>
      <w:r>
        <w:rPr>
          <w:rFonts w:hint="eastAsia" w:eastAsiaTheme="minorEastAsia"/>
          <w:sz w:val="24"/>
          <w:szCs w:val="24"/>
        </w:rPr>
        <w:t>浓度</w:t>
      </w:r>
      <w:r>
        <w:rPr>
          <w:rFonts w:eastAsiaTheme="minorEastAsia"/>
          <w:sz w:val="24"/>
          <w:szCs w:val="24"/>
        </w:rPr>
        <w:t>限值及单位产品基准排放量</w:t>
      </w:r>
      <w:r>
        <w:rPr>
          <w:rFonts w:hint="eastAsia" w:eastAsiaTheme="minorEastAsia"/>
          <w:sz w:val="24"/>
          <w:szCs w:val="24"/>
        </w:rPr>
        <w:t>中</w:t>
      </w:r>
      <w:r>
        <w:rPr>
          <w:rFonts w:eastAsiaTheme="minorEastAsia"/>
          <w:sz w:val="24"/>
          <w:szCs w:val="24"/>
        </w:rPr>
        <w:t>的间接排放标准后纳入市政截污管网，经</w:t>
      </w:r>
      <w:r>
        <w:rPr>
          <w:rFonts w:hint="eastAsia" w:eastAsiaTheme="minorEastAsia"/>
          <w:sz w:val="24"/>
          <w:szCs w:val="24"/>
        </w:rPr>
        <w:t>凤凰污水处理厂</w:t>
      </w:r>
      <w:r>
        <w:rPr>
          <w:rFonts w:eastAsiaTheme="minorEastAsia"/>
          <w:sz w:val="24"/>
          <w:szCs w:val="24"/>
        </w:rPr>
        <w:t>集中处理达《城镇污水处理厂污染物排放标准》(GB18918-2002)中的一级A标准后排放</w:t>
      </w:r>
      <w:r>
        <w:rPr>
          <w:rFonts w:hint="eastAsia" w:eastAsiaTheme="minorEastAsia"/>
          <w:sz w:val="24"/>
          <w:szCs w:val="24"/>
        </w:rPr>
        <w:t>。具体标准</w:t>
      </w:r>
      <w:r>
        <w:rPr>
          <w:rFonts w:eastAsiaTheme="minorEastAsia"/>
          <w:sz w:val="24"/>
          <w:szCs w:val="24"/>
        </w:rPr>
        <w:t>详见</w:t>
      </w:r>
      <w:r>
        <w:rPr>
          <w:rFonts w:hint="eastAsia" w:eastAsiaTheme="minorEastAsia"/>
          <w:sz w:val="24"/>
          <w:szCs w:val="24"/>
        </w:rPr>
        <w:t>表2-1</w:t>
      </w:r>
      <w:r>
        <w:rPr>
          <w:rFonts w:eastAsiaTheme="minorEastAsia"/>
          <w:sz w:val="24"/>
          <w:szCs w:val="24"/>
        </w:rPr>
        <w:t>6</w:t>
      </w:r>
      <w:r>
        <w:rPr>
          <w:rFonts w:hint="eastAsia" w:ascii="宋体" w:hAnsi="宋体" w:eastAsia="宋体"/>
          <w:sz w:val="24"/>
          <w:szCs w:val="24"/>
        </w:rPr>
        <w:t>～</w:t>
      </w:r>
      <w:r>
        <w:rPr>
          <w:rFonts w:eastAsiaTheme="minorEastAsia"/>
          <w:sz w:val="24"/>
          <w:szCs w:val="24"/>
        </w:rPr>
        <w:t>2-17</w:t>
      </w:r>
      <w:r>
        <w:rPr>
          <w:rFonts w:hint="eastAsia" w:eastAsiaTheme="minorEastAsia"/>
          <w:sz w:val="24"/>
          <w:szCs w:val="24"/>
        </w:rPr>
        <w:t>。</w:t>
      </w:r>
    </w:p>
    <w:p>
      <w:pPr>
        <w:spacing w:line="480" w:lineRule="exact"/>
        <w:ind w:firstLine="486" w:firstLineChars="200"/>
        <w:rPr>
          <w:rFonts w:eastAsiaTheme="minorEastAsia"/>
          <w:sz w:val="24"/>
          <w:szCs w:val="24"/>
        </w:rPr>
      </w:pP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《钢铁工业水污染物排放标准》</w:t>
      </w:r>
      <w:r>
        <w:rPr>
          <w:rFonts w:ascii="Times New Roman" w:hAnsi="Times New Roman"/>
          <w:lang w:eastAsia="zh-CN"/>
        </w:rPr>
        <w:t>（GB</w:t>
      </w:r>
      <w:r>
        <w:rPr>
          <w:rFonts w:hint="eastAsia" w:ascii="Times New Roman" w:hAnsi="Times New Roman"/>
          <w:lang w:eastAsia="zh-CN"/>
        </w:rPr>
        <w:t>13456-2012</w:t>
      </w:r>
      <w:r>
        <w:rPr>
          <w:rFonts w:ascii="Times New Roman" w:hAnsi="Times New Roman"/>
          <w:lang w:eastAsia="zh-CN"/>
        </w:rPr>
        <w:t>）单位：除pH外均为mg/L</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503"/>
        <w:gridCol w:w="907"/>
        <w:gridCol w:w="1843"/>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序号</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间接排放限值</w:t>
            </w:r>
          </w:p>
        </w:tc>
        <w:tc>
          <w:tcPr>
            <w:tcW w:w="2819" w:type="dxa"/>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pH</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6-9</w:t>
            </w:r>
          </w:p>
        </w:tc>
        <w:tc>
          <w:tcPr>
            <w:tcW w:w="2819" w:type="dxa"/>
            <w:vMerge w:val="restart"/>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企业废水总排放口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悬浮物</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COD</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4</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NH</w:t>
            </w:r>
            <w:r>
              <w:rPr>
                <w:rFonts w:ascii="Times New Roman" w:hAnsi="Times New Roman" w:cs="Times New Roman" w:eastAsiaTheme="minorEastAsia"/>
                <w:spacing w:val="0"/>
                <w:sz w:val="21"/>
                <w:szCs w:val="21"/>
                <w:vertAlign w:val="subscript"/>
              </w:rPr>
              <w:t>3</w:t>
            </w:r>
            <w:r>
              <w:rPr>
                <w:rFonts w:ascii="Times New Roman" w:hAnsi="Times New Roman" w:cs="Times New Roman" w:eastAsiaTheme="minorEastAsia"/>
                <w:spacing w:val="0"/>
                <w:sz w:val="21"/>
                <w:szCs w:val="21"/>
              </w:rPr>
              <w:t>-N</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5</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总氮</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35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6</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总磷</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7</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石油类</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8</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挥发酚</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9</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总氰化物</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氟化物</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11</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总铁</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12</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总锌</w:t>
            </w:r>
            <w:r>
              <w:rPr>
                <w:rFonts w:hint="eastAsia" w:ascii="Times New Roman" w:hAnsi="Times New Roman" w:cs="Times New Roman" w:eastAsiaTheme="minorEastAsia"/>
                <w:spacing w:val="0"/>
                <w:sz w:val="21"/>
                <w:szCs w:val="21"/>
                <w:vertAlign w:val="superscript"/>
              </w:rPr>
              <w:t>a</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4.0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13</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总铜</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14</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w:t>
            </w:r>
            <w:r>
              <w:rPr>
                <w:rFonts w:ascii="Times New Roman" w:hAnsi="Times New Roman" w:cs="Times New Roman" w:eastAsiaTheme="minorEastAsia"/>
                <w:spacing w:val="0"/>
                <w:sz w:val="21"/>
                <w:szCs w:val="21"/>
              </w:rPr>
              <w:t>砷</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0.5</w:t>
            </w:r>
          </w:p>
        </w:tc>
        <w:tc>
          <w:tcPr>
            <w:tcW w:w="2819" w:type="dxa"/>
            <w:vMerge w:val="restart"/>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车间</w:t>
            </w:r>
            <w:r>
              <w:rPr>
                <w:rFonts w:ascii="Times New Roman" w:hAnsi="Times New Roman" w:cs="Times New Roman" w:eastAsiaTheme="minorEastAsia"/>
                <w:spacing w:val="0"/>
                <w:sz w:val="21"/>
                <w:szCs w:val="21"/>
              </w:rPr>
              <w:t>或生产设施废水排放口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六价铬</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16</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总铬</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17</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总铅</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18</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总镍</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1.0</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19</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总镉</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0.1</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总汞</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0.05</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Merge w:val="restart"/>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单位产品基准排水量(m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/t)</w:t>
            </w:r>
          </w:p>
        </w:tc>
        <w:tc>
          <w:tcPr>
            <w:tcW w:w="2410" w:type="dxa"/>
            <w:gridSpan w:val="2"/>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钢铁</w:t>
            </w:r>
            <w:r>
              <w:rPr>
                <w:rFonts w:ascii="Times New Roman" w:hAnsi="Times New Roman" w:cs="Times New Roman" w:eastAsiaTheme="minorEastAsia"/>
                <w:spacing w:val="0"/>
                <w:sz w:val="21"/>
                <w:szCs w:val="21"/>
              </w:rPr>
              <w:t>联合企业b</w:t>
            </w:r>
          </w:p>
        </w:tc>
        <w:tc>
          <w:tcPr>
            <w:tcW w:w="1843"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1.8</w:t>
            </w:r>
          </w:p>
        </w:tc>
        <w:tc>
          <w:tcPr>
            <w:tcW w:w="2819" w:type="dxa"/>
            <w:vMerge w:val="restart"/>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排水量计量位置与污染物排放监控位置相同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Merge w:val="continue"/>
            <w:vAlign w:val="center"/>
          </w:tcPr>
          <w:p>
            <w:pPr>
              <w:pStyle w:val="4"/>
              <w:spacing w:line="340" w:lineRule="exact"/>
              <w:ind w:firstLine="0"/>
              <w:jc w:val="center"/>
              <w:rPr>
                <w:rFonts w:ascii="Times New Roman" w:hAnsi="Times New Roman" w:cs="Times New Roman" w:eastAsiaTheme="minorEastAsia"/>
                <w:spacing w:val="0"/>
                <w:sz w:val="21"/>
                <w:szCs w:val="21"/>
              </w:rPr>
            </w:pPr>
          </w:p>
        </w:tc>
        <w:tc>
          <w:tcPr>
            <w:tcW w:w="1503" w:type="dxa"/>
            <w:vMerge w:val="restart"/>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钢铁非联合企业</w:t>
            </w:r>
          </w:p>
        </w:tc>
        <w:tc>
          <w:tcPr>
            <w:tcW w:w="907" w:type="dxa"/>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炼钢</w:t>
            </w:r>
          </w:p>
        </w:tc>
        <w:tc>
          <w:tcPr>
            <w:tcW w:w="1843" w:type="dxa"/>
            <w:tcBorders>
              <w:righ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0.1</w:t>
            </w:r>
          </w:p>
        </w:tc>
        <w:tc>
          <w:tcPr>
            <w:tcW w:w="2819" w:type="dxa"/>
            <w:vMerge w:val="continue"/>
            <w:tcBorders>
              <w:lef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695" w:type="dxa"/>
            <w:vMerge w:val="continue"/>
            <w:tcBorders>
              <w:bottom w:val="single" w:color="auto" w:sz="4"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c>
          <w:tcPr>
            <w:tcW w:w="1503" w:type="dxa"/>
            <w:vMerge w:val="continue"/>
            <w:tcBorders>
              <w:bottom w:val="single" w:color="auto" w:sz="4"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c>
          <w:tcPr>
            <w:tcW w:w="907" w:type="dxa"/>
            <w:tcBorders>
              <w:bottom w:val="single" w:color="auto" w:sz="4"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轧钢</w:t>
            </w:r>
          </w:p>
        </w:tc>
        <w:tc>
          <w:tcPr>
            <w:tcW w:w="1843" w:type="dxa"/>
            <w:tcBorders>
              <w:bottom w:val="single" w:color="auto" w:sz="4" w:space="0"/>
              <w:right w:val="single" w:color="auto" w:sz="2"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1.5</w:t>
            </w:r>
          </w:p>
        </w:tc>
        <w:tc>
          <w:tcPr>
            <w:tcW w:w="2819" w:type="dxa"/>
            <w:vMerge w:val="continue"/>
            <w:tcBorders>
              <w:left w:val="single" w:color="auto" w:sz="2" w:space="0"/>
              <w:bottom w:val="single" w:color="auto" w:sz="4" w:space="0"/>
            </w:tcBorders>
            <w:vAlign w:val="center"/>
          </w:tcPr>
          <w:p>
            <w:pPr>
              <w:pStyle w:val="4"/>
              <w:spacing w:line="340" w:lineRule="exact"/>
              <w:ind w:firstLine="0"/>
              <w:jc w:val="center"/>
              <w:rPr>
                <w:rFonts w:ascii="Times New Roman" w:hAnsi="Times New Roman" w:cs="Times New Roman" w:eastAsiaTheme="minorEastAsia"/>
                <w:spacing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767" w:type="dxa"/>
            <w:gridSpan w:val="5"/>
            <w:tcBorders>
              <w:top w:val="single" w:color="auto" w:sz="4" w:space="0"/>
              <w:left w:val="nil"/>
              <w:bottom w:val="nil"/>
              <w:right w:val="nil"/>
            </w:tcBorders>
            <w:vAlign w:val="center"/>
          </w:tcPr>
          <w:p>
            <w:pPr>
              <w:pStyle w:val="4"/>
              <w:spacing w:line="340" w:lineRule="exact"/>
              <w:ind w:firstLine="0"/>
              <w:jc w:val="left"/>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注</w:t>
            </w:r>
            <w:r>
              <w:rPr>
                <w:rFonts w:ascii="Times New Roman" w:hAnsi="Times New Roman" w:cs="Times New Roman" w:eastAsiaTheme="minorEastAsia"/>
                <w:spacing w:val="0"/>
                <w:sz w:val="21"/>
                <w:szCs w:val="21"/>
              </w:rPr>
              <w:t>：a排放废水pH</w:t>
            </w:r>
            <w:r>
              <w:rPr>
                <w:rFonts w:hint="eastAsia" w:ascii="Times New Roman" w:hAnsi="Times New Roman" w:cs="Times New Roman" w:eastAsiaTheme="minorEastAsia"/>
                <w:spacing w:val="0"/>
                <w:sz w:val="21"/>
                <w:szCs w:val="21"/>
              </w:rPr>
              <w:t>值小于7时</w:t>
            </w:r>
            <w:r>
              <w:rPr>
                <w:rFonts w:ascii="Times New Roman" w:hAnsi="Times New Roman" w:cs="Times New Roman" w:eastAsiaTheme="minorEastAsia"/>
                <w:spacing w:val="0"/>
                <w:sz w:val="21"/>
                <w:szCs w:val="21"/>
              </w:rPr>
              <w:t>执行该限值</w:t>
            </w:r>
            <w:r>
              <w:rPr>
                <w:rFonts w:hint="eastAsia" w:ascii="Times New Roman" w:hAnsi="Times New Roman" w:cs="Times New Roman" w:eastAsiaTheme="minorEastAsia"/>
                <w:spacing w:val="0"/>
                <w:sz w:val="21"/>
                <w:szCs w:val="21"/>
              </w:rPr>
              <w:t xml:space="preserve">；    </w:t>
            </w:r>
            <w:r>
              <w:rPr>
                <w:rFonts w:ascii="Times New Roman" w:hAnsi="Times New Roman" w:cs="Times New Roman" w:eastAsiaTheme="minorEastAsia"/>
                <w:spacing w:val="0"/>
                <w:sz w:val="21"/>
                <w:szCs w:val="21"/>
              </w:rPr>
              <w:t>b钢铁联合企业的产品以粗钢计</w:t>
            </w:r>
          </w:p>
        </w:tc>
      </w:tr>
    </w:tbl>
    <w:p>
      <w:pPr>
        <w:pStyle w:val="51"/>
        <w:spacing w:line="480" w:lineRule="exact"/>
        <w:ind w:firstLine="480"/>
        <w:rPr>
          <w:rFonts w:ascii="Times New Roman" w:hAnsi="Times New Roman"/>
          <w:lang w:val="en-US" w:eastAsia="zh-CN"/>
        </w:rPr>
      </w:pPr>
      <w:r>
        <w:rPr>
          <w:rFonts w:ascii="Times New Roman" w:hAnsi="Times New Roman"/>
          <w:lang w:val="en-US" w:eastAsia="zh-CN"/>
        </w:rPr>
        <w:t>水污染物排放浓度限值适用于单位产品实际排水量不高于单位产品基准排水量的情况。若单位产品实际排水量超过单位产品基准排水量，需将实测水污染物浓度换算成水污染物基准排水量排放浓度，并以水污染物基准排水量排放浓度作为判定排放是否达标排放的依据。产品产量和排水量统计为一个工作日</w:t>
      </w:r>
      <w:r>
        <w:rPr>
          <w:rFonts w:hint="eastAsia" w:ascii="Times New Roman" w:hAnsi="Times New Roman"/>
          <w:lang w:val="en-US" w:eastAsia="zh-CN"/>
        </w:rPr>
        <w:t>。</w:t>
      </w:r>
    </w:p>
    <w:p>
      <w:pPr>
        <w:pStyle w:val="313"/>
        <w:tabs>
          <w:tab w:val="clear" w:pos="3908"/>
        </w:tabs>
        <w:ind w:left="1122" w:hanging="561"/>
        <w:rPr>
          <w:rFonts w:ascii="Times New Roman" w:hAnsi="Times New Roman"/>
          <w:b w:val="0"/>
          <w:szCs w:val="24"/>
        </w:rPr>
      </w:pPr>
      <w:r>
        <w:rPr>
          <w:rFonts w:hint="eastAsia" w:ascii="Times New Roman" w:hAnsi="Times New Roman"/>
          <w:szCs w:val="24"/>
          <w:lang w:val="en-US" w:eastAsia="zh-CN"/>
        </w:rPr>
        <w:t>《</w:t>
      </w:r>
      <w:r>
        <w:rPr>
          <w:rFonts w:ascii="Times New Roman" w:hAnsi="Times New Roman"/>
          <w:szCs w:val="24"/>
        </w:rPr>
        <w:t>城镇污水处理厂污染物排放标准》（GB18918-2002）</w:t>
      </w:r>
      <w:r>
        <w:rPr>
          <w:rFonts w:ascii="Times New Roman" w:hAnsi="Times New Roman"/>
        </w:rPr>
        <w:t xml:space="preserve"> </w:t>
      </w:r>
      <w:r>
        <w:rPr>
          <w:rFonts w:ascii="Times New Roman" w:hAnsi="Times New Roman"/>
          <w:szCs w:val="24"/>
        </w:rPr>
        <w:t>单位：pH除外mg/L</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68"/>
        <w:gridCol w:w="750"/>
        <w:gridCol w:w="956"/>
        <w:gridCol w:w="1138"/>
        <w:gridCol w:w="1138"/>
        <w:gridCol w:w="1020"/>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项目</w:t>
            </w:r>
          </w:p>
        </w:tc>
        <w:tc>
          <w:tcPr>
            <w:tcW w:w="66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pH</w:t>
            </w:r>
          </w:p>
        </w:tc>
        <w:tc>
          <w:tcPr>
            <w:tcW w:w="750"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SS</w:t>
            </w:r>
          </w:p>
        </w:tc>
        <w:tc>
          <w:tcPr>
            <w:tcW w:w="956" w:type="dxa"/>
            <w:shd w:val="clear" w:color="auto" w:fill="auto"/>
            <w:vAlign w:val="center"/>
          </w:tcPr>
          <w:p>
            <w:pPr>
              <w:spacing w:line="300" w:lineRule="exact"/>
              <w:jc w:val="center"/>
              <w:rPr>
                <w:rFonts w:eastAsiaTheme="minorEastAsia"/>
                <w:sz w:val="21"/>
                <w:szCs w:val="21"/>
                <w:lang w:val="zh-CN"/>
              </w:rPr>
            </w:pPr>
            <w:r>
              <w:rPr>
                <w:rFonts w:hint="eastAsia" w:eastAsiaTheme="minorEastAsia"/>
                <w:sz w:val="21"/>
                <w:szCs w:val="21"/>
                <w:lang w:val="zh-CN"/>
              </w:rPr>
              <w:t>总氮</w:t>
            </w:r>
          </w:p>
        </w:tc>
        <w:tc>
          <w:tcPr>
            <w:tcW w:w="11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石油类</w:t>
            </w:r>
          </w:p>
        </w:tc>
        <w:tc>
          <w:tcPr>
            <w:tcW w:w="11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COD</w:t>
            </w:r>
            <w:r>
              <w:rPr>
                <w:rFonts w:eastAsiaTheme="minorEastAsia"/>
                <w:sz w:val="21"/>
                <w:szCs w:val="21"/>
                <w:vertAlign w:val="subscript"/>
                <w:lang w:val="zh-CN"/>
              </w:rPr>
              <w:t>cr</w:t>
            </w:r>
          </w:p>
        </w:tc>
        <w:tc>
          <w:tcPr>
            <w:tcW w:w="1020"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NH</w:t>
            </w:r>
            <w:r>
              <w:rPr>
                <w:rFonts w:eastAsiaTheme="minorEastAsia"/>
                <w:sz w:val="21"/>
                <w:szCs w:val="21"/>
                <w:vertAlign w:val="subscript"/>
                <w:lang w:val="zh-CN"/>
              </w:rPr>
              <w:t>3</w:t>
            </w:r>
            <w:r>
              <w:rPr>
                <w:rFonts w:eastAsiaTheme="minorEastAsia"/>
                <w:sz w:val="21"/>
                <w:szCs w:val="21"/>
                <w:lang w:val="zh-CN"/>
              </w:rPr>
              <w:t>-N</w:t>
            </w:r>
          </w:p>
        </w:tc>
        <w:tc>
          <w:tcPr>
            <w:tcW w:w="1259"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GB18918-2002</w:t>
            </w:r>
          </w:p>
          <w:p>
            <w:pPr>
              <w:spacing w:line="300" w:lineRule="exact"/>
              <w:jc w:val="center"/>
              <w:rPr>
                <w:rFonts w:eastAsiaTheme="minorEastAsia"/>
                <w:sz w:val="21"/>
                <w:szCs w:val="21"/>
                <w:lang w:val="zh-CN"/>
              </w:rPr>
            </w:pPr>
            <w:r>
              <w:rPr>
                <w:rFonts w:eastAsiaTheme="minorEastAsia"/>
                <w:sz w:val="21"/>
                <w:szCs w:val="21"/>
                <w:lang w:val="zh-CN"/>
              </w:rPr>
              <w:t>一级A标准</w:t>
            </w:r>
          </w:p>
        </w:tc>
        <w:tc>
          <w:tcPr>
            <w:tcW w:w="66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6~9</w:t>
            </w:r>
          </w:p>
        </w:tc>
        <w:tc>
          <w:tcPr>
            <w:tcW w:w="750"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10</w:t>
            </w:r>
          </w:p>
        </w:tc>
        <w:tc>
          <w:tcPr>
            <w:tcW w:w="956" w:type="dxa"/>
            <w:shd w:val="clear" w:color="auto" w:fill="auto"/>
            <w:vAlign w:val="center"/>
          </w:tcPr>
          <w:p>
            <w:pPr>
              <w:spacing w:line="300" w:lineRule="exact"/>
              <w:jc w:val="center"/>
              <w:rPr>
                <w:rFonts w:eastAsiaTheme="minorEastAsia"/>
                <w:sz w:val="21"/>
                <w:szCs w:val="21"/>
                <w:lang w:val="zh-CN"/>
              </w:rPr>
            </w:pPr>
            <w:r>
              <w:rPr>
                <w:rFonts w:hint="eastAsia" w:eastAsiaTheme="minorEastAsia"/>
                <w:sz w:val="21"/>
                <w:szCs w:val="21"/>
                <w:lang w:val="zh-CN"/>
              </w:rPr>
              <w:t>15</w:t>
            </w:r>
          </w:p>
        </w:tc>
        <w:tc>
          <w:tcPr>
            <w:tcW w:w="11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1.0</w:t>
            </w:r>
          </w:p>
        </w:tc>
        <w:tc>
          <w:tcPr>
            <w:tcW w:w="1138"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50</w:t>
            </w:r>
          </w:p>
        </w:tc>
        <w:tc>
          <w:tcPr>
            <w:tcW w:w="1020"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5（8）</w:t>
            </w:r>
            <w:r>
              <w:rPr>
                <w:rFonts w:hint="eastAsia" w:ascii="宋体" w:hAnsi="宋体" w:eastAsia="宋体" w:cs="宋体"/>
                <w:sz w:val="21"/>
                <w:szCs w:val="21"/>
                <w:vertAlign w:val="superscript"/>
                <w:lang w:val="zh-CN"/>
              </w:rPr>
              <w:t>①</w:t>
            </w:r>
          </w:p>
        </w:tc>
        <w:tc>
          <w:tcPr>
            <w:tcW w:w="1259" w:type="dxa"/>
            <w:shd w:val="clear" w:color="auto" w:fill="auto"/>
            <w:vAlign w:val="center"/>
          </w:tcPr>
          <w:p>
            <w:pPr>
              <w:spacing w:line="300" w:lineRule="exact"/>
              <w:jc w:val="center"/>
              <w:rPr>
                <w:rFonts w:eastAsiaTheme="minorEastAsia"/>
                <w:sz w:val="21"/>
                <w:szCs w:val="21"/>
                <w:lang w:val="zh-CN"/>
              </w:rPr>
            </w:pPr>
            <w:r>
              <w:rPr>
                <w:rFonts w:eastAsiaTheme="minorEastAsia"/>
                <w:sz w:val="21"/>
                <w:szCs w:val="21"/>
                <w:lang w:val="zh-CN"/>
              </w:rPr>
              <w:t>0.5</w:t>
            </w:r>
          </w:p>
        </w:tc>
      </w:tr>
    </w:tbl>
    <w:p>
      <w:pPr>
        <w:widowControl/>
        <w:spacing w:line="340" w:lineRule="exact"/>
        <w:ind w:firstLine="450"/>
        <w:rPr>
          <w:rFonts w:eastAsia="宋体"/>
          <w:sz w:val="21"/>
          <w:szCs w:val="21"/>
        </w:rPr>
      </w:pPr>
      <w:r>
        <w:rPr>
          <w:rFonts w:eastAsia="宋体"/>
          <w:sz w:val="21"/>
          <w:szCs w:val="21"/>
        </w:rPr>
        <w:t>注：</w:t>
      </w:r>
      <w:r>
        <w:rPr>
          <w:rFonts w:hint="eastAsia" w:eastAsia="宋体"/>
          <w:sz w:val="21"/>
          <w:szCs w:val="21"/>
        </w:rPr>
        <w:t>①</w:t>
      </w:r>
      <w:r>
        <w:rPr>
          <w:rFonts w:eastAsia="宋体"/>
          <w:sz w:val="21"/>
          <w:szCs w:val="21"/>
        </w:rPr>
        <w:t>括号外数值为水温&gt;12</w:t>
      </w:r>
      <w:r>
        <w:rPr>
          <w:rFonts w:hint="eastAsia" w:ascii="宋体" w:hAnsi="宋体" w:eastAsia="宋体" w:cs="宋体"/>
          <w:sz w:val="21"/>
          <w:szCs w:val="21"/>
        </w:rPr>
        <w:t>℃</w:t>
      </w:r>
      <w:r>
        <w:rPr>
          <w:rFonts w:eastAsia="宋体"/>
          <w:sz w:val="21"/>
          <w:szCs w:val="21"/>
        </w:rPr>
        <w:t>时控制指标，括号内数值为水温≤12</w:t>
      </w:r>
      <w:r>
        <w:rPr>
          <w:rFonts w:hint="eastAsia" w:ascii="宋体" w:hAnsi="宋体" w:eastAsia="宋体" w:cs="宋体"/>
          <w:sz w:val="21"/>
          <w:szCs w:val="21"/>
        </w:rPr>
        <w:t>℃</w:t>
      </w:r>
      <w:r>
        <w:rPr>
          <w:rFonts w:eastAsia="宋体"/>
          <w:sz w:val="21"/>
          <w:szCs w:val="21"/>
        </w:rPr>
        <w:t>时的控制指标。</w:t>
      </w:r>
    </w:p>
    <w:p>
      <w:pPr>
        <w:pStyle w:val="4"/>
        <w:spacing w:line="480" w:lineRule="exact"/>
        <w:ind w:firstLine="520"/>
        <w:rPr>
          <w:rFonts w:ascii="Times New Roman" w:hAnsi="Times New Roman" w:cs="Times New Roman"/>
          <w:spacing w:val="0"/>
        </w:rPr>
      </w:pPr>
      <w:r>
        <w:rPr>
          <w:rFonts w:ascii="Times New Roman" w:hAnsi="Times New Roman" w:cs="Times New Roman"/>
          <w:spacing w:val="0"/>
        </w:rPr>
        <w:t>(2)回用水质</w:t>
      </w:r>
    </w:p>
    <w:p>
      <w:pPr>
        <w:pStyle w:val="51"/>
        <w:spacing w:line="480" w:lineRule="exact"/>
        <w:ind w:firstLine="480"/>
        <w:rPr>
          <w:rFonts w:ascii="Times New Roman" w:hAnsi="Times New Roman"/>
        </w:rPr>
      </w:pPr>
      <w:r>
        <w:rPr>
          <w:rFonts w:hint="eastAsia" w:ascii="Times New Roman" w:hAnsi="Times New Roman"/>
          <w:lang w:val="en-US" w:eastAsia="zh-CN"/>
        </w:rPr>
        <w:t>本</w:t>
      </w:r>
      <w:r>
        <w:rPr>
          <w:rFonts w:ascii="Times New Roman" w:hAnsi="Times New Roman"/>
        </w:rPr>
        <w:t>项目净环水、浊环水经处理后循环使用，</w:t>
      </w:r>
      <w:r>
        <w:rPr>
          <w:rFonts w:hint="eastAsia" w:ascii="Times New Roman" w:hAnsi="Times New Roman"/>
          <w:lang w:eastAsia="zh-CN"/>
        </w:rPr>
        <w:t>根据</w:t>
      </w:r>
      <w:r>
        <w:rPr>
          <w:rFonts w:ascii="Times New Roman" w:hAnsi="Times New Roman"/>
          <w:lang w:eastAsia="zh-CN"/>
        </w:rPr>
        <w:t>可行性研究报告，</w:t>
      </w:r>
      <w:r>
        <w:rPr>
          <w:rFonts w:hint="eastAsia" w:ascii="Times New Roman" w:hAnsi="Times New Roman"/>
          <w:lang w:eastAsia="zh-CN"/>
        </w:rPr>
        <w:t>循环冷却水</w:t>
      </w:r>
      <w:r>
        <w:rPr>
          <w:rFonts w:ascii="Times New Roman" w:hAnsi="Times New Roman"/>
        </w:rPr>
        <w:t>水质</w:t>
      </w:r>
      <w:r>
        <w:rPr>
          <w:rFonts w:hint="eastAsia" w:ascii="Times New Roman" w:hAnsi="Times New Roman"/>
          <w:lang w:eastAsia="zh-CN"/>
        </w:rPr>
        <w:t>标准</w:t>
      </w:r>
      <w:r>
        <w:rPr>
          <w:rFonts w:ascii="Times New Roman" w:hAnsi="Times New Roman"/>
        </w:rPr>
        <w:t>详见表</w:t>
      </w:r>
      <w:r>
        <w:rPr>
          <w:rFonts w:ascii="Times New Roman" w:hAnsi="Times New Roman"/>
          <w:lang w:eastAsia="zh-CN"/>
        </w:rPr>
        <w:t>2-</w:t>
      </w:r>
      <w:r>
        <w:rPr>
          <w:rFonts w:hint="eastAsia" w:ascii="Times New Roman" w:hAnsi="Times New Roman"/>
          <w:lang w:eastAsia="zh-CN"/>
        </w:rPr>
        <w:t>1</w:t>
      </w:r>
      <w:r>
        <w:rPr>
          <w:rFonts w:ascii="Times New Roman" w:hAnsi="Times New Roman"/>
          <w:lang w:eastAsia="zh-CN"/>
        </w:rPr>
        <w:t>8</w:t>
      </w:r>
      <w:r>
        <w:rPr>
          <w:rFonts w:ascii="Times New Roman" w:hAnsi="Times New Roman"/>
        </w:rPr>
        <w:t>。</w:t>
      </w:r>
    </w:p>
    <w:p>
      <w:pPr>
        <w:pStyle w:val="313"/>
        <w:tabs>
          <w:tab w:val="clear" w:pos="1840"/>
          <w:tab w:val="clear" w:pos="3908"/>
        </w:tabs>
        <w:ind w:left="1122" w:hanging="561"/>
        <w:rPr>
          <w:rFonts w:ascii="Times New Roman" w:hAnsi="Times New Roman"/>
          <w:szCs w:val="24"/>
          <w:lang w:val="en-US" w:eastAsia="zh-CN"/>
        </w:rPr>
      </w:pPr>
      <w:r>
        <w:rPr>
          <w:rFonts w:hint="eastAsia" w:ascii="Times New Roman" w:hAnsi="Times New Roman"/>
          <w:szCs w:val="24"/>
          <w:lang w:val="en-US" w:eastAsia="zh-CN"/>
        </w:rPr>
        <w:t>循环冷却水水质标准</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15"/>
        <w:gridCol w:w="1043"/>
        <w:gridCol w:w="1701"/>
        <w:gridCol w:w="1976"/>
        <w:gridCol w:w="18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指标</w:t>
            </w:r>
          </w:p>
        </w:tc>
        <w:tc>
          <w:tcPr>
            <w:tcW w:w="1043" w:type="dxa"/>
            <w:vAlign w:val="center"/>
          </w:tcPr>
          <w:p>
            <w:pPr>
              <w:snapToGrid w:val="0"/>
              <w:spacing w:line="300" w:lineRule="exact"/>
              <w:jc w:val="center"/>
              <w:rPr>
                <w:rFonts w:eastAsiaTheme="minorEastAsia"/>
                <w:sz w:val="21"/>
                <w:szCs w:val="21"/>
              </w:rPr>
            </w:pPr>
            <w:r>
              <w:rPr>
                <w:rFonts w:hint="eastAsia" w:eastAsiaTheme="minorEastAsia"/>
                <w:sz w:val="21"/>
                <w:szCs w:val="21"/>
              </w:rPr>
              <w:t>单位</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净循环水系统</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VD浊循环系统</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连铸浊循环系统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hint="eastAsia" w:eastAsiaTheme="minorEastAsia"/>
                <w:sz w:val="21"/>
                <w:szCs w:val="21"/>
              </w:rPr>
              <w:t>p</w:t>
            </w:r>
            <w:r>
              <w:rPr>
                <w:rFonts w:eastAsiaTheme="minorEastAsia"/>
                <w:sz w:val="21"/>
                <w:szCs w:val="21"/>
              </w:rPr>
              <w:t>H</w:t>
            </w:r>
          </w:p>
        </w:tc>
        <w:tc>
          <w:tcPr>
            <w:tcW w:w="1043" w:type="dxa"/>
            <w:vAlign w:val="center"/>
          </w:tcPr>
          <w:p>
            <w:pPr>
              <w:snapToGrid w:val="0"/>
              <w:spacing w:line="300" w:lineRule="exact"/>
              <w:jc w:val="center"/>
              <w:rPr>
                <w:rFonts w:eastAsiaTheme="minorEastAsia"/>
                <w:sz w:val="21"/>
                <w:szCs w:val="21"/>
              </w:rPr>
            </w:pPr>
            <w:r>
              <w:rPr>
                <w:rFonts w:hint="eastAsia" w:eastAsiaTheme="minorEastAsia"/>
                <w:sz w:val="21"/>
                <w:szCs w:val="21"/>
              </w:rPr>
              <w:t>/</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7-9</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7-9</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悬浮物</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＜20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≤80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悬浮物颗粒</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mm</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≤0.2</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≤0.2</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碳酸盐硬度</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＜300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≤400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总盐含量</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&lt;500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≤500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硫酸盐含量</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≤200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≤200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氯离子</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＜150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≤150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可溶性SiO</w:t>
            </w:r>
            <w:r>
              <w:rPr>
                <w:rFonts w:eastAsiaTheme="minorEastAsia"/>
                <w:sz w:val="21"/>
                <w:szCs w:val="21"/>
                <w:vertAlign w:val="subscript"/>
              </w:rPr>
              <w:t>2</w:t>
            </w:r>
            <w:r>
              <w:rPr>
                <w:rFonts w:eastAsiaTheme="minorEastAsia"/>
                <w:sz w:val="21"/>
                <w:szCs w:val="21"/>
              </w:rPr>
              <w:t>含量</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≤40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≤75</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≤75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电导率</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μs/cm</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≤1000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≤1500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≤1500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固溶物含量</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≤1500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≤1500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≤1500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油</w:t>
            </w:r>
          </w:p>
        </w:tc>
        <w:tc>
          <w:tcPr>
            <w:tcW w:w="1043"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1976"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w:t>
            </w:r>
          </w:p>
        </w:tc>
        <w:tc>
          <w:tcPr>
            <w:tcW w:w="183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全铁量</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mg/l</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≤0.5</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≤0.5</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15" w:type="dxa"/>
            <w:vAlign w:val="center"/>
          </w:tcPr>
          <w:p>
            <w:pPr>
              <w:snapToGrid w:val="0"/>
              <w:spacing w:line="300" w:lineRule="exact"/>
              <w:jc w:val="center"/>
              <w:rPr>
                <w:rFonts w:eastAsiaTheme="minorEastAsia"/>
                <w:sz w:val="21"/>
                <w:szCs w:val="21"/>
              </w:rPr>
            </w:pPr>
            <w:r>
              <w:rPr>
                <w:rFonts w:eastAsiaTheme="minorEastAsia"/>
                <w:sz w:val="21"/>
                <w:szCs w:val="21"/>
              </w:rPr>
              <w:t>M碱度</w:t>
            </w:r>
          </w:p>
        </w:tc>
        <w:tc>
          <w:tcPr>
            <w:tcW w:w="1043" w:type="dxa"/>
            <w:vAlign w:val="center"/>
          </w:tcPr>
          <w:p>
            <w:pPr>
              <w:snapToGrid w:val="0"/>
              <w:spacing w:line="300" w:lineRule="exact"/>
              <w:jc w:val="center"/>
              <w:rPr>
                <w:rFonts w:eastAsiaTheme="minorEastAsia"/>
                <w:sz w:val="21"/>
                <w:szCs w:val="21"/>
              </w:rPr>
            </w:pPr>
            <w:r>
              <w:rPr>
                <w:rFonts w:eastAsiaTheme="minorEastAsia"/>
                <w:sz w:val="21"/>
                <w:szCs w:val="21"/>
              </w:rPr>
              <w:t>ppm</w:t>
            </w:r>
          </w:p>
        </w:tc>
        <w:tc>
          <w:tcPr>
            <w:tcW w:w="1701" w:type="dxa"/>
            <w:vAlign w:val="center"/>
          </w:tcPr>
          <w:p>
            <w:pPr>
              <w:snapToGrid w:val="0"/>
              <w:spacing w:line="300" w:lineRule="exact"/>
              <w:jc w:val="center"/>
              <w:rPr>
                <w:rFonts w:eastAsiaTheme="minorEastAsia"/>
                <w:sz w:val="21"/>
                <w:szCs w:val="21"/>
              </w:rPr>
            </w:pPr>
            <w:r>
              <w:rPr>
                <w:rFonts w:eastAsiaTheme="minorEastAsia"/>
                <w:sz w:val="21"/>
                <w:szCs w:val="21"/>
              </w:rPr>
              <w:t>50~300</w:t>
            </w:r>
          </w:p>
        </w:tc>
        <w:tc>
          <w:tcPr>
            <w:tcW w:w="1976" w:type="dxa"/>
            <w:vAlign w:val="center"/>
          </w:tcPr>
          <w:p>
            <w:pPr>
              <w:snapToGrid w:val="0"/>
              <w:spacing w:line="300" w:lineRule="exact"/>
              <w:jc w:val="center"/>
              <w:rPr>
                <w:rFonts w:eastAsiaTheme="minorEastAsia"/>
                <w:sz w:val="21"/>
                <w:szCs w:val="21"/>
              </w:rPr>
            </w:pPr>
            <w:r>
              <w:rPr>
                <w:rFonts w:eastAsiaTheme="minorEastAsia"/>
                <w:sz w:val="21"/>
                <w:szCs w:val="21"/>
              </w:rPr>
              <w:t>50~300</w:t>
            </w:r>
          </w:p>
        </w:tc>
        <w:tc>
          <w:tcPr>
            <w:tcW w:w="1832" w:type="dxa"/>
            <w:vAlign w:val="center"/>
          </w:tcPr>
          <w:p>
            <w:pPr>
              <w:snapToGrid w:val="0"/>
              <w:spacing w:line="300" w:lineRule="exact"/>
              <w:jc w:val="center"/>
              <w:rPr>
                <w:rFonts w:eastAsiaTheme="minorEastAsia"/>
                <w:sz w:val="21"/>
                <w:szCs w:val="21"/>
              </w:rPr>
            </w:pPr>
            <w:r>
              <w:rPr>
                <w:rFonts w:eastAsiaTheme="minorEastAsia"/>
                <w:sz w:val="21"/>
                <w:szCs w:val="21"/>
              </w:rPr>
              <w:t>50~300</w:t>
            </w:r>
          </w:p>
        </w:tc>
      </w:tr>
    </w:tbl>
    <w:p>
      <w:pPr>
        <w:pStyle w:val="51"/>
        <w:spacing w:line="480" w:lineRule="exact"/>
        <w:ind w:firstLine="480"/>
        <w:rPr>
          <w:rFonts w:ascii="Times New Roman" w:hAnsi="Times New Roman"/>
        </w:rPr>
      </w:pPr>
      <w:r>
        <w:rPr>
          <w:rFonts w:hint="eastAsia" w:ascii="Times New Roman" w:hAnsi="Times New Roman"/>
        </w:rPr>
        <w:t xml:space="preserve"> (3)</w:t>
      </w:r>
      <w:r>
        <w:rPr>
          <w:rFonts w:ascii="Times New Roman" w:hAnsi="Times New Roman"/>
        </w:rPr>
        <w:t xml:space="preserve"> </w:t>
      </w:r>
      <w:r>
        <w:rPr>
          <w:rFonts w:hint="eastAsia" w:ascii="Times New Roman" w:hAnsi="Times New Roman"/>
        </w:rPr>
        <w:t>雨水排放口</w:t>
      </w:r>
    </w:p>
    <w:p>
      <w:pPr>
        <w:pStyle w:val="4"/>
        <w:ind w:firstLine="520"/>
        <w:rPr>
          <w:rFonts w:ascii="Times New Roman" w:hAnsi="Times New Roman" w:cs="Times New Roman"/>
          <w:spacing w:val="0"/>
        </w:rPr>
      </w:pPr>
      <w:r>
        <w:rPr>
          <w:rFonts w:ascii="Times New Roman" w:hAnsi="Times New Roman" w:cs="Times New Roman"/>
          <w:spacing w:val="0"/>
        </w:rPr>
        <w:t>雨水排放口的 COD</w:t>
      </w:r>
      <w:r>
        <w:rPr>
          <w:rFonts w:ascii="Times New Roman" w:hAnsi="Times New Roman" w:cs="Times New Roman"/>
          <w:spacing w:val="0"/>
          <w:vertAlign w:val="subscript"/>
        </w:rPr>
        <w:t>Cr</w:t>
      </w:r>
      <w:r>
        <w:rPr>
          <w:rFonts w:ascii="Times New Roman" w:hAnsi="Times New Roman" w:cs="Times New Roman"/>
          <w:spacing w:val="0"/>
        </w:rPr>
        <w:t>浓度执行浙政发[2011]107号《浙江省人民政府关于十二五时期重污染高耗能行业深化整治促进提升的指导》中规定的浓度限值要求，COD</w:t>
      </w:r>
      <w:r>
        <w:rPr>
          <w:rFonts w:ascii="Times New Roman" w:hAnsi="Times New Roman" w:cs="Times New Roman"/>
          <w:spacing w:val="0"/>
          <w:vertAlign w:val="subscript"/>
        </w:rPr>
        <w:t>Cr</w:t>
      </w:r>
      <w:r>
        <w:rPr>
          <w:rFonts w:ascii="Times New Roman" w:hAnsi="Times New Roman" w:cs="Times New Roman"/>
          <w:spacing w:val="0"/>
        </w:rPr>
        <w:t xml:space="preserve"> 浓度不得高于50mg/L或不高于进水浓度20mg/L。</w:t>
      </w:r>
    </w:p>
    <w:p>
      <w:pPr>
        <w:pStyle w:val="4"/>
        <w:ind w:firstLine="520"/>
        <w:rPr>
          <w:rFonts w:ascii="Times New Roman" w:hAnsi="Times New Roman" w:cs="Times New Roman"/>
          <w:spacing w:val="0"/>
        </w:rPr>
      </w:pPr>
      <w:r>
        <w:rPr>
          <w:rFonts w:ascii="Times New Roman" w:hAnsi="Times New Roman" w:cs="Times New Roman"/>
          <w:spacing w:val="0"/>
        </w:rPr>
        <w:t>3．噪声</w:t>
      </w:r>
    </w:p>
    <w:p>
      <w:pPr>
        <w:pStyle w:val="4"/>
        <w:ind w:firstLine="520"/>
        <w:rPr>
          <w:rFonts w:ascii="Times New Roman" w:hAnsi="Times New Roman" w:cs="Times New Roman"/>
          <w:spacing w:val="0"/>
        </w:rPr>
      </w:pPr>
      <w:r>
        <w:rPr>
          <w:rFonts w:ascii="Times New Roman" w:hAnsi="Times New Roman" w:cs="Times New Roman"/>
          <w:spacing w:val="0"/>
        </w:rPr>
        <w:t>(1)施工期噪声</w:t>
      </w:r>
    </w:p>
    <w:p>
      <w:pPr>
        <w:pStyle w:val="4"/>
        <w:ind w:firstLine="480"/>
        <w:jc w:val="left"/>
        <w:rPr>
          <w:rFonts w:ascii="Times New Roman" w:hAnsi="Times New Roman" w:cs="Times New Roman"/>
          <w:spacing w:val="0"/>
        </w:rPr>
      </w:pPr>
      <w:r>
        <w:rPr>
          <w:rFonts w:ascii="Times New Roman" w:hAnsi="Times New Roman" w:cs="Times New Roman"/>
          <w:spacing w:val="0"/>
        </w:rPr>
        <w:t>施工噪声执行《建筑施工场界环境噪声排放标准》(GB12523-2011)，建筑施工场界环境噪声排放限值见表2-</w:t>
      </w:r>
      <w:r>
        <w:rPr>
          <w:rFonts w:hint="eastAsia" w:ascii="Times New Roman" w:hAnsi="Times New Roman" w:cs="Times New Roman"/>
          <w:spacing w:val="0"/>
        </w:rPr>
        <w:t>19</w:t>
      </w:r>
      <w:r>
        <w:rPr>
          <w:rFonts w:ascii="Times New Roman" w:hAnsi="Times New Roman" w:cs="Times New Roman"/>
          <w:spacing w:val="0"/>
        </w:rPr>
        <w:t>。</w:t>
      </w:r>
    </w:p>
    <w:p>
      <w:pPr>
        <w:pStyle w:val="6"/>
        <w:tabs>
          <w:tab w:val="left" w:pos="851"/>
        </w:tabs>
        <w:adjustRightInd/>
        <w:spacing w:before="60"/>
        <w:ind w:left="851" w:hanging="562"/>
        <w:jc w:val="center"/>
        <w:rPr>
          <w:rFonts w:ascii="Times New Roman" w:hAnsi="Times New Roman"/>
        </w:rPr>
      </w:pPr>
      <w:r>
        <w:rPr>
          <w:rFonts w:ascii="Times New Roman" w:hAnsi="Times New Roman"/>
        </w:rPr>
        <w:t>《建筑施工场界环境噪声排放标准》</w:t>
      </w:r>
      <w:r>
        <w:rPr>
          <w:rFonts w:ascii="Times New Roman" w:hAnsi="Times New Roman"/>
          <w:lang w:eastAsia="zh-CN"/>
        </w:rPr>
        <w:t>(</w:t>
      </w:r>
      <w:r>
        <w:rPr>
          <w:rFonts w:ascii="Times New Roman" w:hAnsi="Times New Roman"/>
        </w:rPr>
        <w:t>GB12523-2011</w:t>
      </w:r>
      <w:r>
        <w:rPr>
          <w:rFonts w:ascii="Times New Roman" w:hAnsi="Times New Roman"/>
          <w:lang w:eastAsia="zh-CN"/>
        </w:rPr>
        <w:t>)</w:t>
      </w:r>
      <w:r>
        <w:rPr>
          <w:rFonts w:ascii="Times New Roman" w:hAnsi="Times New Roman"/>
        </w:rPr>
        <w:t xml:space="preserve">   单位：dB</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946"/>
        <w:gridCol w:w="5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07" w:type="dxa"/>
            <w:gridSpan w:val="2"/>
            <w:vAlign w:val="center"/>
          </w:tcPr>
          <w:p>
            <w:pPr>
              <w:pStyle w:val="4"/>
              <w:spacing w:line="360" w:lineRule="exact"/>
              <w:ind w:firstLine="0"/>
              <w:jc w:val="center"/>
              <w:rPr>
                <w:rFonts w:ascii="Times New Roman" w:hAnsi="Times New Roman" w:cs="Times New Roman"/>
                <w:spacing w:val="0"/>
                <w:sz w:val="21"/>
              </w:rPr>
            </w:pPr>
            <w:r>
              <w:rPr>
                <w:rFonts w:ascii="Times New Roman" w:hAnsi="Times New Roman" w:cs="Times New Roman"/>
                <w:spacing w:val="0"/>
                <w:sz w:val="21"/>
              </w:rPr>
              <w:t>建筑施工场界环境噪声排放限值</w:t>
            </w:r>
          </w:p>
        </w:tc>
        <w:tc>
          <w:tcPr>
            <w:tcW w:w="5160" w:type="dxa"/>
            <w:vAlign w:val="center"/>
          </w:tcPr>
          <w:p>
            <w:pPr>
              <w:pStyle w:val="4"/>
              <w:spacing w:line="360" w:lineRule="exact"/>
              <w:ind w:firstLine="0"/>
              <w:jc w:val="center"/>
              <w:rPr>
                <w:rFonts w:ascii="Times New Roman" w:hAnsi="Times New Roman" w:cs="Times New Roman"/>
                <w:spacing w:val="4"/>
                <w:sz w:val="21"/>
              </w:rPr>
            </w:pPr>
            <w:r>
              <w:rPr>
                <w:rFonts w:ascii="Times New Roman" w:hAnsi="Times New Roman" w:cs="Times New Roman"/>
                <w:spacing w:val="4"/>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1" w:type="dxa"/>
            <w:vAlign w:val="center"/>
          </w:tcPr>
          <w:p>
            <w:pPr>
              <w:pStyle w:val="4"/>
              <w:spacing w:line="360" w:lineRule="exact"/>
              <w:ind w:firstLine="0"/>
              <w:jc w:val="center"/>
              <w:rPr>
                <w:rFonts w:ascii="Times New Roman" w:hAnsi="Times New Roman" w:cs="Times New Roman"/>
                <w:spacing w:val="0"/>
                <w:sz w:val="21"/>
              </w:rPr>
            </w:pPr>
            <w:r>
              <w:rPr>
                <w:rFonts w:ascii="Times New Roman" w:hAnsi="Times New Roman" w:cs="Times New Roman"/>
                <w:spacing w:val="0"/>
                <w:sz w:val="21"/>
              </w:rPr>
              <w:t>昼间</w:t>
            </w:r>
          </w:p>
        </w:tc>
        <w:tc>
          <w:tcPr>
            <w:tcW w:w="1946" w:type="dxa"/>
            <w:vAlign w:val="center"/>
          </w:tcPr>
          <w:p>
            <w:pPr>
              <w:pStyle w:val="4"/>
              <w:spacing w:line="360" w:lineRule="exact"/>
              <w:ind w:firstLine="0"/>
              <w:jc w:val="center"/>
              <w:rPr>
                <w:rFonts w:ascii="Times New Roman" w:hAnsi="Times New Roman" w:cs="Times New Roman"/>
                <w:spacing w:val="0"/>
                <w:sz w:val="21"/>
              </w:rPr>
            </w:pPr>
            <w:r>
              <w:rPr>
                <w:rFonts w:ascii="Times New Roman" w:hAnsi="Times New Roman" w:cs="Times New Roman"/>
                <w:spacing w:val="0"/>
                <w:sz w:val="21"/>
              </w:rPr>
              <w:t>夜间</w:t>
            </w:r>
          </w:p>
        </w:tc>
        <w:tc>
          <w:tcPr>
            <w:tcW w:w="5160" w:type="dxa"/>
            <w:vMerge w:val="restart"/>
            <w:vAlign w:val="center"/>
          </w:tcPr>
          <w:p>
            <w:pPr>
              <w:pStyle w:val="4"/>
              <w:spacing w:line="360" w:lineRule="exact"/>
              <w:ind w:firstLine="0"/>
              <w:jc w:val="center"/>
              <w:rPr>
                <w:rFonts w:ascii="Times New Roman" w:hAnsi="Times New Roman" w:cs="Times New Roman"/>
                <w:spacing w:val="4"/>
                <w:sz w:val="21"/>
              </w:rPr>
            </w:pPr>
            <w:r>
              <w:rPr>
                <w:rFonts w:ascii="Times New Roman" w:hAnsi="Times New Roman" w:cs="Times New Roman"/>
                <w:spacing w:val="4"/>
                <w:sz w:val="21"/>
              </w:rPr>
              <w:t>夜间噪声最大声级超过限值的幅度不得高于15dB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1" w:type="dxa"/>
            <w:tcBorders>
              <w:bottom w:val="single" w:color="auto" w:sz="4" w:space="0"/>
            </w:tcBorders>
            <w:vAlign w:val="center"/>
          </w:tcPr>
          <w:p>
            <w:pPr>
              <w:pStyle w:val="4"/>
              <w:spacing w:line="360" w:lineRule="exact"/>
              <w:ind w:firstLine="0"/>
              <w:jc w:val="center"/>
              <w:rPr>
                <w:rFonts w:ascii="Times New Roman" w:hAnsi="Times New Roman" w:cs="Times New Roman"/>
                <w:spacing w:val="0"/>
                <w:sz w:val="21"/>
              </w:rPr>
            </w:pPr>
            <w:r>
              <w:rPr>
                <w:rFonts w:ascii="Times New Roman" w:hAnsi="Times New Roman" w:cs="Times New Roman"/>
                <w:spacing w:val="0"/>
                <w:sz w:val="21"/>
              </w:rPr>
              <w:t>70</w:t>
            </w:r>
          </w:p>
        </w:tc>
        <w:tc>
          <w:tcPr>
            <w:tcW w:w="1946" w:type="dxa"/>
            <w:tcBorders>
              <w:bottom w:val="single" w:color="auto" w:sz="4" w:space="0"/>
            </w:tcBorders>
            <w:vAlign w:val="center"/>
          </w:tcPr>
          <w:p>
            <w:pPr>
              <w:pStyle w:val="4"/>
              <w:spacing w:line="360" w:lineRule="exact"/>
              <w:ind w:firstLine="0"/>
              <w:jc w:val="center"/>
              <w:rPr>
                <w:rFonts w:ascii="Times New Roman" w:hAnsi="Times New Roman" w:cs="Times New Roman"/>
                <w:spacing w:val="0"/>
                <w:sz w:val="21"/>
              </w:rPr>
            </w:pPr>
            <w:r>
              <w:rPr>
                <w:rFonts w:ascii="Times New Roman" w:hAnsi="Times New Roman" w:cs="Times New Roman"/>
                <w:spacing w:val="0"/>
                <w:sz w:val="21"/>
              </w:rPr>
              <w:t>55</w:t>
            </w:r>
          </w:p>
        </w:tc>
        <w:tc>
          <w:tcPr>
            <w:tcW w:w="5160" w:type="dxa"/>
            <w:vMerge w:val="continue"/>
            <w:tcBorders>
              <w:bottom w:val="single" w:color="auto" w:sz="4" w:space="0"/>
            </w:tcBorders>
            <w:vAlign w:val="center"/>
          </w:tcPr>
          <w:p>
            <w:pPr>
              <w:spacing w:line="360" w:lineRule="exact"/>
              <w:jc w:val="center"/>
              <w:rPr>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7" w:type="dxa"/>
            <w:gridSpan w:val="3"/>
            <w:tcBorders>
              <w:left w:val="nil"/>
              <w:bottom w:val="nil"/>
              <w:right w:val="nil"/>
            </w:tcBorders>
            <w:vAlign w:val="center"/>
          </w:tcPr>
          <w:p>
            <w:pPr>
              <w:spacing w:line="360" w:lineRule="exact"/>
              <w:jc w:val="left"/>
              <w:rPr>
                <w:sz w:val="21"/>
                <w:szCs w:val="21"/>
              </w:rPr>
            </w:pPr>
            <w:r>
              <w:rPr>
                <w:rFonts w:eastAsia="宋体"/>
                <w:sz w:val="21"/>
              </w:rPr>
              <w:t>注：当场界距敏感建筑物较近，其室外不满足测量条件时，可在噪声敏感建筑物室内测量，并将上表中相应的限值减10dB（A）作为评价依据。</w:t>
            </w:r>
          </w:p>
        </w:tc>
      </w:tr>
    </w:tbl>
    <w:p>
      <w:pPr>
        <w:pStyle w:val="4"/>
        <w:spacing w:line="480" w:lineRule="exact"/>
        <w:ind w:firstLine="522"/>
        <w:rPr>
          <w:rFonts w:ascii="Times New Roman" w:hAnsi="Times New Roman" w:cs="Times New Roman"/>
          <w:spacing w:val="0"/>
        </w:rPr>
      </w:pPr>
      <w:r>
        <w:rPr>
          <w:rFonts w:ascii="Times New Roman" w:hAnsi="Times New Roman" w:cs="Times New Roman"/>
          <w:spacing w:val="0"/>
        </w:rPr>
        <w:t>(2)营运期噪声</w:t>
      </w:r>
    </w:p>
    <w:p>
      <w:pPr>
        <w:pStyle w:val="4"/>
        <w:spacing w:line="480" w:lineRule="exact"/>
        <w:ind w:firstLine="522"/>
        <w:rPr>
          <w:rFonts w:ascii="Times New Roman" w:hAnsi="Times New Roman" w:cs="Times New Roman"/>
          <w:spacing w:val="0"/>
        </w:rPr>
      </w:pPr>
      <w:r>
        <w:rPr>
          <w:rFonts w:ascii="Times New Roman" w:hAnsi="Times New Roman" w:cs="Times New Roman"/>
          <w:spacing w:val="0"/>
        </w:rPr>
        <w:t>营运期厂界噪声执行《工业企业厂界环境噪声排放标准》（GB12348-2008）中的3类</w:t>
      </w:r>
      <w:r>
        <w:rPr>
          <w:rFonts w:hint="eastAsia" w:ascii="Times New Roman" w:hAnsi="Times New Roman" w:cs="Times New Roman"/>
          <w:spacing w:val="0"/>
        </w:rPr>
        <w:t>、4类</w:t>
      </w:r>
      <w:r>
        <w:rPr>
          <w:rFonts w:ascii="Times New Roman" w:hAnsi="Times New Roman" w:cs="Times New Roman"/>
          <w:spacing w:val="0"/>
        </w:rPr>
        <w:t>标准，具体标准值见表2-</w:t>
      </w:r>
      <w:r>
        <w:rPr>
          <w:rFonts w:hint="eastAsia" w:ascii="Times New Roman" w:hAnsi="Times New Roman" w:cs="Times New Roman"/>
          <w:spacing w:val="0"/>
        </w:rPr>
        <w:t>2</w:t>
      </w:r>
      <w:r>
        <w:rPr>
          <w:rFonts w:ascii="Times New Roman" w:hAnsi="Times New Roman" w:cs="Times New Roman"/>
          <w:spacing w:val="0"/>
        </w:rPr>
        <w:t>0。</w:t>
      </w:r>
    </w:p>
    <w:p>
      <w:pPr>
        <w:pStyle w:val="313"/>
        <w:tabs>
          <w:tab w:val="clear" w:pos="3908"/>
        </w:tabs>
        <w:ind w:left="1122" w:hanging="561"/>
        <w:rPr>
          <w:rFonts w:ascii="Times New Roman" w:hAnsi="Times New Roman"/>
        </w:rPr>
      </w:pPr>
      <w:r>
        <w:rPr>
          <w:rFonts w:ascii="Times New Roman" w:hAnsi="Times New Roman"/>
        </w:rPr>
        <w:t>《工业企业厂界环境噪声排放标准》</w:t>
      </w:r>
      <w:r>
        <w:rPr>
          <w:rFonts w:hint="eastAsia" w:ascii="Times New Roman" w:hAnsi="Times New Roman"/>
          <w:lang w:eastAsia="zh-CN"/>
        </w:rPr>
        <w:t>(</w:t>
      </w:r>
      <w:r>
        <w:rPr>
          <w:rFonts w:ascii="Times New Roman" w:hAnsi="Times New Roman"/>
        </w:rPr>
        <w:t>GB12348-2008</w:t>
      </w:r>
      <w:r>
        <w:rPr>
          <w:rFonts w:hint="eastAsia" w:ascii="Times New Roman" w:hAnsi="Times New Roman"/>
          <w:lang w:eastAsia="zh-CN"/>
        </w:rPr>
        <w:t>)</w:t>
      </w:r>
      <w:r>
        <w:rPr>
          <w:rFonts w:ascii="Times New Roman" w:hAnsi="Times New Roman"/>
          <w:lang w:eastAsia="zh-CN"/>
        </w:rPr>
        <w:t xml:space="preserve">  </w:t>
      </w:r>
      <w:r>
        <w:rPr>
          <w:rFonts w:ascii="Times New Roman" w:hAnsi="Times New Roman"/>
        </w:rPr>
        <w:t>单位：dB</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3395"/>
        <w:gridCol w:w="1415"/>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6" w:type="dxa"/>
            <w:vMerge w:val="restart"/>
            <w:vAlign w:val="center"/>
          </w:tcPr>
          <w:p>
            <w:pPr>
              <w:spacing w:line="360" w:lineRule="exact"/>
              <w:jc w:val="center"/>
              <w:rPr>
                <w:rFonts w:eastAsia="宋体"/>
                <w:sz w:val="21"/>
                <w:szCs w:val="21"/>
              </w:rPr>
            </w:pPr>
            <w:r>
              <w:rPr>
                <w:rFonts w:eastAsia="宋体"/>
                <w:sz w:val="21"/>
                <w:szCs w:val="21"/>
              </w:rPr>
              <w:t>厂界外声环境功能区类别</w:t>
            </w:r>
          </w:p>
        </w:tc>
        <w:tc>
          <w:tcPr>
            <w:tcW w:w="3395" w:type="dxa"/>
            <w:vMerge w:val="restart"/>
            <w:vAlign w:val="center"/>
          </w:tcPr>
          <w:p>
            <w:pPr>
              <w:spacing w:line="360" w:lineRule="exact"/>
              <w:jc w:val="center"/>
              <w:rPr>
                <w:rFonts w:eastAsia="宋体"/>
                <w:sz w:val="21"/>
                <w:szCs w:val="21"/>
              </w:rPr>
            </w:pPr>
            <w:r>
              <w:rPr>
                <w:rFonts w:hint="eastAsia" w:eastAsia="宋体"/>
                <w:sz w:val="21"/>
                <w:szCs w:val="21"/>
              </w:rPr>
              <w:t>适用区域</w:t>
            </w:r>
          </w:p>
        </w:tc>
        <w:tc>
          <w:tcPr>
            <w:tcW w:w="3246" w:type="dxa"/>
            <w:gridSpan w:val="2"/>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ind w:left="177" w:firstLine="677"/>
              <w:rPr>
                <w:rFonts w:ascii="Times New Roman" w:hAnsi="Times New Roman"/>
                <w:kern w:val="2"/>
                <w:lang w:val="en-US" w:eastAsia="zh-CN"/>
              </w:rPr>
            </w:pPr>
            <w:r>
              <w:rPr>
                <w:rFonts w:ascii="Times New Roman" w:hAnsi="Times New Roman"/>
                <w:kern w:val="2"/>
                <w:lang w:val="en-US" w:eastAsia="zh-CN"/>
              </w:rPr>
              <w:t>等效声级L</w:t>
            </w:r>
            <w:r>
              <w:rPr>
                <w:rFonts w:ascii="Times New Roman" w:hAnsi="Times New Roman"/>
                <w:kern w:val="2"/>
                <w:vertAlign w:val="subscript"/>
                <w:lang w:val="en-US" w:eastAsia="zh-CN"/>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6" w:type="dxa"/>
            <w:vMerge w:val="continue"/>
            <w:vAlign w:val="center"/>
          </w:tcPr>
          <w:p>
            <w:pPr>
              <w:spacing w:line="360" w:lineRule="exact"/>
              <w:jc w:val="center"/>
              <w:rPr>
                <w:rFonts w:eastAsia="宋体"/>
                <w:sz w:val="21"/>
                <w:szCs w:val="21"/>
              </w:rPr>
            </w:pPr>
          </w:p>
        </w:tc>
        <w:tc>
          <w:tcPr>
            <w:tcW w:w="3395" w:type="dxa"/>
            <w:vMerge w:val="continue"/>
            <w:vAlign w:val="center"/>
          </w:tcPr>
          <w:p>
            <w:pPr>
              <w:spacing w:line="360" w:lineRule="exact"/>
              <w:jc w:val="center"/>
              <w:rPr>
                <w:rFonts w:eastAsia="宋体"/>
                <w:sz w:val="21"/>
                <w:szCs w:val="21"/>
              </w:rPr>
            </w:pPr>
          </w:p>
        </w:tc>
        <w:tc>
          <w:tcPr>
            <w:tcW w:w="1415" w:type="dxa"/>
            <w:vAlign w:val="center"/>
          </w:tcPr>
          <w:p>
            <w:pPr>
              <w:spacing w:line="360" w:lineRule="exact"/>
              <w:jc w:val="center"/>
              <w:rPr>
                <w:rFonts w:eastAsia="宋体"/>
                <w:sz w:val="21"/>
                <w:szCs w:val="21"/>
              </w:rPr>
            </w:pPr>
            <w:r>
              <w:rPr>
                <w:rFonts w:eastAsia="宋体"/>
                <w:sz w:val="21"/>
                <w:szCs w:val="21"/>
              </w:rPr>
              <w:t>昼间</w:t>
            </w:r>
          </w:p>
        </w:tc>
        <w:tc>
          <w:tcPr>
            <w:tcW w:w="1831" w:type="dxa"/>
            <w:vAlign w:val="center"/>
          </w:tcPr>
          <w:p>
            <w:pPr>
              <w:spacing w:line="360" w:lineRule="exact"/>
              <w:jc w:val="center"/>
              <w:rPr>
                <w:rFonts w:eastAsia="宋体"/>
                <w:sz w:val="21"/>
                <w:szCs w:val="21"/>
              </w:rPr>
            </w:pPr>
            <w:r>
              <w:rPr>
                <w:rFonts w:eastAsia="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6" w:type="dxa"/>
            <w:vAlign w:val="center"/>
          </w:tcPr>
          <w:p>
            <w:pPr>
              <w:spacing w:line="300" w:lineRule="exact"/>
              <w:jc w:val="center"/>
              <w:rPr>
                <w:rFonts w:eastAsia="宋体"/>
                <w:sz w:val="21"/>
                <w:szCs w:val="21"/>
              </w:rPr>
            </w:pPr>
            <w:r>
              <w:rPr>
                <w:rFonts w:eastAsia="宋体"/>
                <w:sz w:val="21"/>
                <w:szCs w:val="21"/>
              </w:rPr>
              <w:t>3类</w:t>
            </w:r>
          </w:p>
        </w:tc>
        <w:tc>
          <w:tcPr>
            <w:tcW w:w="3395" w:type="dxa"/>
            <w:vAlign w:val="center"/>
          </w:tcPr>
          <w:p>
            <w:pPr>
              <w:spacing w:line="300" w:lineRule="exact"/>
              <w:jc w:val="center"/>
              <w:rPr>
                <w:rFonts w:eastAsia="宋体"/>
                <w:sz w:val="21"/>
                <w:szCs w:val="21"/>
              </w:rPr>
            </w:pPr>
            <w:r>
              <w:rPr>
                <w:rFonts w:hint="eastAsia" w:eastAsia="宋体"/>
                <w:sz w:val="21"/>
                <w:szCs w:val="21"/>
              </w:rPr>
              <w:t>东地块东侧、南侧、北侧厂界</w:t>
            </w:r>
          </w:p>
          <w:p>
            <w:pPr>
              <w:spacing w:line="300" w:lineRule="exact"/>
              <w:jc w:val="center"/>
              <w:rPr>
                <w:rFonts w:eastAsia="宋体"/>
                <w:sz w:val="21"/>
                <w:szCs w:val="21"/>
              </w:rPr>
            </w:pPr>
            <w:r>
              <w:rPr>
                <w:rFonts w:hint="eastAsia" w:eastAsia="宋体"/>
                <w:sz w:val="21"/>
                <w:szCs w:val="21"/>
              </w:rPr>
              <w:t>西地块南侧、西侧厂界</w:t>
            </w:r>
          </w:p>
        </w:tc>
        <w:tc>
          <w:tcPr>
            <w:tcW w:w="1415" w:type="dxa"/>
            <w:vAlign w:val="center"/>
          </w:tcPr>
          <w:p>
            <w:pPr>
              <w:spacing w:line="300" w:lineRule="exact"/>
              <w:jc w:val="center"/>
              <w:rPr>
                <w:rFonts w:eastAsia="宋体"/>
                <w:sz w:val="21"/>
                <w:szCs w:val="21"/>
              </w:rPr>
            </w:pPr>
            <w:r>
              <w:rPr>
                <w:rFonts w:eastAsia="宋体"/>
                <w:sz w:val="21"/>
                <w:szCs w:val="21"/>
              </w:rPr>
              <w:t>65</w:t>
            </w:r>
          </w:p>
        </w:tc>
        <w:tc>
          <w:tcPr>
            <w:tcW w:w="1831" w:type="dxa"/>
            <w:vAlign w:val="center"/>
          </w:tcPr>
          <w:p>
            <w:pPr>
              <w:spacing w:line="300" w:lineRule="exact"/>
              <w:jc w:val="center"/>
              <w:rPr>
                <w:rFonts w:eastAsia="宋体"/>
                <w:sz w:val="21"/>
                <w:szCs w:val="21"/>
              </w:rPr>
            </w:pPr>
            <w:r>
              <w:rPr>
                <w:rFonts w:eastAsia="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6" w:type="dxa"/>
            <w:vAlign w:val="center"/>
          </w:tcPr>
          <w:p>
            <w:pPr>
              <w:spacing w:line="300" w:lineRule="exact"/>
              <w:jc w:val="center"/>
              <w:rPr>
                <w:rFonts w:eastAsia="宋体"/>
                <w:sz w:val="21"/>
                <w:szCs w:val="21"/>
              </w:rPr>
            </w:pPr>
            <w:r>
              <w:rPr>
                <w:rFonts w:hint="eastAsia" w:eastAsia="宋体"/>
                <w:sz w:val="21"/>
                <w:szCs w:val="21"/>
              </w:rPr>
              <w:t>4类</w:t>
            </w:r>
          </w:p>
        </w:tc>
        <w:tc>
          <w:tcPr>
            <w:tcW w:w="3395" w:type="dxa"/>
            <w:vAlign w:val="center"/>
          </w:tcPr>
          <w:p>
            <w:pPr>
              <w:spacing w:line="300" w:lineRule="exact"/>
              <w:jc w:val="center"/>
              <w:rPr>
                <w:rFonts w:eastAsia="宋体"/>
                <w:sz w:val="21"/>
                <w:szCs w:val="21"/>
              </w:rPr>
            </w:pPr>
            <w:r>
              <w:rPr>
                <w:rFonts w:hint="eastAsia" w:eastAsia="宋体"/>
                <w:sz w:val="21"/>
                <w:szCs w:val="21"/>
              </w:rPr>
              <w:t>东地块西侧、</w:t>
            </w:r>
            <w:r>
              <w:rPr>
                <w:rFonts w:eastAsia="宋体"/>
                <w:sz w:val="21"/>
                <w:szCs w:val="21"/>
              </w:rPr>
              <w:t>东侧</w:t>
            </w:r>
            <w:r>
              <w:rPr>
                <w:rFonts w:hint="eastAsia" w:eastAsia="宋体"/>
                <w:sz w:val="21"/>
                <w:szCs w:val="21"/>
              </w:rPr>
              <w:t>厂界</w:t>
            </w:r>
          </w:p>
          <w:p>
            <w:pPr>
              <w:spacing w:line="300" w:lineRule="exact"/>
              <w:jc w:val="center"/>
              <w:rPr>
                <w:rFonts w:eastAsia="宋体"/>
                <w:sz w:val="21"/>
                <w:szCs w:val="21"/>
              </w:rPr>
            </w:pPr>
            <w:r>
              <w:rPr>
                <w:rFonts w:hint="eastAsia" w:eastAsia="宋体"/>
                <w:sz w:val="21"/>
                <w:szCs w:val="21"/>
              </w:rPr>
              <w:t>西地块东侧、北侧厂界</w:t>
            </w:r>
          </w:p>
        </w:tc>
        <w:tc>
          <w:tcPr>
            <w:tcW w:w="1415" w:type="dxa"/>
            <w:vAlign w:val="center"/>
          </w:tcPr>
          <w:p>
            <w:pPr>
              <w:spacing w:line="300" w:lineRule="exact"/>
              <w:jc w:val="center"/>
              <w:rPr>
                <w:rFonts w:eastAsia="宋体"/>
                <w:sz w:val="21"/>
                <w:szCs w:val="21"/>
              </w:rPr>
            </w:pPr>
            <w:r>
              <w:rPr>
                <w:rFonts w:hint="eastAsia" w:eastAsia="宋体"/>
                <w:sz w:val="21"/>
                <w:szCs w:val="21"/>
              </w:rPr>
              <w:t>70</w:t>
            </w:r>
          </w:p>
        </w:tc>
        <w:tc>
          <w:tcPr>
            <w:tcW w:w="1831" w:type="dxa"/>
            <w:vAlign w:val="center"/>
          </w:tcPr>
          <w:p>
            <w:pPr>
              <w:spacing w:line="300" w:lineRule="exact"/>
              <w:jc w:val="center"/>
              <w:rPr>
                <w:rFonts w:eastAsia="宋体"/>
                <w:sz w:val="21"/>
                <w:szCs w:val="21"/>
              </w:rPr>
            </w:pPr>
            <w:r>
              <w:rPr>
                <w:rFonts w:hint="eastAsia" w:eastAsia="宋体"/>
                <w:sz w:val="21"/>
                <w:szCs w:val="21"/>
              </w:rPr>
              <w:t>55</w:t>
            </w:r>
          </w:p>
        </w:tc>
      </w:tr>
    </w:tbl>
    <w:p>
      <w:pPr>
        <w:pStyle w:val="4"/>
        <w:spacing w:line="480" w:lineRule="exact"/>
        <w:ind w:firstLine="522"/>
        <w:rPr>
          <w:rFonts w:ascii="Times New Roman" w:hAnsi="Times New Roman" w:cs="Times New Roman"/>
          <w:spacing w:val="0"/>
        </w:rPr>
      </w:pPr>
      <w:r>
        <w:rPr>
          <w:rFonts w:ascii="Times New Roman" w:hAnsi="Times New Roman" w:cs="Times New Roman"/>
          <w:spacing w:val="0"/>
        </w:rPr>
        <w:t>夜间频发噪声的最大声级超过限值的幅度不得高于10dB（A），夜间偶发噪声的最大声级超过限值的幅度不得高于15dB（A）</w:t>
      </w:r>
      <w:r>
        <w:rPr>
          <w:rFonts w:hint="eastAsia" w:ascii="Times New Roman" w:hAnsi="Times New Roman" w:cs="Times New Roman"/>
          <w:spacing w:val="0"/>
        </w:rPr>
        <w:t>。</w:t>
      </w:r>
    </w:p>
    <w:p>
      <w:pPr>
        <w:pStyle w:val="4"/>
        <w:spacing w:line="480" w:lineRule="exact"/>
        <w:ind w:firstLine="522"/>
        <w:rPr>
          <w:rFonts w:ascii="Times New Roman" w:hAnsi="Times New Roman" w:cs="Times New Roman"/>
          <w:spacing w:val="0"/>
        </w:rPr>
      </w:pPr>
      <w:r>
        <w:rPr>
          <w:rFonts w:ascii="Times New Roman" w:hAnsi="Times New Roman" w:cs="Times New Roman"/>
          <w:spacing w:val="0"/>
        </w:rPr>
        <w:t>4．固体废物控制标准</w:t>
      </w:r>
    </w:p>
    <w:p>
      <w:pPr>
        <w:pStyle w:val="4"/>
        <w:spacing w:line="480" w:lineRule="exact"/>
        <w:ind w:firstLine="522"/>
        <w:rPr>
          <w:rFonts w:ascii="Times New Roman" w:hAnsi="Times New Roman" w:cs="Times New Roman"/>
          <w:spacing w:val="0"/>
        </w:rPr>
      </w:pPr>
      <w:r>
        <w:rPr>
          <w:rFonts w:ascii="Times New Roman" w:hAnsi="Times New Roman" w:cs="Times New Roman"/>
          <w:spacing w:val="0"/>
        </w:rPr>
        <w:t>一般固废执行《一般工业固体废物贮存、处置场污染物控制标准》(GB18599-2001) 以及环保部[2013]36号公告的修改表单。危险固废执行《危险废物贮存污染控制标准》(GB18597-2001) 以及环保部[2013]36号公告的修改表单。</w:t>
      </w:r>
    </w:p>
    <w:p>
      <w:pPr>
        <w:pStyle w:val="3"/>
        <w:rPr>
          <w:rFonts w:ascii="Times New Roman" w:hAnsi="Times New Roman"/>
        </w:rPr>
      </w:pPr>
      <w:bookmarkStart w:id="64" w:name="_Toc10637133"/>
      <w:r>
        <w:rPr>
          <w:rFonts w:ascii="Times New Roman" w:hAnsi="Times New Roman"/>
        </w:rPr>
        <w:t>评价工作等级</w:t>
      </w:r>
      <w:bookmarkEnd w:id="64"/>
    </w:p>
    <w:p>
      <w:pPr>
        <w:pStyle w:val="4"/>
        <w:ind w:firstLine="520"/>
        <w:rPr>
          <w:rFonts w:ascii="Times New Roman" w:hAnsi="Times New Roman" w:cs="Times New Roman"/>
          <w:spacing w:val="0"/>
        </w:rPr>
      </w:pPr>
      <w:r>
        <w:rPr>
          <w:rFonts w:ascii="Times New Roman" w:hAnsi="Times New Roman" w:cs="Times New Roman"/>
          <w:spacing w:val="0"/>
        </w:rPr>
        <w:t>根据《环境影响评价技术导则》（HJ2.1-2016、HJ2.2</w:t>
      </w:r>
      <w:r>
        <w:rPr>
          <w:rFonts w:ascii="Times New Roman" w:hAnsi="Times New Roman" w:cs="Times New Roman"/>
          <w:spacing w:val="0"/>
          <w:lang w:val="zh-CN"/>
        </w:rPr>
        <w:t>-</w:t>
      </w:r>
      <w:r>
        <w:rPr>
          <w:rFonts w:ascii="Times New Roman" w:hAnsi="Times New Roman" w:cs="Times New Roman"/>
          <w:spacing w:val="0"/>
        </w:rPr>
        <w:t>20</w:t>
      </w:r>
      <w:r>
        <w:rPr>
          <w:rFonts w:hint="eastAsia" w:ascii="Times New Roman" w:hAnsi="Times New Roman" w:cs="Times New Roman"/>
          <w:spacing w:val="0"/>
        </w:rPr>
        <w:t>1</w:t>
      </w:r>
      <w:r>
        <w:rPr>
          <w:rFonts w:ascii="Times New Roman" w:hAnsi="Times New Roman" w:cs="Times New Roman"/>
          <w:spacing w:val="0"/>
        </w:rPr>
        <w:t>8、HJ2.3-</w:t>
      </w:r>
      <w:r>
        <w:rPr>
          <w:rFonts w:hint="eastAsia" w:ascii="Times New Roman" w:hAnsi="Times New Roman" w:cs="Times New Roman"/>
          <w:spacing w:val="0"/>
        </w:rPr>
        <w:t>2018</w:t>
      </w:r>
      <w:r>
        <w:rPr>
          <w:rFonts w:ascii="Times New Roman" w:hAnsi="Times New Roman" w:cs="Times New Roman"/>
          <w:spacing w:val="0"/>
        </w:rPr>
        <w:t>、HJ610-2016、HJ2.4-2009）和HJ169-20</w:t>
      </w:r>
      <w:r>
        <w:rPr>
          <w:rFonts w:hint="eastAsia" w:ascii="Times New Roman" w:hAnsi="Times New Roman" w:cs="Times New Roman"/>
          <w:spacing w:val="0"/>
        </w:rPr>
        <w:t>18</w:t>
      </w:r>
      <w:r>
        <w:rPr>
          <w:rFonts w:ascii="Times New Roman" w:hAnsi="Times New Roman" w:cs="Times New Roman"/>
          <w:spacing w:val="0"/>
        </w:rPr>
        <w:t>《建设项目环境风险评价技术导则》中有关环评工作等级划分要求，确定评价等级。</w:t>
      </w:r>
    </w:p>
    <w:p>
      <w:pPr>
        <w:pStyle w:val="5"/>
        <w:spacing w:line="360" w:lineRule="exact"/>
        <w:rPr>
          <w:rFonts w:ascii="Times New Roman"/>
        </w:rPr>
      </w:pPr>
      <w:r>
        <w:rPr>
          <w:rFonts w:ascii="Times New Roman"/>
        </w:rPr>
        <w:t>环境影响评价等级</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 xml:space="preserve">根据本项目的特点、污染物排放量以及项目所在地的环境特征，按照环境影响评价技术导则确定各环境要素的评价工作等级，详见表 </w:t>
      </w:r>
      <w:r>
        <w:rPr>
          <w:rFonts w:ascii="Times New Roman" w:hAnsi="Times New Roman" w:cs="Times New Roman"/>
          <w:spacing w:val="0"/>
        </w:rPr>
        <w:t>2-21</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bookmarkStart w:id="65" w:name="_Ref405317761"/>
      <w:r>
        <w:rPr>
          <w:rFonts w:hint="eastAsia" w:ascii="Times New Roman" w:hAnsi="Times New Roman"/>
          <w:lang w:eastAsia="zh-CN"/>
        </w:rPr>
        <w:t>项目</w:t>
      </w:r>
      <w:r>
        <w:rPr>
          <w:rFonts w:ascii="Times New Roman" w:hAnsi="Times New Roman"/>
          <w:lang w:eastAsia="zh-CN"/>
        </w:rPr>
        <w:t>环境影响</w:t>
      </w:r>
      <w:r>
        <w:rPr>
          <w:rFonts w:ascii="Times New Roman" w:hAnsi="Times New Roman"/>
        </w:rPr>
        <w:t>评价工作等级</w:t>
      </w:r>
      <w:bookmarkEnd w:id="65"/>
      <w:r>
        <w:rPr>
          <w:rFonts w:hint="eastAsia" w:ascii="Times New Roman" w:hAnsi="Times New Roman"/>
        </w:rPr>
        <w:t>判定</w:t>
      </w:r>
    </w:p>
    <w:tbl>
      <w:tblPr>
        <w:tblStyle w:val="87"/>
        <w:tblW w:w="8855" w:type="dxa"/>
        <w:jc w:val="center"/>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72"/>
        <w:gridCol w:w="3349"/>
        <w:gridCol w:w="2534"/>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序号</w:t>
            </w:r>
          </w:p>
        </w:tc>
        <w:tc>
          <w:tcPr>
            <w:tcW w:w="334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环境</w:t>
            </w:r>
            <w:r>
              <w:rPr>
                <w:rFonts w:eastAsia="宋体"/>
                <w:sz w:val="21"/>
                <w:szCs w:val="21"/>
              </w:rPr>
              <w:t>个要素</w:t>
            </w:r>
          </w:p>
        </w:tc>
        <w:tc>
          <w:tcPr>
            <w:tcW w:w="25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eastAsia="宋体"/>
                <w:sz w:val="21"/>
                <w:szCs w:val="21"/>
              </w:rPr>
              <w:t>评价工作等级</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1</w:t>
            </w:r>
          </w:p>
        </w:tc>
        <w:tc>
          <w:tcPr>
            <w:tcW w:w="334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大气环境</w:t>
            </w:r>
          </w:p>
        </w:tc>
        <w:tc>
          <w:tcPr>
            <w:tcW w:w="25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eastAsia="宋体"/>
                <w:sz w:val="21"/>
                <w:szCs w:val="21"/>
              </w:rPr>
              <w:t>一级</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2</w:t>
            </w:r>
          </w:p>
        </w:tc>
        <w:tc>
          <w:tcPr>
            <w:tcW w:w="334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地表水环境</w:t>
            </w:r>
          </w:p>
        </w:tc>
        <w:tc>
          <w:tcPr>
            <w:tcW w:w="25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三级B</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3</w:t>
            </w:r>
          </w:p>
        </w:tc>
        <w:tc>
          <w:tcPr>
            <w:tcW w:w="3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地下水</w:t>
            </w:r>
            <w:r>
              <w:rPr>
                <w:rFonts w:eastAsia="宋体"/>
                <w:sz w:val="21"/>
                <w:szCs w:val="21"/>
              </w:rPr>
              <w:t>环境</w:t>
            </w:r>
          </w:p>
        </w:tc>
        <w:tc>
          <w:tcPr>
            <w:tcW w:w="2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eastAsia="宋体"/>
                <w:sz w:val="21"/>
                <w:szCs w:val="21"/>
              </w:rPr>
              <w:t>三级</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4</w:t>
            </w:r>
          </w:p>
        </w:tc>
        <w:tc>
          <w:tcPr>
            <w:tcW w:w="3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声环境</w:t>
            </w:r>
          </w:p>
        </w:tc>
        <w:tc>
          <w:tcPr>
            <w:tcW w:w="2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三级</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5</w:t>
            </w:r>
          </w:p>
        </w:tc>
        <w:tc>
          <w:tcPr>
            <w:tcW w:w="3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环境</w:t>
            </w:r>
            <w:r>
              <w:rPr>
                <w:rFonts w:eastAsia="宋体"/>
                <w:sz w:val="21"/>
                <w:szCs w:val="21"/>
              </w:rPr>
              <w:t>风险</w:t>
            </w:r>
          </w:p>
        </w:tc>
        <w:tc>
          <w:tcPr>
            <w:tcW w:w="2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简要分析</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atLeast"/>
          <w:jc w:val="center"/>
        </w:trPr>
        <w:tc>
          <w:tcPr>
            <w:tcW w:w="297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exact"/>
              <w:jc w:val="center"/>
              <w:rPr>
                <w:rFonts w:eastAsia="宋体"/>
                <w:sz w:val="21"/>
                <w:szCs w:val="21"/>
              </w:rPr>
            </w:pPr>
            <w:r>
              <w:rPr>
                <w:rFonts w:hint="eastAsia" w:eastAsia="宋体"/>
                <w:sz w:val="21"/>
                <w:szCs w:val="21"/>
              </w:rPr>
              <w:t>6</w:t>
            </w:r>
          </w:p>
        </w:tc>
        <w:tc>
          <w:tcPr>
            <w:tcW w:w="33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生态</w:t>
            </w:r>
            <w:r>
              <w:rPr>
                <w:rFonts w:eastAsia="宋体"/>
                <w:sz w:val="21"/>
                <w:szCs w:val="21"/>
              </w:rPr>
              <w:t>环境</w:t>
            </w:r>
          </w:p>
        </w:tc>
        <w:tc>
          <w:tcPr>
            <w:tcW w:w="25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90"/>
              <w:jc w:val="center"/>
              <w:rPr>
                <w:rFonts w:eastAsia="宋体"/>
                <w:sz w:val="21"/>
                <w:szCs w:val="21"/>
              </w:rPr>
            </w:pPr>
            <w:r>
              <w:rPr>
                <w:rFonts w:hint="eastAsia" w:eastAsia="宋体"/>
                <w:sz w:val="21"/>
                <w:szCs w:val="21"/>
              </w:rPr>
              <w:t>三级</w:t>
            </w:r>
          </w:p>
        </w:tc>
      </w:tr>
    </w:tbl>
    <w:p>
      <w:pPr>
        <w:pStyle w:val="3"/>
        <w:rPr>
          <w:rFonts w:ascii="Times New Roman" w:hAnsi="Times New Roman"/>
        </w:rPr>
      </w:pPr>
      <w:bookmarkStart w:id="66" w:name="_Toc10637134"/>
      <w:r>
        <w:rPr>
          <w:rFonts w:ascii="Times New Roman" w:hAnsi="Times New Roman"/>
        </w:rPr>
        <w:t>评价范围及保护目标</w:t>
      </w:r>
      <w:bookmarkEnd w:id="66"/>
    </w:p>
    <w:p>
      <w:pPr>
        <w:pStyle w:val="5"/>
        <w:rPr>
          <w:rFonts w:ascii="Times New Roman"/>
        </w:rPr>
      </w:pPr>
      <w:r>
        <w:rPr>
          <w:rFonts w:ascii="Times New Roman"/>
        </w:rPr>
        <w:t>评价范围</w:t>
      </w:r>
    </w:p>
    <w:p>
      <w:pPr>
        <w:pStyle w:val="4"/>
        <w:rPr>
          <w:rFonts w:ascii="Times New Roman" w:hAnsi="Times New Roman" w:cs="Times New Roman"/>
          <w:spacing w:val="0"/>
        </w:rPr>
      </w:pPr>
      <w:r>
        <w:rPr>
          <w:rFonts w:ascii="Times New Roman" w:hAnsi="Times New Roman" w:cs="Times New Roman"/>
          <w:spacing w:val="0"/>
        </w:rPr>
        <w:t>根据判定的评价等级及评价导则，</w:t>
      </w:r>
      <w:r>
        <w:rPr>
          <w:rFonts w:hint="eastAsia" w:ascii="Times New Roman" w:hAnsi="Times New Roman" w:cs="Times New Roman"/>
          <w:spacing w:val="0"/>
        </w:rPr>
        <w:t>确定</w:t>
      </w:r>
      <w:r>
        <w:rPr>
          <w:rFonts w:ascii="Times New Roman" w:hAnsi="Times New Roman" w:cs="Times New Roman"/>
          <w:spacing w:val="0"/>
        </w:rPr>
        <w:t>项目评价范围</w:t>
      </w:r>
      <w:r>
        <w:rPr>
          <w:rFonts w:hint="eastAsia" w:ascii="Times New Roman" w:hAnsi="Times New Roman" w:cs="Times New Roman"/>
          <w:spacing w:val="0"/>
        </w:rPr>
        <w:t>，</w:t>
      </w:r>
      <w:r>
        <w:rPr>
          <w:rFonts w:ascii="Times New Roman" w:hAnsi="Times New Roman" w:cs="Times New Roman"/>
          <w:spacing w:val="0"/>
        </w:rPr>
        <w:t>具体见表2-22。</w:t>
      </w:r>
    </w:p>
    <w:p>
      <w:pPr>
        <w:pStyle w:val="313"/>
        <w:tabs>
          <w:tab w:val="clear" w:pos="3908"/>
        </w:tabs>
        <w:ind w:left="1122" w:hanging="561"/>
        <w:rPr>
          <w:rFonts w:ascii="Times New Roman" w:hAnsi="Times New Roman"/>
        </w:rPr>
      </w:pPr>
      <w:r>
        <w:rPr>
          <w:rFonts w:ascii="Times New Roman" w:hAnsi="Times New Roman"/>
        </w:rPr>
        <w:t>项目评价范围一览表</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6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环境要素</w:t>
            </w:r>
          </w:p>
        </w:tc>
        <w:tc>
          <w:tcPr>
            <w:tcW w:w="6791" w:type="dxa"/>
            <w:vAlign w:val="center"/>
          </w:tcPr>
          <w:p>
            <w:pPr>
              <w:spacing w:line="360" w:lineRule="exact"/>
              <w:jc w:val="center"/>
              <w:rPr>
                <w:rFonts w:eastAsia="宋体"/>
                <w:sz w:val="21"/>
              </w:rPr>
            </w:pPr>
            <w:r>
              <w:rPr>
                <w:rFonts w:eastAsia="宋体"/>
                <w:sz w:val="21"/>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空气环境</w:t>
            </w:r>
          </w:p>
        </w:tc>
        <w:tc>
          <w:tcPr>
            <w:tcW w:w="6791" w:type="dxa"/>
            <w:vAlign w:val="center"/>
          </w:tcPr>
          <w:p>
            <w:pPr>
              <w:spacing w:line="360" w:lineRule="exact"/>
              <w:jc w:val="center"/>
              <w:rPr>
                <w:rFonts w:eastAsia="宋体"/>
                <w:sz w:val="21"/>
              </w:rPr>
            </w:pPr>
            <w:r>
              <w:rPr>
                <w:rFonts w:eastAsia="宋体"/>
                <w:sz w:val="21"/>
              </w:rPr>
              <w:t>以</w:t>
            </w:r>
            <w:r>
              <w:rPr>
                <w:rFonts w:hint="eastAsia" w:eastAsia="宋体"/>
                <w:sz w:val="21"/>
              </w:rPr>
              <w:t>项目所在地</w:t>
            </w:r>
            <w:r>
              <w:rPr>
                <w:rFonts w:eastAsia="宋体"/>
                <w:sz w:val="21"/>
              </w:rPr>
              <w:t>为中心，</w:t>
            </w:r>
            <w:r>
              <w:rPr>
                <w:rFonts w:hint="eastAsia" w:eastAsia="宋体"/>
                <w:sz w:val="21"/>
              </w:rPr>
              <w:t>厂界外延2.5km的矩形区域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地表水环境</w:t>
            </w:r>
          </w:p>
        </w:tc>
        <w:tc>
          <w:tcPr>
            <w:tcW w:w="6791" w:type="dxa"/>
            <w:vAlign w:val="center"/>
          </w:tcPr>
          <w:p>
            <w:pPr>
              <w:spacing w:line="360" w:lineRule="exact"/>
              <w:jc w:val="center"/>
              <w:rPr>
                <w:rFonts w:eastAsia="宋体"/>
                <w:sz w:val="21"/>
              </w:rPr>
            </w:pPr>
            <w:r>
              <w:rPr>
                <w:rFonts w:hint="eastAsia" w:eastAsia="宋体"/>
                <w:sz w:val="21"/>
              </w:rPr>
              <w:t>项目废水</w:t>
            </w:r>
            <w:r>
              <w:rPr>
                <w:rFonts w:eastAsia="宋体"/>
                <w:sz w:val="21"/>
              </w:rPr>
              <w:t>零排放</w:t>
            </w:r>
            <w:r>
              <w:rPr>
                <w:rFonts w:hint="eastAsia" w:eastAsia="宋体"/>
                <w:sz w:val="21"/>
              </w:rPr>
              <w:t>可行性</w:t>
            </w:r>
            <w:r>
              <w:rPr>
                <w:rFonts w:eastAsia="宋体"/>
                <w:sz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地下水环境</w:t>
            </w:r>
          </w:p>
        </w:tc>
        <w:tc>
          <w:tcPr>
            <w:tcW w:w="6791" w:type="dxa"/>
            <w:vAlign w:val="center"/>
          </w:tcPr>
          <w:p>
            <w:pPr>
              <w:spacing w:line="360" w:lineRule="exact"/>
              <w:jc w:val="center"/>
              <w:rPr>
                <w:rFonts w:eastAsia="宋体"/>
                <w:sz w:val="21"/>
              </w:rPr>
            </w:pPr>
            <w:r>
              <w:rPr>
                <w:rFonts w:hint="eastAsia" w:eastAsia="宋体"/>
                <w:sz w:val="21"/>
              </w:rPr>
              <w:t>厂区及边界外延1km，合计约</w:t>
            </w:r>
            <w:r>
              <w:rPr>
                <w:rFonts w:eastAsia="宋体"/>
                <w:sz w:val="21"/>
              </w:rPr>
              <w:t>6km</w:t>
            </w:r>
            <w:r>
              <w:rPr>
                <w:rFonts w:eastAsia="宋体"/>
                <w:sz w:val="21"/>
                <w:vertAlign w:val="superscript"/>
              </w:rPr>
              <w:t>2</w:t>
            </w:r>
            <w:r>
              <w:rPr>
                <w:rFonts w:hint="eastAsia" w:eastAsia="宋体"/>
                <w:sz w:val="21"/>
              </w:rPr>
              <w:t>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声环境</w:t>
            </w:r>
          </w:p>
        </w:tc>
        <w:tc>
          <w:tcPr>
            <w:tcW w:w="6791" w:type="dxa"/>
            <w:vAlign w:val="center"/>
          </w:tcPr>
          <w:p>
            <w:pPr>
              <w:spacing w:line="360" w:lineRule="exact"/>
              <w:jc w:val="center"/>
              <w:rPr>
                <w:rFonts w:eastAsia="宋体"/>
                <w:sz w:val="21"/>
              </w:rPr>
            </w:pPr>
            <w:r>
              <w:rPr>
                <w:rFonts w:eastAsia="宋体"/>
                <w:sz w:val="21"/>
              </w:rPr>
              <w:t>厂界外200m范围内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hint="eastAsia" w:eastAsia="宋体"/>
                <w:sz w:val="21"/>
              </w:rPr>
              <w:t>生态环境</w:t>
            </w:r>
          </w:p>
        </w:tc>
        <w:tc>
          <w:tcPr>
            <w:tcW w:w="6791" w:type="dxa"/>
            <w:vAlign w:val="center"/>
          </w:tcPr>
          <w:p>
            <w:pPr>
              <w:spacing w:line="360" w:lineRule="exact"/>
              <w:jc w:val="center"/>
              <w:rPr>
                <w:rFonts w:eastAsia="宋体"/>
                <w:sz w:val="21"/>
              </w:rPr>
            </w:pPr>
            <w:r>
              <w:rPr>
                <w:rFonts w:eastAsia="宋体"/>
                <w:sz w:val="21"/>
              </w:rPr>
              <w:t>厂界外200m范围内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hint="eastAsia" w:eastAsia="宋体"/>
                <w:sz w:val="21"/>
              </w:rPr>
              <w:t>土壤环境</w:t>
            </w:r>
          </w:p>
        </w:tc>
        <w:tc>
          <w:tcPr>
            <w:tcW w:w="6791" w:type="dxa"/>
            <w:vAlign w:val="center"/>
          </w:tcPr>
          <w:p>
            <w:pPr>
              <w:spacing w:line="360" w:lineRule="exact"/>
              <w:jc w:val="center"/>
              <w:rPr>
                <w:rFonts w:eastAsia="宋体"/>
                <w:sz w:val="21"/>
              </w:rPr>
            </w:pPr>
            <w:r>
              <w:rPr>
                <w:rFonts w:hint="eastAsia" w:eastAsia="宋体"/>
                <w:sz w:val="21"/>
              </w:rPr>
              <w:t>厂区</w:t>
            </w:r>
            <w:r>
              <w:rPr>
                <w:rFonts w:eastAsia="宋体"/>
                <w:sz w:val="21"/>
              </w:rPr>
              <w:t>及周边土壤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76" w:type="dxa"/>
            <w:vAlign w:val="center"/>
          </w:tcPr>
          <w:p>
            <w:pPr>
              <w:spacing w:line="360" w:lineRule="exact"/>
              <w:jc w:val="center"/>
              <w:rPr>
                <w:rFonts w:eastAsia="宋体"/>
                <w:sz w:val="21"/>
              </w:rPr>
            </w:pPr>
            <w:r>
              <w:rPr>
                <w:rFonts w:eastAsia="宋体"/>
                <w:sz w:val="21"/>
              </w:rPr>
              <w:t>风险评价</w:t>
            </w:r>
          </w:p>
        </w:tc>
        <w:tc>
          <w:tcPr>
            <w:tcW w:w="6791" w:type="dxa"/>
            <w:vAlign w:val="center"/>
          </w:tcPr>
          <w:p>
            <w:pPr>
              <w:spacing w:line="360" w:lineRule="exact"/>
              <w:jc w:val="center"/>
              <w:rPr>
                <w:rFonts w:eastAsia="宋体"/>
                <w:sz w:val="21"/>
              </w:rPr>
            </w:pPr>
            <w:r>
              <w:rPr>
                <w:rFonts w:hint="eastAsia" w:eastAsiaTheme="minorEastAsia"/>
                <w:kern w:val="0"/>
                <w:sz w:val="21"/>
                <w:szCs w:val="21"/>
              </w:rPr>
              <w:t>本项目只需对环境风险进行简单分析，因此本项目不设大气环境风险评价范围</w:t>
            </w:r>
          </w:p>
        </w:tc>
      </w:tr>
    </w:tbl>
    <w:p>
      <w:pPr>
        <w:pStyle w:val="5"/>
        <w:rPr>
          <w:rFonts w:ascii="Times New Roman"/>
        </w:rPr>
      </w:pPr>
      <w:bookmarkStart w:id="67" w:name="_Toc119834326"/>
      <w:bookmarkStart w:id="68" w:name="_Toc154983253"/>
      <w:bookmarkStart w:id="69" w:name="_Toc115751945"/>
      <w:bookmarkStart w:id="70" w:name="_Toc229038134"/>
      <w:r>
        <w:rPr>
          <w:rFonts w:ascii="Times New Roman"/>
        </w:rPr>
        <w:t>保护目标</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1、保护目标情况</w:t>
      </w:r>
    </w:p>
    <w:p>
      <w:pPr>
        <w:pStyle w:val="4"/>
        <w:spacing w:line="480" w:lineRule="exact"/>
        <w:rPr>
          <w:rFonts w:ascii="Times New Roman" w:hAnsi="Times New Roman" w:cs="Times New Roman"/>
          <w:spacing w:val="0"/>
        </w:rPr>
      </w:pPr>
      <w:r>
        <w:rPr>
          <w:rFonts w:ascii="Times New Roman" w:hAnsi="Times New Roman" w:cs="Times New Roman"/>
          <w:spacing w:val="0"/>
        </w:rPr>
        <w:t>（1）环境空气主要保护目标：</w:t>
      </w:r>
      <w:r>
        <w:rPr>
          <w:rFonts w:hint="eastAsia" w:ascii="Times New Roman" w:hAnsi="Times New Roman" w:cs="Times New Roman"/>
          <w:spacing w:val="0"/>
        </w:rPr>
        <w:t>评价范围内</w:t>
      </w:r>
      <w:r>
        <w:rPr>
          <w:rFonts w:ascii="Times New Roman" w:hAnsi="Times New Roman" w:cs="Times New Roman"/>
          <w:spacing w:val="0"/>
        </w:rPr>
        <w:t>居民</w:t>
      </w:r>
      <w:r>
        <w:rPr>
          <w:rFonts w:hint="eastAsia" w:ascii="Times New Roman" w:hAnsi="Times New Roman" w:cs="Times New Roman"/>
          <w:spacing w:val="0"/>
        </w:rPr>
        <w:t>、学校及医院</w:t>
      </w:r>
      <w:r>
        <w:rPr>
          <w:rFonts w:ascii="Times New Roman" w:hAnsi="Times New Roman" w:cs="Times New Roman"/>
          <w:spacing w:val="0"/>
        </w:rPr>
        <w:t>，保护级别为《环境空气质量标准》（GB3095-2012）二级标准及修改单要求。根据周边环境调查结合区域规划，主要保护目标具体见表2-23，评价范围内保护目标分布图详见图2-1</w:t>
      </w:r>
      <w:r>
        <w:rPr>
          <w:rFonts w:hint="eastAsia"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（2）</w:t>
      </w:r>
      <w:r>
        <w:rPr>
          <w:rFonts w:hint="eastAsia" w:ascii="Times New Roman" w:hAnsi="Times New Roman" w:cs="Times New Roman"/>
          <w:spacing w:val="0"/>
        </w:rPr>
        <w:t>地表水</w:t>
      </w:r>
      <w:r>
        <w:rPr>
          <w:rFonts w:ascii="Times New Roman" w:hAnsi="Times New Roman" w:cs="Times New Roman"/>
          <w:spacing w:val="0"/>
        </w:rPr>
        <w:t>环境保护目标：</w:t>
      </w:r>
      <w:r>
        <w:rPr>
          <w:rFonts w:hint="eastAsia" w:ascii="Times New Roman" w:hAnsi="Times New Roman" w:cs="Times New Roman"/>
          <w:spacing w:val="0"/>
        </w:rPr>
        <w:t>根据《环境</w:t>
      </w:r>
      <w:r>
        <w:rPr>
          <w:rFonts w:ascii="Times New Roman" w:hAnsi="Times New Roman" w:cs="Times New Roman"/>
          <w:spacing w:val="0"/>
        </w:rPr>
        <w:t>影响评价技术导则</w:t>
      </w:r>
      <w:r>
        <w:rPr>
          <w:rFonts w:hint="eastAsia" w:ascii="Times New Roman" w:hAnsi="Times New Roman" w:cs="Times New Roman"/>
          <w:spacing w:val="0"/>
        </w:rPr>
        <w:t xml:space="preserve"> 地表水环境》(</w:t>
      </w:r>
      <w:r>
        <w:rPr>
          <w:rFonts w:ascii="Times New Roman" w:hAnsi="Times New Roman" w:cs="Times New Roman"/>
          <w:spacing w:val="0"/>
        </w:rPr>
        <w:t>HJ2.3-2018</w:t>
      </w:r>
      <w:r>
        <w:rPr>
          <w:rFonts w:hint="eastAsia" w:ascii="Times New Roman" w:hAnsi="Times New Roman" w:cs="Times New Roman"/>
          <w:spacing w:val="0"/>
        </w:rPr>
        <w:t>)，项目周边地表水环境保护目标主要</w:t>
      </w:r>
      <w:r>
        <w:rPr>
          <w:rFonts w:ascii="Times New Roman" w:hAnsi="Times New Roman" w:cs="Times New Roman"/>
          <w:spacing w:val="0"/>
        </w:rPr>
        <w:t>为吕山港、旄儿港。</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（3）地下水</w:t>
      </w:r>
      <w:r>
        <w:rPr>
          <w:rFonts w:ascii="Times New Roman" w:hAnsi="Times New Roman" w:cs="Times New Roman"/>
          <w:spacing w:val="0"/>
        </w:rPr>
        <w:t>环境保护目标</w:t>
      </w:r>
      <w:r>
        <w:rPr>
          <w:rFonts w:hint="eastAsia" w:ascii="Times New Roman" w:hAnsi="Times New Roman" w:cs="Times New Roman"/>
          <w:spacing w:val="0"/>
        </w:rPr>
        <w:t>：项目周边地下水环境</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（3）声环境主要保护目标：本项目厂界外200m范围</w:t>
      </w:r>
      <w:r>
        <w:rPr>
          <w:rFonts w:hint="eastAsia" w:ascii="Times New Roman" w:hAnsi="Times New Roman" w:cs="Times New Roman"/>
          <w:spacing w:val="0"/>
        </w:rPr>
        <w:t>内无声环境保护目标</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（4）环境</w:t>
      </w:r>
      <w:r>
        <w:rPr>
          <w:rFonts w:ascii="Times New Roman" w:hAnsi="Times New Roman" w:cs="Times New Roman"/>
          <w:spacing w:val="0"/>
        </w:rPr>
        <w:t>风险保护目标</w:t>
      </w:r>
      <w:r>
        <w:rPr>
          <w:rFonts w:hint="eastAsia" w:ascii="Times New Roman" w:hAnsi="Times New Roman" w:cs="Times New Roman"/>
          <w:spacing w:val="0"/>
        </w:rPr>
        <w:t>：</w:t>
      </w:r>
      <w:r>
        <w:rPr>
          <w:rFonts w:ascii="Times New Roman" w:hAnsi="Times New Roman" w:cs="Times New Roman"/>
          <w:spacing w:val="0"/>
        </w:rPr>
        <w:t>本项目</w:t>
      </w:r>
      <w:r>
        <w:rPr>
          <w:rFonts w:hint="eastAsia" w:ascii="Times New Roman" w:hAnsi="Times New Roman" w:cs="Times New Roman"/>
          <w:spacing w:val="0"/>
        </w:rPr>
        <w:t>风险</w:t>
      </w:r>
      <w:r>
        <w:rPr>
          <w:rFonts w:ascii="Times New Roman" w:hAnsi="Times New Roman" w:cs="Times New Roman"/>
          <w:spacing w:val="0"/>
        </w:rPr>
        <w:t>潜势为</w:t>
      </w:r>
      <w:r>
        <w:rPr>
          <w:rFonts w:hint="eastAsia" w:ascii="Times New Roman" w:hAnsi="Times New Roman" w:cs="Times New Roman"/>
          <w:spacing w:val="0"/>
        </w:rPr>
        <w:t>Ⅰ</w:t>
      </w:r>
      <w:r>
        <w:rPr>
          <w:rFonts w:ascii="Times New Roman" w:hAnsi="Times New Roman" w:cs="Times New Roman"/>
          <w:spacing w:val="0"/>
        </w:rPr>
        <w:t>，</w:t>
      </w:r>
      <w:r>
        <w:rPr>
          <w:rFonts w:hint="eastAsia" w:eastAsiaTheme="minorEastAsia"/>
          <w:spacing w:val="0"/>
          <w:kern w:val="0"/>
        </w:rPr>
        <w:t>只需对环境风险进行简单分析，因此本项目不设大气环境风险评价范围</w:t>
      </w:r>
      <w:r>
        <w:rPr>
          <w:rFonts w:hint="eastAsia" w:ascii="Times New Roman" w:hAnsi="Times New Roman" w:cs="Times New Roman"/>
          <w:spacing w:val="0"/>
        </w:rPr>
        <w:t>。</w:t>
      </w:r>
    </w:p>
    <w:p>
      <w:pPr>
        <w:pStyle w:val="4"/>
        <w:spacing w:line="480" w:lineRule="exact"/>
        <w:rPr>
          <w:rFonts w:ascii="Times New Roman" w:hAnsi="Times New Roman" w:cs="Times New Roman"/>
          <w:spacing w:val="0"/>
        </w:rPr>
        <w:sectPr>
          <w:footerReference r:id="rId7" w:type="default"/>
          <w:pgSz w:w="11907" w:h="16840"/>
          <w:pgMar w:top="1531" w:right="1406" w:bottom="1588" w:left="1157" w:header="964" w:footer="964" w:gutter="567"/>
          <w:pgNumType w:fmt="numberInDash" w:start="1"/>
          <w:cols w:space="720" w:num="1"/>
          <w:docGrid w:type="linesAndChars" w:linePitch="428" w:charSpace="640"/>
        </w:sectPr>
      </w:pPr>
      <w:r>
        <w:rPr>
          <w:rFonts w:hint="eastAsia" w:ascii="Times New Roman" w:hAnsi="Times New Roman" w:cs="Times New Roman"/>
          <w:spacing w:val="0"/>
        </w:rPr>
        <w:t>（5）生态</w:t>
      </w:r>
      <w:r>
        <w:rPr>
          <w:rFonts w:ascii="Times New Roman" w:hAnsi="Times New Roman" w:cs="Times New Roman"/>
          <w:spacing w:val="0"/>
        </w:rPr>
        <w:t>保护目标：项目周边无生态环境保护目标。</w:t>
      </w:r>
    </w:p>
    <w:p>
      <w:pPr>
        <w:pStyle w:val="313"/>
        <w:tabs>
          <w:tab w:val="clear" w:pos="3908"/>
        </w:tabs>
        <w:ind w:left="1122" w:hanging="561"/>
        <w:rPr>
          <w:rFonts w:ascii="Times New Roman" w:hAnsi="Times New Roman"/>
        </w:rPr>
      </w:pPr>
      <w:r>
        <w:rPr>
          <w:rFonts w:ascii="Times New Roman" w:hAnsi="Times New Roman"/>
        </w:rPr>
        <w:t>项目主要保护目标一览表</w:t>
      </w:r>
    </w:p>
    <w:tbl>
      <w:tblPr>
        <w:tblStyle w:val="87"/>
        <w:tblW w:w="137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603"/>
        <w:gridCol w:w="1176"/>
        <w:gridCol w:w="63"/>
        <w:gridCol w:w="1319"/>
        <w:gridCol w:w="1412"/>
        <w:gridCol w:w="1415"/>
        <w:gridCol w:w="982"/>
        <w:gridCol w:w="1122"/>
        <w:gridCol w:w="1352"/>
        <w:gridCol w:w="1607"/>
        <w:gridCol w:w="1154"/>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jc w:val="center"/>
        </w:trPr>
        <w:tc>
          <w:tcPr>
            <w:tcW w:w="568" w:type="dxa"/>
            <w:vMerge w:val="restart"/>
            <w:vAlign w:val="center"/>
          </w:tcPr>
          <w:p>
            <w:pPr>
              <w:spacing w:line="240" w:lineRule="exact"/>
              <w:jc w:val="center"/>
              <w:rPr>
                <w:rFonts w:eastAsiaTheme="minorEastAsia"/>
                <w:sz w:val="21"/>
                <w:szCs w:val="21"/>
              </w:rPr>
            </w:pPr>
            <w:r>
              <w:rPr>
                <w:rFonts w:eastAsiaTheme="minorEastAsia"/>
                <w:sz w:val="21"/>
                <w:szCs w:val="21"/>
              </w:rPr>
              <w:t>序号</w:t>
            </w:r>
          </w:p>
        </w:tc>
        <w:tc>
          <w:tcPr>
            <w:tcW w:w="603" w:type="dxa"/>
            <w:vMerge w:val="restart"/>
            <w:vAlign w:val="center"/>
          </w:tcPr>
          <w:p>
            <w:pPr>
              <w:spacing w:line="240" w:lineRule="exact"/>
              <w:jc w:val="center"/>
              <w:rPr>
                <w:rFonts w:eastAsiaTheme="minorEastAsia"/>
                <w:sz w:val="21"/>
                <w:szCs w:val="21"/>
              </w:rPr>
            </w:pPr>
            <w:r>
              <w:rPr>
                <w:rFonts w:eastAsiaTheme="minorEastAsia"/>
                <w:sz w:val="21"/>
                <w:szCs w:val="21"/>
              </w:rPr>
              <w:t>环境</w:t>
            </w:r>
          </w:p>
          <w:p>
            <w:pPr>
              <w:spacing w:line="240" w:lineRule="exact"/>
              <w:jc w:val="center"/>
              <w:rPr>
                <w:rFonts w:eastAsiaTheme="minorEastAsia"/>
                <w:sz w:val="21"/>
                <w:szCs w:val="21"/>
              </w:rPr>
            </w:pPr>
            <w:r>
              <w:rPr>
                <w:rFonts w:eastAsiaTheme="minorEastAsia"/>
                <w:sz w:val="21"/>
                <w:szCs w:val="21"/>
              </w:rPr>
              <w:t>要素</w:t>
            </w:r>
          </w:p>
        </w:tc>
        <w:tc>
          <w:tcPr>
            <w:tcW w:w="2558" w:type="dxa"/>
            <w:gridSpan w:val="3"/>
            <w:vMerge w:val="restart"/>
            <w:vAlign w:val="center"/>
          </w:tcPr>
          <w:p>
            <w:pPr>
              <w:spacing w:line="240" w:lineRule="exact"/>
              <w:jc w:val="center"/>
              <w:rPr>
                <w:rFonts w:eastAsiaTheme="minorEastAsia"/>
                <w:sz w:val="21"/>
                <w:szCs w:val="21"/>
              </w:rPr>
            </w:pPr>
            <w:r>
              <w:rPr>
                <w:rFonts w:eastAsiaTheme="minorEastAsia"/>
                <w:sz w:val="21"/>
                <w:szCs w:val="21"/>
              </w:rPr>
              <w:t>保护目标名称</w:t>
            </w:r>
          </w:p>
        </w:tc>
        <w:tc>
          <w:tcPr>
            <w:tcW w:w="2827" w:type="dxa"/>
            <w:gridSpan w:val="2"/>
            <w:vAlign w:val="center"/>
          </w:tcPr>
          <w:p>
            <w:pPr>
              <w:spacing w:line="240" w:lineRule="exact"/>
              <w:jc w:val="center"/>
              <w:rPr>
                <w:rFonts w:eastAsiaTheme="minorEastAsia"/>
                <w:sz w:val="21"/>
                <w:szCs w:val="21"/>
              </w:rPr>
            </w:pPr>
            <w:r>
              <w:rPr>
                <w:rFonts w:hint="eastAsia" w:eastAsiaTheme="minorEastAsia"/>
                <w:sz w:val="21"/>
                <w:szCs w:val="21"/>
              </w:rPr>
              <w:t>UTM坐标(m)</w:t>
            </w:r>
          </w:p>
        </w:tc>
        <w:tc>
          <w:tcPr>
            <w:tcW w:w="982" w:type="dxa"/>
            <w:vMerge w:val="restart"/>
            <w:vAlign w:val="center"/>
          </w:tcPr>
          <w:p>
            <w:pPr>
              <w:spacing w:line="240" w:lineRule="exact"/>
              <w:jc w:val="center"/>
              <w:rPr>
                <w:rFonts w:eastAsiaTheme="minorEastAsia"/>
                <w:sz w:val="21"/>
                <w:szCs w:val="21"/>
              </w:rPr>
            </w:pPr>
            <w:r>
              <w:rPr>
                <w:rFonts w:hint="eastAsia" w:eastAsiaTheme="minorEastAsia"/>
                <w:sz w:val="21"/>
                <w:szCs w:val="21"/>
              </w:rPr>
              <w:t>相对</w:t>
            </w:r>
            <w:r>
              <w:rPr>
                <w:rFonts w:eastAsiaTheme="minorEastAsia"/>
                <w:sz w:val="21"/>
                <w:szCs w:val="21"/>
              </w:rPr>
              <w:t>方位</w:t>
            </w:r>
          </w:p>
        </w:tc>
        <w:tc>
          <w:tcPr>
            <w:tcW w:w="1122" w:type="dxa"/>
            <w:vMerge w:val="restart"/>
            <w:vAlign w:val="center"/>
          </w:tcPr>
          <w:p>
            <w:pPr>
              <w:spacing w:line="240" w:lineRule="exact"/>
              <w:jc w:val="center"/>
              <w:rPr>
                <w:rFonts w:eastAsiaTheme="minorEastAsia"/>
                <w:sz w:val="21"/>
                <w:szCs w:val="21"/>
              </w:rPr>
            </w:pPr>
            <w:r>
              <w:rPr>
                <w:rFonts w:eastAsiaTheme="minorEastAsia"/>
                <w:sz w:val="21"/>
                <w:szCs w:val="21"/>
              </w:rPr>
              <w:t>与厂界最近距离约(m)</w:t>
            </w:r>
          </w:p>
        </w:tc>
        <w:tc>
          <w:tcPr>
            <w:tcW w:w="1352" w:type="dxa"/>
            <w:vMerge w:val="restart"/>
            <w:vAlign w:val="center"/>
          </w:tcPr>
          <w:p>
            <w:pPr>
              <w:spacing w:line="240" w:lineRule="exact"/>
              <w:jc w:val="center"/>
              <w:rPr>
                <w:rFonts w:eastAsiaTheme="minorEastAsia"/>
                <w:sz w:val="21"/>
                <w:szCs w:val="21"/>
              </w:rPr>
            </w:pPr>
            <w:r>
              <w:rPr>
                <w:rFonts w:hint="eastAsia" w:eastAsiaTheme="minorEastAsia"/>
                <w:sz w:val="21"/>
                <w:szCs w:val="21"/>
              </w:rPr>
              <w:t>与项目车间边界最近距离(m)</w:t>
            </w:r>
          </w:p>
        </w:tc>
        <w:tc>
          <w:tcPr>
            <w:tcW w:w="1607" w:type="dxa"/>
            <w:vMerge w:val="restart"/>
            <w:vAlign w:val="center"/>
          </w:tcPr>
          <w:p>
            <w:pPr>
              <w:spacing w:line="240" w:lineRule="exact"/>
              <w:jc w:val="center"/>
              <w:rPr>
                <w:rFonts w:eastAsiaTheme="minorEastAsia"/>
                <w:sz w:val="21"/>
                <w:szCs w:val="21"/>
              </w:rPr>
            </w:pPr>
            <w:r>
              <w:rPr>
                <w:rFonts w:hint="eastAsia" w:eastAsiaTheme="minorEastAsia"/>
                <w:sz w:val="21"/>
                <w:szCs w:val="21"/>
              </w:rPr>
              <w:t>保护对象</w:t>
            </w:r>
          </w:p>
        </w:tc>
        <w:tc>
          <w:tcPr>
            <w:tcW w:w="1154" w:type="dxa"/>
            <w:vMerge w:val="restart"/>
            <w:vAlign w:val="center"/>
          </w:tcPr>
          <w:p>
            <w:pPr>
              <w:spacing w:line="240" w:lineRule="exact"/>
              <w:jc w:val="center"/>
              <w:rPr>
                <w:rFonts w:eastAsiaTheme="minorEastAsia"/>
                <w:sz w:val="21"/>
                <w:szCs w:val="21"/>
              </w:rPr>
            </w:pPr>
            <w:r>
              <w:rPr>
                <w:rFonts w:hint="eastAsia" w:eastAsiaTheme="minorEastAsia"/>
                <w:sz w:val="21"/>
                <w:szCs w:val="21"/>
              </w:rPr>
              <w:t>保护内容</w:t>
            </w:r>
          </w:p>
        </w:tc>
        <w:tc>
          <w:tcPr>
            <w:tcW w:w="938" w:type="dxa"/>
            <w:vMerge w:val="restart"/>
            <w:vAlign w:val="center"/>
          </w:tcPr>
          <w:p>
            <w:pPr>
              <w:spacing w:line="240" w:lineRule="exact"/>
              <w:jc w:val="center"/>
              <w:rPr>
                <w:rFonts w:eastAsiaTheme="minorEastAsia"/>
                <w:sz w:val="21"/>
                <w:szCs w:val="21"/>
              </w:rPr>
            </w:pPr>
            <w:r>
              <w:rPr>
                <w:rFonts w:hint="eastAsia" w:eastAsiaTheme="minorEastAsia"/>
                <w:sz w:val="21"/>
                <w:szCs w:val="21"/>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0" w:hRule="atLeast"/>
          <w:tblHeader/>
          <w:jc w:val="center"/>
        </w:trPr>
        <w:tc>
          <w:tcPr>
            <w:tcW w:w="568" w:type="dxa"/>
            <w:vMerge w:val="continue"/>
            <w:vAlign w:val="center"/>
          </w:tcPr>
          <w:p>
            <w:pPr>
              <w:spacing w:line="240" w:lineRule="exact"/>
              <w:jc w:val="center"/>
              <w:rPr>
                <w:rFonts w:eastAsiaTheme="minorEastAsia"/>
                <w:sz w:val="21"/>
                <w:szCs w:val="21"/>
              </w:rPr>
            </w:pPr>
          </w:p>
        </w:tc>
        <w:tc>
          <w:tcPr>
            <w:tcW w:w="603" w:type="dxa"/>
            <w:vMerge w:val="continue"/>
            <w:vAlign w:val="center"/>
          </w:tcPr>
          <w:p>
            <w:pPr>
              <w:spacing w:line="240" w:lineRule="exact"/>
              <w:jc w:val="center"/>
              <w:rPr>
                <w:rFonts w:eastAsiaTheme="minorEastAsia"/>
                <w:sz w:val="21"/>
                <w:szCs w:val="21"/>
              </w:rPr>
            </w:pPr>
          </w:p>
        </w:tc>
        <w:tc>
          <w:tcPr>
            <w:tcW w:w="2558" w:type="dxa"/>
            <w:gridSpan w:val="3"/>
            <w:vMerge w:val="continue"/>
            <w:vAlign w:val="center"/>
          </w:tcPr>
          <w:p>
            <w:pPr>
              <w:spacing w:line="240" w:lineRule="exact"/>
              <w:jc w:val="center"/>
              <w:rPr>
                <w:rFonts w:eastAsiaTheme="minorEastAsia"/>
                <w:sz w:val="21"/>
                <w:szCs w:val="21"/>
              </w:rPr>
            </w:pPr>
          </w:p>
        </w:tc>
        <w:tc>
          <w:tcPr>
            <w:tcW w:w="1412" w:type="dxa"/>
            <w:vAlign w:val="center"/>
          </w:tcPr>
          <w:p>
            <w:pPr>
              <w:spacing w:line="240" w:lineRule="exact"/>
              <w:jc w:val="center"/>
              <w:rPr>
                <w:rFonts w:eastAsiaTheme="minorEastAsia"/>
                <w:sz w:val="21"/>
                <w:szCs w:val="21"/>
              </w:rPr>
            </w:pPr>
            <w:r>
              <w:rPr>
                <w:rFonts w:hint="eastAsia" w:eastAsiaTheme="minorEastAsia"/>
                <w:sz w:val="21"/>
                <w:szCs w:val="21"/>
              </w:rPr>
              <w:t>x</w:t>
            </w:r>
          </w:p>
        </w:tc>
        <w:tc>
          <w:tcPr>
            <w:tcW w:w="1415" w:type="dxa"/>
            <w:vAlign w:val="center"/>
          </w:tcPr>
          <w:p>
            <w:pPr>
              <w:spacing w:line="240" w:lineRule="exact"/>
              <w:jc w:val="center"/>
              <w:rPr>
                <w:rFonts w:eastAsiaTheme="minorEastAsia"/>
                <w:sz w:val="21"/>
                <w:szCs w:val="21"/>
              </w:rPr>
            </w:pPr>
            <w:r>
              <w:rPr>
                <w:rFonts w:hint="eastAsia" w:eastAsiaTheme="minorEastAsia"/>
                <w:sz w:val="21"/>
                <w:szCs w:val="21"/>
              </w:rPr>
              <w:t>y</w:t>
            </w:r>
          </w:p>
        </w:tc>
        <w:tc>
          <w:tcPr>
            <w:tcW w:w="982" w:type="dxa"/>
            <w:vMerge w:val="continue"/>
            <w:vAlign w:val="center"/>
          </w:tcPr>
          <w:p>
            <w:pPr>
              <w:spacing w:line="240" w:lineRule="exact"/>
              <w:jc w:val="center"/>
              <w:rPr>
                <w:rFonts w:eastAsiaTheme="minorEastAsia"/>
                <w:sz w:val="21"/>
                <w:szCs w:val="21"/>
              </w:rPr>
            </w:pPr>
          </w:p>
        </w:tc>
        <w:tc>
          <w:tcPr>
            <w:tcW w:w="1122" w:type="dxa"/>
            <w:vMerge w:val="continue"/>
            <w:vAlign w:val="center"/>
          </w:tcPr>
          <w:p>
            <w:pPr>
              <w:spacing w:line="240" w:lineRule="exact"/>
              <w:jc w:val="center"/>
              <w:rPr>
                <w:rFonts w:eastAsiaTheme="minorEastAsia"/>
                <w:sz w:val="21"/>
                <w:szCs w:val="21"/>
              </w:rPr>
            </w:pPr>
          </w:p>
        </w:tc>
        <w:tc>
          <w:tcPr>
            <w:tcW w:w="1352" w:type="dxa"/>
            <w:vMerge w:val="continue"/>
            <w:vAlign w:val="center"/>
          </w:tcPr>
          <w:p>
            <w:pPr>
              <w:spacing w:line="240" w:lineRule="exact"/>
              <w:jc w:val="center"/>
              <w:rPr>
                <w:rFonts w:eastAsiaTheme="minorEastAsia"/>
                <w:sz w:val="21"/>
                <w:szCs w:val="21"/>
              </w:rPr>
            </w:pPr>
          </w:p>
        </w:tc>
        <w:tc>
          <w:tcPr>
            <w:tcW w:w="1607" w:type="dxa"/>
            <w:vMerge w:val="continue"/>
            <w:vAlign w:val="center"/>
          </w:tcPr>
          <w:p>
            <w:pPr>
              <w:spacing w:line="240" w:lineRule="exact"/>
              <w:jc w:val="center"/>
              <w:rPr>
                <w:rFonts w:eastAsiaTheme="minorEastAsia"/>
                <w:sz w:val="21"/>
                <w:szCs w:val="21"/>
              </w:rPr>
            </w:pPr>
          </w:p>
        </w:tc>
        <w:tc>
          <w:tcPr>
            <w:tcW w:w="1154" w:type="dxa"/>
            <w:vMerge w:val="continue"/>
            <w:vAlign w:val="center"/>
          </w:tcPr>
          <w:p>
            <w:pPr>
              <w:spacing w:line="240" w:lineRule="exact"/>
              <w:jc w:val="center"/>
              <w:rPr>
                <w:rFonts w:eastAsiaTheme="minorEastAsia"/>
                <w:sz w:val="21"/>
                <w:szCs w:val="21"/>
              </w:rPr>
            </w:pPr>
          </w:p>
        </w:tc>
        <w:tc>
          <w:tcPr>
            <w:tcW w:w="938" w:type="dxa"/>
            <w:vMerge w:val="continue"/>
            <w:vAlign w:val="center"/>
          </w:tcPr>
          <w:p>
            <w:pPr>
              <w:spacing w:line="240" w:lineRule="exact"/>
              <w:jc w:val="center"/>
              <w:rPr>
                <w:rFonts w:eastAsiaTheme="minorEastAsia"/>
                <w:sz w:val="21"/>
                <w:szCs w:val="21"/>
              </w:rPr>
            </w:pPr>
          </w:p>
        </w:tc>
      </w:tr>
      <w:bookmarkEnd w:id="67"/>
      <w:bookmarkEnd w:id="68"/>
      <w:bookmarkEnd w:id="69"/>
      <w:bookmarkEnd w:id="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eastAsiaTheme="minorEastAsia"/>
                <w:sz w:val="21"/>
                <w:szCs w:val="21"/>
              </w:rPr>
              <w:t>1</w:t>
            </w:r>
          </w:p>
        </w:tc>
        <w:tc>
          <w:tcPr>
            <w:tcW w:w="603" w:type="dxa"/>
            <w:vMerge w:val="restart"/>
            <w:vAlign w:val="center"/>
          </w:tcPr>
          <w:p>
            <w:pPr>
              <w:spacing w:line="240" w:lineRule="exact"/>
              <w:jc w:val="center"/>
              <w:rPr>
                <w:rFonts w:eastAsiaTheme="minorEastAsia"/>
                <w:sz w:val="21"/>
                <w:szCs w:val="21"/>
              </w:rPr>
            </w:pPr>
            <w:r>
              <w:rPr>
                <w:rFonts w:eastAsiaTheme="minorEastAsia"/>
                <w:sz w:val="21"/>
                <w:szCs w:val="21"/>
              </w:rPr>
              <w:t>环</w:t>
            </w:r>
          </w:p>
          <w:p>
            <w:pPr>
              <w:spacing w:line="240" w:lineRule="exact"/>
              <w:jc w:val="center"/>
              <w:rPr>
                <w:rFonts w:eastAsiaTheme="minorEastAsia"/>
                <w:sz w:val="21"/>
                <w:szCs w:val="21"/>
              </w:rPr>
            </w:pPr>
            <w:r>
              <w:rPr>
                <w:rFonts w:eastAsiaTheme="minorEastAsia"/>
                <w:sz w:val="21"/>
                <w:szCs w:val="21"/>
              </w:rPr>
              <w:t>境</w:t>
            </w:r>
          </w:p>
          <w:p>
            <w:pPr>
              <w:spacing w:line="240" w:lineRule="exact"/>
              <w:jc w:val="center"/>
              <w:rPr>
                <w:rFonts w:eastAsiaTheme="minorEastAsia"/>
                <w:sz w:val="21"/>
                <w:szCs w:val="21"/>
              </w:rPr>
            </w:pPr>
            <w:r>
              <w:rPr>
                <w:rFonts w:eastAsiaTheme="minorEastAsia"/>
                <w:sz w:val="21"/>
                <w:szCs w:val="21"/>
              </w:rPr>
              <w:t>空</w:t>
            </w:r>
          </w:p>
          <w:p>
            <w:pPr>
              <w:spacing w:line="240" w:lineRule="exact"/>
              <w:jc w:val="center"/>
              <w:rPr>
                <w:rFonts w:eastAsiaTheme="minorEastAsia"/>
                <w:sz w:val="21"/>
                <w:szCs w:val="21"/>
              </w:rPr>
            </w:pPr>
            <w:r>
              <w:rPr>
                <w:rFonts w:eastAsiaTheme="minorEastAsia"/>
                <w:sz w:val="21"/>
                <w:szCs w:val="21"/>
              </w:rPr>
              <w:t>气</w:t>
            </w: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辛子公寓</w:t>
            </w:r>
          </w:p>
        </w:tc>
        <w:tc>
          <w:tcPr>
            <w:tcW w:w="1412" w:type="dxa"/>
            <w:vAlign w:val="center"/>
          </w:tcPr>
          <w:p>
            <w:pPr>
              <w:spacing w:line="240" w:lineRule="exact"/>
              <w:jc w:val="center"/>
              <w:rPr>
                <w:rFonts w:eastAsiaTheme="minorEastAsia"/>
                <w:sz w:val="21"/>
                <w:szCs w:val="21"/>
              </w:rPr>
            </w:pPr>
            <w:r>
              <w:rPr>
                <w:rFonts w:eastAsiaTheme="minorEastAsia"/>
                <w:sz w:val="21"/>
                <w:szCs w:val="21"/>
              </w:rPr>
              <w:t>215761.04</w:t>
            </w:r>
          </w:p>
        </w:tc>
        <w:tc>
          <w:tcPr>
            <w:tcW w:w="1415" w:type="dxa"/>
            <w:vAlign w:val="center"/>
          </w:tcPr>
          <w:p>
            <w:pPr>
              <w:spacing w:line="240" w:lineRule="exact"/>
              <w:jc w:val="center"/>
              <w:rPr>
                <w:rFonts w:eastAsiaTheme="minorEastAsia"/>
                <w:sz w:val="21"/>
                <w:szCs w:val="21"/>
              </w:rPr>
            </w:pPr>
            <w:r>
              <w:rPr>
                <w:rFonts w:eastAsiaTheme="minorEastAsia"/>
                <w:sz w:val="21"/>
                <w:szCs w:val="21"/>
              </w:rPr>
              <w:t>3421940.16</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690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1164</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100户，400人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restart"/>
            <w:vAlign w:val="center"/>
          </w:tcPr>
          <w:p>
            <w:pPr>
              <w:spacing w:line="240" w:lineRule="exact"/>
              <w:jc w:val="center"/>
              <w:rPr>
                <w:rFonts w:eastAsiaTheme="minorEastAsia"/>
                <w:sz w:val="21"/>
                <w:szCs w:val="21"/>
              </w:rPr>
            </w:pPr>
            <w:r>
              <w:rPr>
                <w:rFonts w:hint="eastAsia" w:eastAsiaTheme="minorEastAsia"/>
                <w:sz w:val="21"/>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永兴家园</w:t>
            </w:r>
          </w:p>
        </w:tc>
        <w:tc>
          <w:tcPr>
            <w:tcW w:w="1412" w:type="dxa"/>
            <w:vAlign w:val="center"/>
          </w:tcPr>
          <w:p>
            <w:pPr>
              <w:spacing w:line="240" w:lineRule="exact"/>
              <w:jc w:val="center"/>
              <w:rPr>
                <w:rFonts w:eastAsiaTheme="minorEastAsia"/>
                <w:sz w:val="21"/>
                <w:szCs w:val="21"/>
              </w:rPr>
            </w:pPr>
            <w:r>
              <w:rPr>
                <w:rFonts w:eastAsiaTheme="minorEastAsia"/>
                <w:sz w:val="21"/>
                <w:szCs w:val="21"/>
              </w:rPr>
              <w:t>215803.47</w:t>
            </w:r>
          </w:p>
        </w:tc>
        <w:tc>
          <w:tcPr>
            <w:tcW w:w="1415" w:type="dxa"/>
            <w:vAlign w:val="center"/>
          </w:tcPr>
          <w:p>
            <w:pPr>
              <w:spacing w:line="240" w:lineRule="exact"/>
              <w:jc w:val="center"/>
              <w:rPr>
                <w:rFonts w:eastAsiaTheme="minorEastAsia"/>
                <w:sz w:val="21"/>
                <w:szCs w:val="21"/>
              </w:rPr>
            </w:pPr>
            <w:r>
              <w:rPr>
                <w:rFonts w:eastAsiaTheme="minorEastAsia"/>
                <w:sz w:val="21"/>
                <w:szCs w:val="21"/>
              </w:rPr>
              <w:t>3421837.23</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690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1164</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200户，700人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恒泰阳光苑</w:t>
            </w:r>
          </w:p>
        </w:tc>
        <w:tc>
          <w:tcPr>
            <w:tcW w:w="1412" w:type="dxa"/>
            <w:vAlign w:val="center"/>
          </w:tcPr>
          <w:p>
            <w:pPr>
              <w:spacing w:line="240" w:lineRule="exact"/>
              <w:jc w:val="center"/>
              <w:rPr>
                <w:rFonts w:eastAsiaTheme="minorEastAsia"/>
                <w:sz w:val="21"/>
                <w:szCs w:val="21"/>
              </w:rPr>
            </w:pPr>
            <w:r>
              <w:rPr>
                <w:rFonts w:eastAsiaTheme="minorEastAsia"/>
                <w:sz w:val="21"/>
                <w:szCs w:val="21"/>
              </w:rPr>
              <w:t>215874.06</w:t>
            </w:r>
          </w:p>
        </w:tc>
        <w:tc>
          <w:tcPr>
            <w:tcW w:w="1415" w:type="dxa"/>
            <w:vAlign w:val="center"/>
          </w:tcPr>
          <w:p>
            <w:pPr>
              <w:spacing w:line="240" w:lineRule="exact"/>
              <w:jc w:val="center"/>
              <w:rPr>
                <w:rFonts w:eastAsiaTheme="minorEastAsia"/>
                <w:sz w:val="21"/>
                <w:szCs w:val="21"/>
              </w:rPr>
            </w:pPr>
            <w:r>
              <w:rPr>
                <w:rFonts w:eastAsiaTheme="minorEastAsia"/>
                <w:sz w:val="21"/>
                <w:szCs w:val="21"/>
              </w:rPr>
              <w:t>3421827.61</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1029</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1267</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800户，2500人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4</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杨家埠社区</w:t>
            </w:r>
          </w:p>
        </w:tc>
        <w:tc>
          <w:tcPr>
            <w:tcW w:w="1412" w:type="dxa"/>
            <w:vAlign w:val="center"/>
          </w:tcPr>
          <w:p>
            <w:pPr>
              <w:spacing w:line="240" w:lineRule="exact"/>
              <w:jc w:val="center"/>
              <w:rPr>
                <w:rFonts w:eastAsiaTheme="minorEastAsia"/>
                <w:sz w:val="21"/>
                <w:szCs w:val="21"/>
              </w:rPr>
            </w:pPr>
            <w:r>
              <w:rPr>
                <w:rFonts w:eastAsiaTheme="minorEastAsia"/>
                <w:sz w:val="21"/>
                <w:szCs w:val="21"/>
              </w:rPr>
              <w:t>216000.23</w:t>
            </w:r>
          </w:p>
        </w:tc>
        <w:tc>
          <w:tcPr>
            <w:tcW w:w="1415" w:type="dxa"/>
            <w:vAlign w:val="center"/>
          </w:tcPr>
          <w:p>
            <w:pPr>
              <w:spacing w:line="240" w:lineRule="exact"/>
              <w:jc w:val="center"/>
              <w:rPr>
                <w:rFonts w:eastAsiaTheme="minorEastAsia"/>
                <w:sz w:val="21"/>
                <w:szCs w:val="21"/>
              </w:rPr>
            </w:pPr>
            <w:r>
              <w:rPr>
                <w:rFonts w:eastAsiaTheme="minorEastAsia"/>
                <w:sz w:val="21"/>
                <w:szCs w:val="21"/>
              </w:rPr>
              <w:t>3422150.48</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1176</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1415</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6000人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5</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茅柴园</w:t>
            </w:r>
            <w:r>
              <w:rPr>
                <w:rFonts w:eastAsiaTheme="minorEastAsia"/>
                <w:sz w:val="21"/>
                <w:szCs w:val="21"/>
              </w:rPr>
              <w:t>小区</w:t>
            </w:r>
            <w:r>
              <w:rPr>
                <w:rFonts w:hint="eastAsia" w:eastAsiaTheme="minorEastAsia"/>
                <w:sz w:val="21"/>
                <w:szCs w:val="21"/>
              </w:rPr>
              <w:t>(保障房)</w:t>
            </w:r>
          </w:p>
        </w:tc>
        <w:tc>
          <w:tcPr>
            <w:tcW w:w="1412" w:type="dxa"/>
            <w:vAlign w:val="center"/>
          </w:tcPr>
          <w:p>
            <w:pPr>
              <w:spacing w:line="240" w:lineRule="exact"/>
              <w:jc w:val="center"/>
              <w:rPr>
                <w:rFonts w:eastAsiaTheme="minorEastAsia"/>
                <w:sz w:val="21"/>
                <w:szCs w:val="21"/>
              </w:rPr>
            </w:pPr>
            <w:r>
              <w:rPr>
                <w:rFonts w:eastAsiaTheme="minorEastAsia"/>
                <w:sz w:val="21"/>
                <w:szCs w:val="21"/>
              </w:rPr>
              <w:t>216379.74</w:t>
            </w:r>
          </w:p>
        </w:tc>
        <w:tc>
          <w:tcPr>
            <w:tcW w:w="1415" w:type="dxa"/>
            <w:vAlign w:val="center"/>
          </w:tcPr>
          <w:p>
            <w:pPr>
              <w:spacing w:line="240" w:lineRule="exact"/>
              <w:jc w:val="center"/>
              <w:rPr>
                <w:rFonts w:eastAsiaTheme="minorEastAsia"/>
                <w:sz w:val="21"/>
                <w:szCs w:val="21"/>
              </w:rPr>
            </w:pPr>
            <w:r>
              <w:rPr>
                <w:rFonts w:eastAsiaTheme="minorEastAsia"/>
                <w:sz w:val="21"/>
                <w:szCs w:val="21"/>
              </w:rPr>
              <w:t>3421922.57</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1510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1760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1670户、5</w:t>
            </w:r>
            <w:r>
              <w:rPr>
                <w:rFonts w:eastAsiaTheme="minorEastAsia"/>
                <w:sz w:val="21"/>
                <w:szCs w:val="21"/>
              </w:rPr>
              <w:t>344</w:t>
            </w:r>
            <w:r>
              <w:rPr>
                <w:rFonts w:hint="eastAsia" w:eastAsiaTheme="minorEastAsia"/>
                <w:sz w:val="21"/>
                <w:szCs w:val="21"/>
              </w:rPr>
              <w:t>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6</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湖州中学</w:t>
            </w:r>
          </w:p>
        </w:tc>
        <w:tc>
          <w:tcPr>
            <w:tcW w:w="1412" w:type="dxa"/>
            <w:vAlign w:val="center"/>
          </w:tcPr>
          <w:p>
            <w:pPr>
              <w:spacing w:line="240" w:lineRule="exact"/>
              <w:jc w:val="center"/>
              <w:rPr>
                <w:rFonts w:eastAsiaTheme="minorEastAsia"/>
                <w:sz w:val="21"/>
                <w:szCs w:val="21"/>
              </w:rPr>
            </w:pPr>
            <w:r>
              <w:rPr>
                <w:rFonts w:eastAsiaTheme="minorEastAsia"/>
                <w:sz w:val="21"/>
                <w:szCs w:val="21"/>
              </w:rPr>
              <w:t>216369.05</w:t>
            </w:r>
          </w:p>
        </w:tc>
        <w:tc>
          <w:tcPr>
            <w:tcW w:w="1415" w:type="dxa"/>
            <w:vAlign w:val="center"/>
          </w:tcPr>
          <w:p>
            <w:pPr>
              <w:spacing w:line="240" w:lineRule="exact"/>
              <w:jc w:val="center"/>
              <w:rPr>
                <w:rFonts w:eastAsiaTheme="minorEastAsia"/>
                <w:sz w:val="21"/>
                <w:szCs w:val="21"/>
              </w:rPr>
            </w:pPr>
            <w:r>
              <w:rPr>
                <w:rFonts w:eastAsiaTheme="minorEastAsia"/>
                <w:sz w:val="21"/>
                <w:szCs w:val="21"/>
              </w:rPr>
              <w:t>3422600.90</w:t>
            </w:r>
          </w:p>
        </w:tc>
        <w:tc>
          <w:tcPr>
            <w:tcW w:w="982" w:type="dxa"/>
            <w:vAlign w:val="center"/>
          </w:tcPr>
          <w:p>
            <w:pPr>
              <w:spacing w:line="240" w:lineRule="exact"/>
              <w:jc w:val="center"/>
              <w:rPr>
                <w:rFonts w:eastAsiaTheme="minorEastAsia"/>
                <w:sz w:val="21"/>
                <w:szCs w:val="21"/>
              </w:rPr>
            </w:pPr>
            <w:r>
              <w:rPr>
                <w:rFonts w:eastAsiaTheme="minorEastAsia"/>
                <w:sz w:val="21"/>
                <w:szCs w:val="21"/>
              </w:rPr>
              <w:t>N</w:t>
            </w:r>
            <w:r>
              <w:rPr>
                <w:rFonts w:hint="eastAsia"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1550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1830</w:t>
            </w:r>
          </w:p>
        </w:tc>
        <w:tc>
          <w:tcPr>
            <w:tcW w:w="1607" w:type="dxa"/>
            <w:vAlign w:val="center"/>
          </w:tcPr>
          <w:p>
            <w:pPr>
              <w:spacing w:line="240" w:lineRule="exact"/>
              <w:jc w:val="center"/>
              <w:rPr>
                <w:rFonts w:eastAsiaTheme="minorEastAsia"/>
                <w:sz w:val="21"/>
                <w:szCs w:val="21"/>
              </w:rPr>
            </w:pPr>
            <w:r>
              <w:rPr>
                <w:rFonts w:eastAsiaTheme="minorEastAsia"/>
                <w:sz w:val="21"/>
                <w:szCs w:val="21"/>
              </w:rPr>
              <w:t>学生2100余人，教职员工208人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学校</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7</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w:t>
            </w:r>
            <w:r>
              <w:rPr>
                <w:rFonts w:eastAsiaTheme="minorEastAsia"/>
                <w:sz w:val="21"/>
                <w:szCs w:val="21"/>
              </w:rPr>
              <w:t>中心医院</w:t>
            </w:r>
            <w:r>
              <w:rPr>
                <w:rFonts w:hint="eastAsia" w:eastAsiaTheme="minorEastAsia"/>
                <w:sz w:val="21"/>
                <w:szCs w:val="21"/>
              </w:rPr>
              <w:t>开发区</w:t>
            </w:r>
            <w:r>
              <w:rPr>
                <w:rFonts w:eastAsiaTheme="minorEastAsia"/>
                <w:sz w:val="21"/>
                <w:szCs w:val="21"/>
              </w:rPr>
              <w:t>分院</w:t>
            </w:r>
          </w:p>
        </w:tc>
        <w:tc>
          <w:tcPr>
            <w:tcW w:w="1412" w:type="dxa"/>
            <w:vAlign w:val="center"/>
          </w:tcPr>
          <w:p>
            <w:pPr>
              <w:spacing w:line="240" w:lineRule="exact"/>
              <w:jc w:val="center"/>
              <w:rPr>
                <w:rFonts w:eastAsiaTheme="minorEastAsia"/>
                <w:sz w:val="21"/>
                <w:szCs w:val="21"/>
              </w:rPr>
            </w:pPr>
            <w:r>
              <w:rPr>
                <w:rFonts w:eastAsiaTheme="minorEastAsia"/>
                <w:sz w:val="21"/>
                <w:szCs w:val="21"/>
              </w:rPr>
              <w:t>217009.47</w:t>
            </w:r>
          </w:p>
        </w:tc>
        <w:tc>
          <w:tcPr>
            <w:tcW w:w="1415" w:type="dxa"/>
            <w:vAlign w:val="center"/>
          </w:tcPr>
          <w:p>
            <w:pPr>
              <w:spacing w:line="240" w:lineRule="exact"/>
              <w:jc w:val="center"/>
              <w:rPr>
                <w:rFonts w:eastAsiaTheme="minorEastAsia"/>
                <w:sz w:val="21"/>
                <w:szCs w:val="21"/>
              </w:rPr>
            </w:pPr>
            <w:r>
              <w:rPr>
                <w:rFonts w:eastAsiaTheme="minorEastAsia"/>
                <w:sz w:val="21"/>
                <w:szCs w:val="21"/>
              </w:rPr>
              <w:t>3421974.29</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2100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2400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175个</w:t>
            </w:r>
            <w:r>
              <w:rPr>
                <w:rFonts w:eastAsiaTheme="minorEastAsia"/>
                <w:sz w:val="21"/>
                <w:szCs w:val="21"/>
              </w:rPr>
              <w:t>床位</w:t>
            </w:r>
            <w:r>
              <w:rPr>
                <w:rFonts w:hint="eastAsia" w:eastAsiaTheme="minorEastAsia"/>
                <w:sz w:val="21"/>
                <w:szCs w:val="21"/>
              </w:rPr>
              <w:t>，</w:t>
            </w:r>
            <w:r>
              <w:rPr>
                <w:rFonts w:eastAsiaTheme="minorEastAsia"/>
                <w:sz w:val="21"/>
                <w:szCs w:val="21"/>
              </w:rPr>
              <w:t>工作人员</w:t>
            </w:r>
            <w:r>
              <w:rPr>
                <w:rFonts w:hint="eastAsia" w:eastAsiaTheme="minorEastAsia"/>
                <w:sz w:val="21"/>
                <w:szCs w:val="21"/>
              </w:rPr>
              <w:t>160人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医院</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8</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光明</w:t>
            </w:r>
            <w:r>
              <w:rPr>
                <w:rFonts w:eastAsiaTheme="minorEastAsia"/>
                <w:sz w:val="21"/>
                <w:szCs w:val="21"/>
              </w:rPr>
              <w:t>御品</w:t>
            </w:r>
            <w:r>
              <w:rPr>
                <w:rFonts w:hint="eastAsia" w:eastAsiaTheme="minorEastAsia"/>
                <w:sz w:val="21"/>
                <w:szCs w:val="21"/>
              </w:rPr>
              <w:t>小区</w:t>
            </w:r>
          </w:p>
        </w:tc>
        <w:tc>
          <w:tcPr>
            <w:tcW w:w="1412" w:type="dxa"/>
            <w:vAlign w:val="center"/>
          </w:tcPr>
          <w:p>
            <w:pPr>
              <w:spacing w:line="240" w:lineRule="exact"/>
              <w:jc w:val="center"/>
              <w:rPr>
                <w:rFonts w:eastAsiaTheme="minorEastAsia"/>
                <w:sz w:val="21"/>
                <w:szCs w:val="21"/>
              </w:rPr>
            </w:pPr>
            <w:r>
              <w:rPr>
                <w:rFonts w:eastAsiaTheme="minorEastAsia"/>
                <w:sz w:val="21"/>
                <w:szCs w:val="21"/>
              </w:rPr>
              <w:t>217270.81</w:t>
            </w:r>
          </w:p>
        </w:tc>
        <w:tc>
          <w:tcPr>
            <w:tcW w:w="1415" w:type="dxa"/>
            <w:vAlign w:val="center"/>
          </w:tcPr>
          <w:p>
            <w:pPr>
              <w:spacing w:line="240" w:lineRule="exact"/>
              <w:jc w:val="center"/>
              <w:rPr>
                <w:rFonts w:eastAsiaTheme="minorEastAsia"/>
                <w:sz w:val="21"/>
                <w:szCs w:val="21"/>
              </w:rPr>
            </w:pPr>
            <w:r>
              <w:rPr>
                <w:rFonts w:eastAsiaTheme="minorEastAsia"/>
                <w:sz w:val="21"/>
                <w:szCs w:val="21"/>
              </w:rPr>
              <w:t>3422343.58</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2200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2500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2188户</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9</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黄芝山</w:t>
            </w:r>
            <w:r>
              <w:rPr>
                <w:rFonts w:eastAsiaTheme="minorEastAsia"/>
                <w:sz w:val="21"/>
                <w:szCs w:val="21"/>
              </w:rPr>
              <w:t>安居工程</w:t>
            </w:r>
            <w:r>
              <w:rPr>
                <w:rFonts w:hint="eastAsia" w:eastAsiaTheme="minorEastAsia"/>
                <w:sz w:val="21"/>
                <w:szCs w:val="21"/>
              </w:rPr>
              <w:t>(民兴</w:t>
            </w:r>
            <w:r>
              <w:rPr>
                <w:rFonts w:eastAsiaTheme="minorEastAsia"/>
                <w:sz w:val="21"/>
                <w:szCs w:val="21"/>
              </w:rPr>
              <w:t>花园</w:t>
            </w:r>
            <w:r>
              <w:rPr>
                <w:rFonts w:hint="eastAsia" w:eastAsiaTheme="minorEastAsia"/>
                <w:sz w:val="21"/>
                <w:szCs w:val="21"/>
              </w:rPr>
              <w:t>)</w:t>
            </w:r>
          </w:p>
        </w:tc>
        <w:tc>
          <w:tcPr>
            <w:tcW w:w="1412" w:type="dxa"/>
            <w:vAlign w:val="center"/>
          </w:tcPr>
          <w:p>
            <w:pPr>
              <w:spacing w:line="240" w:lineRule="exact"/>
              <w:jc w:val="center"/>
              <w:rPr>
                <w:rFonts w:eastAsiaTheme="minorEastAsia"/>
                <w:sz w:val="21"/>
                <w:szCs w:val="21"/>
              </w:rPr>
            </w:pPr>
            <w:r>
              <w:rPr>
                <w:rFonts w:eastAsiaTheme="minorEastAsia"/>
                <w:sz w:val="21"/>
                <w:szCs w:val="21"/>
              </w:rPr>
              <w:t>217296.79</w:t>
            </w:r>
          </w:p>
        </w:tc>
        <w:tc>
          <w:tcPr>
            <w:tcW w:w="1415" w:type="dxa"/>
            <w:vAlign w:val="center"/>
          </w:tcPr>
          <w:p>
            <w:pPr>
              <w:spacing w:line="240" w:lineRule="exact"/>
              <w:jc w:val="center"/>
              <w:rPr>
                <w:rFonts w:eastAsiaTheme="minorEastAsia"/>
                <w:sz w:val="21"/>
                <w:szCs w:val="21"/>
              </w:rPr>
            </w:pPr>
            <w:r>
              <w:rPr>
                <w:rFonts w:eastAsiaTheme="minorEastAsia"/>
                <w:sz w:val="21"/>
                <w:szCs w:val="21"/>
              </w:rPr>
              <w:t>3421852.36</w:t>
            </w:r>
          </w:p>
        </w:tc>
        <w:tc>
          <w:tcPr>
            <w:tcW w:w="982" w:type="dxa"/>
            <w:vAlign w:val="center"/>
          </w:tcPr>
          <w:p>
            <w:pPr>
              <w:spacing w:line="240" w:lineRule="exact"/>
              <w:jc w:val="center"/>
              <w:rPr>
                <w:rFonts w:eastAsiaTheme="minorEastAsia"/>
                <w:sz w:val="21"/>
                <w:szCs w:val="21"/>
              </w:rPr>
            </w:pPr>
            <w:r>
              <w:rPr>
                <w:rFonts w:eastAsiaTheme="minorEastAsia"/>
                <w:sz w:val="21"/>
                <w:szCs w:val="21"/>
              </w:rPr>
              <w:t>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2450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2700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1519户</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10</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九九桥</w:t>
            </w:r>
            <w:r>
              <w:rPr>
                <w:rFonts w:eastAsiaTheme="minorEastAsia"/>
                <w:sz w:val="21"/>
                <w:szCs w:val="21"/>
              </w:rPr>
              <w:t>小区</w:t>
            </w:r>
          </w:p>
        </w:tc>
        <w:tc>
          <w:tcPr>
            <w:tcW w:w="1412" w:type="dxa"/>
            <w:vAlign w:val="center"/>
          </w:tcPr>
          <w:p>
            <w:pPr>
              <w:spacing w:line="240" w:lineRule="exact"/>
              <w:jc w:val="center"/>
              <w:rPr>
                <w:rFonts w:eastAsiaTheme="minorEastAsia"/>
                <w:sz w:val="21"/>
                <w:szCs w:val="21"/>
              </w:rPr>
            </w:pPr>
            <w:r>
              <w:rPr>
                <w:rFonts w:eastAsiaTheme="minorEastAsia"/>
                <w:sz w:val="21"/>
                <w:szCs w:val="21"/>
              </w:rPr>
              <w:t>217036.25</w:t>
            </w:r>
          </w:p>
        </w:tc>
        <w:tc>
          <w:tcPr>
            <w:tcW w:w="1415" w:type="dxa"/>
            <w:vAlign w:val="center"/>
          </w:tcPr>
          <w:p>
            <w:pPr>
              <w:spacing w:line="240" w:lineRule="exact"/>
              <w:jc w:val="center"/>
              <w:rPr>
                <w:rFonts w:eastAsiaTheme="minorEastAsia"/>
                <w:sz w:val="21"/>
                <w:szCs w:val="21"/>
              </w:rPr>
            </w:pPr>
            <w:r>
              <w:rPr>
                <w:rFonts w:eastAsiaTheme="minorEastAsia"/>
                <w:sz w:val="21"/>
                <w:szCs w:val="21"/>
              </w:rPr>
              <w:t>3420430.56</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2560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2790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625户</w:t>
            </w:r>
            <w:r>
              <w:rPr>
                <w:rFonts w:eastAsiaTheme="minorEastAsia"/>
                <w:sz w:val="21"/>
                <w:szCs w:val="21"/>
              </w:rPr>
              <w:t>，</w:t>
            </w:r>
            <w:r>
              <w:rPr>
                <w:rFonts w:hint="eastAsia" w:eastAsiaTheme="minorEastAsia"/>
                <w:sz w:val="21"/>
                <w:szCs w:val="21"/>
              </w:rPr>
              <w:t>2175人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eastAsiaTheme="minorEastAsia"/>
                <w:sz w:val="21"/>
                <w:szCs w:val="21"/>
              </w:rPr>
              <w:t>11</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杨家庄村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216612.78</w:t>
            </w:r>
          </w:p>
        </w:tc>
        <w:tc>
          <w:tcPr>
            <w:tcW w:w="1415" w:type="dxa"/>
            <w:vAlign w:val="center"/>
          </w:tcPr>
          <w:p>
            <w:pPr>
              <w:spacing w:line="240" w:lineRule="exact"/>
              <w:jc w:val="center"/>
              <w:rPr>
                <w:rFonts w:eastAsiaTheme="minorEastAsia"/>
                <w:sz w:val="21"/>
                <w:szCs w:val="21"/>
              </w:rPr>
            </w:pPr>
            <w:r>
              <w:rPr>
                <w:rFonts w:eastAsiaTheme="minorEastAsia"/>
                <w:sz w:val="21"/>
                <w:szCs w:val="21"/>
              </w:rPr>
              <w:t>3420147.05</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2218</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2623</w:t>
            </w:r>
          </w:p>
        </w:tc>
        <w:tc>
          <w:tcPr>
            <w:tcW w:w="1607" w:type="dxa"/>
            <w:vMerge w:val="restart"/>
            <w:vAlign w:val="center"/>
          </w:tcPr>
          <w:p>
            <w:pPr>
              <w:spacing w:line="240" w:lineRule="exact"/>
              <w:jc w:val="center"/>
              <w:rPr>
                <w:rFonts w:eastAsiaTheme="minorEastAsia"/>
                <w:sz w:val="21"/>
                <w:szCs w:val="21"/>
              </w:rPr>
            </w:pPr>
            <w:r>
              <w:rPr>
                <w:rFonts w:hint="eastAsia" w:eastAsiaTheme="minorEastAsia"/>
                <w:sz w:val="21"/>
                <w:szCs w:val="21"/>
              </w:rPr>
              <w:t>650户，2400人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12</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杨家庄佳园</w:t>
            </w:r>
          </w:p>
        </w:tc>
        <w:tc>
          <w:tcPr>
            <w:tcW w:w="1412" w:type="dxa"/>
            <w:vAlign w:val="center"/>
          </w:tcPr>
          <w:p>
            <w:pPr>
              <w:spacing w:line="240" w:lineRule="exact"/>
              <w:jc w:val="center"/>
              <w:rPr>
                <w:rFonts w:eastAsiaTheme="minorEastAsia"/>
                <w:sz w:val="21"/>
                <w:szCs w:val="21"/>
              </w:rPr>
            </w:pPr>
            <w:r>
              <w:rPr>
                <w:rFonts w:eastAsiaTheme="minorEastAsia"/>
                <w:sz w:val="21"/>
                <w:szCs w:val="21"/>
              </w:rPr>
              <w:t>215467.07</w:t>
            </w:r>
          </w:p>
        </w:tc>
        <w:tc>
          <w:tcPr>
            <w:tcW w:w="1415" w:type="dxa"/>
            <w:vAlign w:val="center"/>
          </w:tcPr>
          <w:p>
            <w:pPr>
              <w:spacing w:line="240" w:lineRule="exact"/>
              <w:jc w:val="center"/>
              <w:rPr>
                <w:rFonts w:eastAsiaTheme="minorEastAsia"/>
                <w:sz w:val="21"/>
                <w:szCs w:val="21"/>
              </w:rPr>
            </w:pPr>
            <w:r>
              <w:rPr>
                <w:rFonts w:eastAsiaTheme="minorEastAsia"/>
                <w:sz w:val="21"/>
                <w:szCs w:val="21"/>
              </w:rPr>
              <w:t>3419696.55</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2100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2352</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13</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岁金时代</w:t>
            </w:r>
            <w:r>
              <w:rPr>
                <w:rFonts w:eastAsiaTheme="minorEastAsia"/>
                <w:sz w:val="21"/>
                <w:szCs w:val="21"/>
              </w:rPr>
              <w:t>书香苑</w:t>
            </w:r>
          </w:p>
        </w:tc>
        <w:tc>
          <w:tcPr>
            <w:tcW w:w="1412" w:type="dxa"/>
            <w:vAlign w:val="center"/>
          </w:tcPr>
          <w:p>
            <w:pPr>
              <w:spacing w:line="240" w:lineRule="exact"/>
              <w:jc w:val="center"/>
              <w:rPr>
                <w:rFonts w:eastAsiaTheme="minorEastAsia"/>
                <w:sz w:val="21"/>
                <w:szCs w:val="21"/>
              </w:rPr>
            </w:pPr>
            <w:r>
              <w:rPr>
                <w:rFonts w:eastAsiaTheme="minorEastAsia"/>
                <w:sz w:val="21"/>
                <w:szCs w:val="21"/>
              </w:rPr>
              <w:t>215529.38</w:t>
            </w:r>
          </w:p>
        </w:tc>
        <w:tc>
          <w:tcPr>
            <w:tcW w:w="1415" w:type="dxa"/>
            <w:vAlign w:val="center"/>
          </w:tcPr>
          <w:p>
            <w:pPr>
              <w:spacing w:line="240" w:lineRule="exact"/>
              <w:jc w:val="center"/>
              <w:rPr>
                <w:rFonts w:eastAsiaTheme="minorEastAsia"/>
                <w:sz w:val="21"/>
                <w:szCs w:val="21"/>
              </w:rPr>
            </w:pPr>
            <w:r>
              <w:rPr>
                <w:rFonts w:eastAsiaTheme="minorEastAsia"/>
                <w:sz w:val="21"/>
                <w:szCs w:val="21"/>
              </w:rPr>
              <w:t>3419258.61</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2800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3100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8栋小高层，19栋高层</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14</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西塞人家</w:t>
            </w:r>
          </w:p>
        </w:tc>
        <w:tc>
          <w:tcPr>
            <w:tcW w:w="1412" w:type="dxa"/>
            <w:vAlign w:val="center"/>
          </w:tcPr>
          <w:p>
            <w:pPr>
              <w:spacing w:line="240" w:lineRule="exact"/>
              <w:jc w:val="center"/>
              <w:rPr>
                <w:rFonts w:eastAsiaTheme="minorEastAsia"/>
                <w:sz w:val="21"/>
                <w:szCs w:val="21"/>
              </w:rPr>
            </w:pPr>
            <w:r>
              <w:rPr>
                <w:rFonts w:eastAsiaTheme="minorEastAsia"/>
                <w:sz w:val="21"/>
                <w:szCs w:val="21"/>
              </w:rPr>
              <w:t>215057.75</w:t>
            </w:r>
          </w:p>
        </w:tc>
        <w:tc>
          <w:tcPr>
            <w:tcW w:w="1415" w:type="dxa"/>
            <w:vAlign w:val="center"/>
          </w:tcPr>
          <w:p>
            <w:pPr>
              <w:spacing w:line="240" w:lineRule="exact"/>
              <w:jc w:val="center"/>
              <w:rPr>
                <w:rFonts w:eastAsiaTheme="minorEastAsia"/>
                <w:sz w:val="21"/>
                <w:szCs w:val="21"/>
              </w:rPr>
            </w:pPr>
            <w:r>
              <w:rPr>
                <w:rFonts w:eastAsiaTheme="minorEastAsia"/>
                <w:sz w:val="21"/>
                <w:szCs w:val="21"/>
              </w:rPr>
              <w:t>3419287.87</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2500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2700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lang w:val="zh-CN"/>
              </w:rPr>
              <w:t>37幢多高层，约5000人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w:t>
            </w:r>
            <w:r>
              <w:rPr>
                <w:rFonts w:eastAsiaTheme="minorEastAsia"/>
                <w:sz w:val="21"/>
                <w:szCs w:val="21"/>
              </w:rPr>
              <w:t>5</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restart"/>
            <w:vAlign w:val="center"/>
          </w:tcPr>
          <w:p>
            <w:pPr>
              <w:spacing w:line="240" w:lineRule="exact"/>
              <w:jc w:val="center"/>
              <w:rPr>
                <w:rFonts w:eastAsiaTheme="minorEastAsia"/>
                <w:sz w:val="21"/>
                <w:szCs w:val="21"/>
              </w:rPr>
            </w:pPr>
            <w:r>
              <w:rPr>
                <w:rFonts w:hint="eastAsia" w:eastAsiaTheme="minorEastAsia"/>
                <w:sz w:val="21"/>
                <w:szCs w:val="21"/>
              </w:rPr>
              <w:t>龙溪街道</w:t>
            </w:r>
          </w:p>
          <w:p>
            <w:pPr>
              <w:spacing w:line="240" w:lineRule="exact"/>
              <w:jc w:val="center"/>
              <w:rPr>
                <w:rFonts w:eastAsiaTheme="minorEastAsia"/>
                <w:sz w:val="21"/>
                <w:szCs w:val="21"/>
              </w:rPr>
            </w:pPr>
            <w:r>
              <w:rPr>
                <w:rFonts w:hint="eastAsia" w:eastAsiaTheme="minorEastAsia"/>
                <w:sz w:val="21"/>
                <w:szCs w:val="21"/>
              </w:rPr>
              <w:t>严家坟行政村</w:t>
            </w: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严家坟自然村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214607.58</w:t>
            </w:r>
          </w:p>
        </w:tc>
        <w:tc>
          <w:tcPr>
            <w:tcW w:w="1415" w:type="dxa"/>
            <w:vAlign w:val="center"/>
          </w:tcPr>
          <w:p>
            <w:pPr>
              <w:spacing w:line="240" w:lineRule="exact"/>
              <w:jc w:val="center"/>
              <w:rPr>
                <w:rFonts w:eastAsiaTheme="minorEastAsia"/>
                <w:sz w:val="21"/>
                <w:szCs w:val="21"/>
              </w:rPr>
            </w:pPr>
            <w:r>
              <w:rPr>
                <w:rFonts w:eastAsiaTheme="minorEastAsia"/>
                <w:sz w:val="21"/>
                <w:szCs w:val="21"/>
              </w:rPr>
              <w:t>3420198.15</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1635</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1695</w:t>
            </w:r>
          </w:p>
        </w:tc>
        <w:tc>
          <w:tcPr>
            <w:tcW w:w="1607" w:type="dxa"/>
            <w:vMerge w:val="restart"/>
            <w:vAlign w:val="center"/>
          </w:tcPr>
          <w:p>
            <w:pPr>
              <w:spacing w:line="240" w:lineRule="exact"/>
              <w:jc w:val="center"/>
              <w:rPr>
                <w:rFonts w:eastAsiaTheme="minorEastAsia"/>
                <w:sz w:val="21"/>
                <w:szCs w:val="21"/>
              </w:rPr>
            </w:pPr>
            <w:r>
              <w:rPr>
                <w:rFonts w:hint="eastAsia" w:eastAsiaTheme="minorEastAsia"/>
                <w:sz w:val="21"/>
                <w:szCs w:val="21"/>
              </w:rPr>
              <w:t>526户，1980人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w:t>
            </w:r>
            <w:r>
              <w:rPr>
                <w:rFonts w:eastAsiaTheme="minorEastAsia"/>
                <w:sz w:val="21"/>
                <w:szCs w:val="21"/>
              </w:rPr>
              <w:t>6</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礼堂前自然村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214402.85</w:t>
            </w:r>
          </w:p>
        </w:tc>
        <w:tc>
          <w:tcPr>
            <w:tcW w:w="1415" w:type="dxa"/>
            <w:vAlign w:val="center"/>
          </w:tcPr>
          <w:p>
            <w:pPr>
              <w:spacing w:line="240" w:lineRule="exact"/>
              <w:jc w:val="center"/>
              <w:rPr>
                <w:rFonts w:eastAsiaTheme="minorEastAsia"/>
                <w:sz w:val="21"/>
                <w:szCs w:val="21"/>
              </w:rPr>
            </w:pPr>
            <w:r>
              <w:rPr>
                <w:rFonts w:eastAsiaTheme="minorEastAsia"/>
                <w:sz w:val="21"/>
                <w:szCs w:val="21"/>
              </w:rPr>
              <w:t>3419877.40</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1963</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2003</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w:t>
            </w:r>
            <w:r>
              <w:rPr>
                <w:rFonts w:eastAsiaTheme="minorEastAsia"/>
                <w:sz w:val="21"/>
                <w:szCs w:val="21"/>
              </w:rPr>
              <w:t>7</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石羊村自然村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213903.10</w:t>
            </w:r>
          </w:p>
        </w:tc>
        <w:tc>
          <w:tcPr>
            <w:tcW w:w="1415" w:type="dxa"/>
            <w:vAlign w:val="center"/>
          </w:tcPr>
          <w:p>
            <w:pPr>
              <w:spacing w:line="240" w:lineRule="exact"/>
              <w:jc w:val="center"/>
              <w:rPr>
                <w:rFonts w:eastAsiaTheme="minorEastAsia"/>
                <w:sz w:val="21"/>
                <w:szCs w:val="21"/>
              </w:rPr>
            </w:pPr>
            <w:r>
              <w:rPr>
                <w:rFonts w:eastAsiaTheme="minorEastAsia"/>
                <w:sz w:val="21"/>
                <w:szCs w:val="21"/>
              </w:rPr>
              <w:t>3420082.49</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1770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1880</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18</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羊汇头</w:t>
            </w:r>
            <w:r>
              <w:rPr>
                <w:rFonts w:eastAsiaTheme="minorEastAsia"/>
                <w:sz w:val="21"/>
                <w:szCs w:val="21"/>
              </w:rPr>
              <w:t>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214543.41</w:t>
            </w:r>
          </w:p>
        </w:tc>
        <w:tc>
          <w:tcPr>
            <w:tcW w:w="1415" w:type="dxa"/>
            <w:vAlign w:val="center"/>
          </w:tcPr>
          <w:p>
            <w:pPr>
              <w:spacing w:line="240" w:lineRule="exact"/>
              <w:jc w:val="center"/>
              <w:rPr>
                <w:rFonts w:eastAsiaTheme="minorEastAsia"/>
                <w:sz w:val="21"/>
                <w:szCs w:val="21"/>
              </w:rPr>
            </w:pPr>
            <w:r>
              <w:rPr>
                <w:rFonts w:eastAsiaTheme="minorEastAsia"/>
                <w:sz w:val="21"/>
                <w:szCs w:val="21"/>
              </w:rPr>
              <w:t>3419141.48</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2500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2700</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19</w:t>
            </w:r>
          </w:p>
        </w:tc>
        <w:tc>
          <w:tcPr>
            <w:tcW w:w="603" w:type="dxa"/>
            <w:vMerge w:val="continue"/>
            <w:vAlign w:val="center"/>
          </w:tcPr>
          <w:p>
            <w:pPr>
              <w:spacing w:line="240" w:lineRule="exact"/>
              <w:jc w:val="center"/>
              <w:rPr>
                <w:rFonts w:eastAsiaTheme="minorEastAsia"/>
                <w:sz w:val="21"/>
                <w:szCs w:val="21"/>
              </w:rPr>
            </w:pPr>
          </w:p>
        </w:tc>
        <w:tc>
          <w:tcPr>
            <w:tcW w:w="1239" w:type="dxa"/>
            <w:gridSpan w:val="2"/>
            <w:vAlign w:val="center"/>
          </w:tcPr>
          <w:p>
            <w:pPr>
              <w:spacing w:line="240" w:lineRule="exact"/>
              <w:jc w:val="center"/>
              <w:rPr>
                <w:rFonts w:eastAsiaTheme="minorEastAsia"/>
                <w:sz w:val="21"/>
                <w:szCs w:val="21"/>
              </w:rPr>
            </w:pPr>
            <w:r>
              <w:rPr>
                <w:rFonts w:hint="eastAsia" w:eastAsiaTheme="minorEastAsia"/>
                <w:sz w:val="21"/>
                <w:szCs w:val="21"/>
              </w:rPr>
              <w:t>罗家浜村</w:t>
            </w: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窑墩头自然村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213300.44</w:t>
            </w:r>
          </w:p>
        </w:tc>
        <w:tc>
          <w:tcPr>
            <w:tcW w:w="1415" w:type="dxa"/>
            <w:vAlign w:val="center"/>
          </w:tcPr>
          <w:p>
            <w:pPr>
              <w:spacing w:line="240" w:lineRule="exact"/>
              <w:jc w:val="center"/>
              <w:rPr>
                <w:rFonts w:eastAsiaTheme="minorEastAsia"/>
                <w:sz w:val="21"/>
                <w:szCs w:val="21"/>
              </w:rPr>
            </w:pPr>
            <w:r>
              <w:rPr>
                <w:rFonts w:eastAsiaTheme="minorEastAsia"/>
                <w:sz w:val="21"/>
                <w:szCs w:val="21"/>
              </w:rPr>
              <w:t>3421691.75</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700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997</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311户，1010人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20</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restart"/>
            <w:vAlign w:val="center"/>
          </w:tcPr>
          <w:p>
            <w:pPr>
              <w:spacing w:line="240" w:lineRule="exact"/>
              <w:jc w:val="center"/>
              <w:rPr>
                <w:rFonts w:eastAsiaTheme="minorEastAsia"/>
                <w:sz w:val="21"/>
                <w:szCs w:val="21"/>
              </w:rPr>
            </w:pPr>
            <w:r>
              <w:rPr>
                <w:rFonts w:hint="eastAsia" w:eastAsiaTheme="minorEastAsia"/>
                <w:sz w:val="21"/>
                <w:szCs w:val="21"/>
              </w:rPr>
              <w:t>杨家埠街道乌陵山行政村</w:t>
            </w: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彭家村自然村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213475.56</w:t>
            </w:r>
          </w:p>
        </w:tc>
        <w:tc>
          <w:tcPr>
            <w:tcW w:w="1415" w:type="dxa"/>
            <w:vAlign w:val="center"/>
          </w:tcPr>
          <w:p>
            <w:pPr>
              <w:spacing w:line="240" w:lineRule="exact"/>
              <w:jc w:val="center"/>
              <w:rPr>
                <w:rFonts w:eastAsiaTheme="minorEastAsia"/>
                <w:sz w:val="21"/>
                <w:szCs w:val="21"/>
              </w:rPr>
            </w:pPr>
            <w:r>
              <w:rPr>
                <w:rFonts w:eastAsiaTheme="minorEastAsia"/>
                <w:sz w:val="21"/>
                <w:szCs w:val="21"/>
              </w:rPr>
              <w:t>3420834.54</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1164</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1385</w:t>
            </w:r>
          </w:p>
        </w:tc>
        <w:tc>
          <w:tcPr>
            <w:tcW w:w="1607" w:type="dxa"/>
            <w:vMerge w:val="restart"/>
            <w:vAlign w:val="center"/>
          </w:tcPr>
          <w:p>
            <w:pPr>
              <w:spacing w:line="240" w:lineRule="exact"/>
              <w:jc w:val="center"/>
              <w:rPr>
                <w:rFonts w:eastAsiaTheme="minorEastAsia"/>
                <w:sz w:val="21"/>
                <w:szCs w:val="21"/>
              </w:rPr>
            </w:pPr>
            <w:r>
              <w:rPr>
                <w:rFonts w:hint="eastAsia" w:eastAsiaTheme="minorEastAsia"/>
                <w:sz w:val="21"/>
                <w:szCs w:val="21"/>
              </w:rPr>
              <w:t>532户，2070人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21</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乌陵山村自然村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786267.27</w:t>
            </w:r>
          </w:p>
        </w:tc>
        <w:tc>
          <w:tcPr>
            <w:tcW w:w="1415" w:type="dxa"/>
            <w:vAlign w:val="center"/>
          </w:tcPr>
          <w:p>
            <w:pPr>
              <w:spacing w:line="240" w:lineRule="exact"/>
              <w:jc w:val="center"/>
              <w:rPr>
                <w:rFonts w:eastAsiaTheme="minorEastAsia"/>
                <w:sz w:val="21"/>
                <w:szCs w:val="21"/>
              </w:rPr>
            </w:pPr>
            <w:r>
              <w:rPr>
                <w:rFonts w:eastAsiaTheme="minorEastAsia"/>
                <w:sz w:val="21"/>
                <w:szCs w:val="21"/>
              </w:rPr>
              <w:t>3421258.64</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1470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1757</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22</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管家村自然村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785804.85</w:t>
            </w:r>
          </w:p>
        </w:tc>
        <w:tc>
          <w:tcPr>
            <w:tcW w:w="1415" w:type="dxa"/>
            <w:vAlign w:val="center"/>
          </w:tcPr>
          <w:p>
            <w:pPr>
              <w:spacing w:line="240" w:lineRule="exact"/>
              <w:jc w:val="center"/>
              <w:rPr>
                <w:rFonts w:eastAsiaTheme="minorEastAsia"/>
                <w:sz w:val="21"/>
                <w:szCs w:val="21"/>
              </w:rPr>
            </w:pPr>
            <w:r>
              <w:rPr>
                <w:rFonts w:eastAsiaTheme="minorEastAsia"/>
                <w:sz w:val="21"/>
                <w:szCs w:val="21"/>
              </w:rPr>
              <w:t>3421750.47</w:t>
            </w:r>
          </w:p>
        </w:tc>
        <w:tc>
          <w:tcPr>
            <w:tcW w:w="982" w:type="dxa"/>
            <w:vAlign w:val="center"/>
          </w:tcPr>
          <w:p>
            <w:pPr>
              <w:spacing w:line="240" w:lineRule="exact"/>
              <w:jc w:val="center"/>
              <w:rPr>
                <w:rFonts w:eastAsiaTheme="minorEastAsia"/>
                <w:sz w:val="21"/>
                <w:szCs w:val="21"/>
              </w:rPr>
            </w:pPr>
            <w:r>
              <w:rPr>
                <w:rFonts w:eastAsiaTheme="minorEastAsia"/>
                <w:sz w:val="21"/>
                <w:szCs w:val="21"/>
              </w:rPr>
              <w:t>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1749</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2108</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23</w:t>
            </w:r>
          </w:p>
        </w:tc>
        <w:tc>
          <w:tcPr>
            <w:tcW w:w="603" w:type="dxa"/>
            <w:vMerge w:val="continue"/>
            <w:vAlign w:val="center"/>
          </w:tcPr>
          <w:p>
            <w:pPr>
              <w:spacing w:line="240" w:lineRule="exact"/>
              <w:jc w:val="center"/>
              <w:rPr>
                <w:rFonts w:eastAsiaTheme="minorEastAsia"/>
                <w:sz w:val="21"/>
                <w:szCs w:val="21"/>
              </w:rPr>
            </w:pPr>
          </w:p>
        </w:tc>
        <w:tc>
          <w:tcPr>
            <w:tcW w:w="1239" w:type="dxa"/>
            <w:gridSpan w:val="2"/>
            <w:vMerge w:val="continue"/>
            <w:vAlign w:val="center"/>
          </w:tcPr>
          <w:p>
            <w:pPr>
              <w:spacing w:line="240" w:lineRule="exact"/>
              <w:jc w:val="center"/>
              <w:rPr>
                <w:rFonts w:eastAsiaTheme="minorEastAsia"/>
                <w:sz w:val="21"/>
                <w:szCs w:val="21"/>
              </w:rPr>
            </w:pPr>
          </w:p>
        </w:tc>
        <w:tc>
          <w:tcPr>
            <w:tcW w:w="1319" w:type="dxa"/>
            <w:vAlign w:val="center"/>
          </w:tcPr>
          <w:p>
            <w:pPr>
              <w:spacing w:line="240" w:lineRule="exact"/>
              <w:jc w:val="center"/>
              <w:rPr>
                <w:rFonts w:eastAsiaTheme="minorEastAsia"/>
                <w:sz w:val="21"/>
                <w:szCs w:val="21"/>
              </w:rPr>
            </w:pPr>
            <w:r>
              <w:rPr>
                <w:rFonts w:hint="eastAsia" w:eastAsiaTheme="minorEastAsia"/>
                <w:sz w:val="21"/>
                <w:szCs w:val="21"/>
              </w:rPr>
              <w:t>李家村自然村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785943.69</w:t>
            </w:r>
          </w:p>
        </w:tc>
        <w:tc>
          <w:tcPr>
            <w:tcW w:w="1415" w:type="dxa"/>
            <w:vAlign w:val="center"/>
          </w:tcPr>
          <w:p>
            <w:pPr>
              <w:spacing w:line="240" w:lineRule="exact"/>
              <w:jc w:val="center"/>
              <w:rPr>
                <w:rFonts w:eastAsiaTheme="minorEastAsia"/>
                <w:sz w:val="21"/>
                <w:szCs w:val="21"/>
              </w:rPr>
            </w:pPr>
            <w:r>
              <w:rPr>
                <w:rFonts w:eastAsiaTheme="minorEastAsia"/>
                <w:sz w:val="21"/>
                <w:szCs w:val="21"/>
              </w:rPr>
              <w:t>3420842.76</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1893</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2208</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24</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杨家埠街道戚家村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785887.13</w:t>
            </w:r>
          </w:p>
        </w:tc>
        <w:tc>
          <w:tcPr>
            <w:tcW w:w="1415" w:type="dxa"/>
            <w:vAlign w:val="center"/>
          </w:tcPr>
          <w:p>
            <w:pPr>
              <w:spacing w:line="240" w:lineRule="exact"/>
              <w:jc w:val="center"/>
              <w:rPr>
                <w:rFonts w:eastAsiaTheme="minorEastAsia"/>
                <w:sz w:val="21"/>
                <w:szCs w:val="21"/>
              </w:rPr>
            </w:pPr>
            <w:r>
              <w:rPr>
                <w:rFonts w:eastAsiaTheme="minorEastAsia"/>
                <w:sz w:val="21"/>
                <w:szCs w:val="21"/>
              </w:rPr>
              <w:t>3420424.52</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2288</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2546</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290户，970人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25</w:t>
            </w:r>
          </w:p>
        </w:tc>
        <w:tc>
          <w:tcPr>
            <w:tcW w:w="603" w:type="dxa"/>
            <w:vMerge w:val="continue"/>
            <w:vAlign w:val="center"/>
          </w:tcPr>
          <w:p>
            <w:pPr>
              <w:spacing w:line="240" w:lineRule="exact"/>
              <w:jc w:val="center"/>
              <w:rPr>
                <w:rFonts w:eastAsiaTheme="minorEastAsia"/>
                <w:sz w:val="21"/>
                <w:szCs w:val="21"/>
              </w:rPr>
            </w:pPr>
          </w:p>
        </w:tc>
        <w:tc>
          <w:tcPr>
            <w:tcW w:w="1176" w:type="dxa"/>
            <w:vMerge w:val="restart"/>
            <w:vAlign w:val="center"/>
          </w:tcPr>
          <w:p>
            <w:pPr>
              <w:spacing w:line="240" w:lineRule="exact"/>
              <w:jc w:val="center"/>
              <w:rPr>
                <w:rFonts w:eastAsiaTheme="minorEastAsia"/>
                <w:sz w:val="21"/>
                <w:szCs w:val="21"/>
              </w:rPr>
            </w:pPr>
            <w:r>
              <w:rPr>
                <w:rFonts w:hint="eastAsia" w:eastAsiaTheme="minorEastAsia"/>
                <w:sz w:val="21"/>
                <w:szCs w:val="21"/>
              </w:rPr>
              <w:t>杨家埠街道樊漾湖行政村</w:t>
            </w:r>
          </w:p>
        </w:tc>
        <w:tc>
          <w:tcPr>
            <w:tcW w:w="1382" w:type="dxa"/>
            <w:gridSpan w:val="2"/>
            <w:vAlign w:val="center"/>
          </w:tcPr>
          <w:p>
            <w:pPr>
              <w:spacing w:line="240" w:lineRule="exact"/>
              <w:jc w:val="center"/>
              <w:rPr>
                <w:rFonts w:eastAsiaTheme="minorEastAsia"/>
                <w:sz w:val="21"/>
                <w:szCs w:val="21"/>
              </w:rPr>
            </w:pPr>
            <w:r>
              <w:rPr>
                <w:rFonts w:hint="eastAsia" w:eastAsiaTheme="minorEastAsia"/>
                <w:sz w:val="21"/>
                <w:szCs w:val="21"/>
              </w:rPr>
              <w:t>樊漾湖村自然村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786161.87</w:t>
            </w:r>
          </w:p>
        </w:tc>
        <w:tc>
          <w:tcPr>
            <w:tcW w:w="1415" w:type="dxa"/>
            <w:vAlign w:val="center"/>
          </w:tcPr>
          <w:p>
            <w:pPr>
              <w:spacing w:line="240" w:lineRule="exact"/>
              <w:jc w:val="center"/>
              <w:rPr>
                <w:rFonts w:eastAsiaTheme="minorEastAsia"/>
                <w:sz w:val="21"/>
                <w:szCs w:val="21"/>
              </w:rPr>
            </w:pPr>
            <w:r>
              <w:rPr>
                <w:rFonts w:eastAsiaTheme="minorEastAsia"/>
                <w:sz w:val="21"/>
                <w:szCs w:val="21"/>
              </w:rPr>
              <w:t>3419753.24</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2609</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2816</w:t>
            </w:r>
          </w:p>
        </w:tc>
        <w:tc>
          <w:tcPr>
            <w:tcW w:w="1607" w:type="dxa"/>
            <w:vMerge w:val="restart"/>
            <w:vAlign w:val="center"/>
          </w:tcPr>
          <w:p>
            <w:pPr>
              <w:spacing w:line="240" w:lineRule="exact"/>
              <w:jc w:val="center"/>
              <w:rPr>
                <w:rFonts w:eastAsiaTheme="minorEastAsia"/>
                <w:sz w:val="21"/>
                <w:szCs w:val="21"/>
              </w:rPr>
            </w:pPr>
            <w:r>
              <w:rPr>
                <w:rFonts w:hint="eastAsia" w:eastAsiaTheme="minorEastAsia"/>
                <w:sz w:val="21"/>
                <w:szCs w:val="21"/>
              </w:rPr>
              <w:t>300户，1100人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26</w:t>
            </w:r>
          </w:p>
        </w:tc>
        <w:tc>
          <w:tcPr>
            <w:tcW w:w="603" w:type="dxa"/>
            <w:vMerge w:val="continue"/>
            <w:vAlign w:val="center"/>
          </w:tcPr>
          <w:p>
            <w:pPr>
              <w:spacing w:line="240" w:lineRule="exact"/>
              <w:jc w:val="center"/>
              <w:rPr>
                <w:rFonts w:eastAsiaTheme="minorEastAsia"/>
                <w:sz w:val="21"/>
                <w:szCs w:val="21"/>
              </w:rPr>
            </w:pPr>
          </w:p>
        </w:tc>
        <w:tc>
          <w:tcPr>
            <w:tcW w:w="1176" w:type="dxa"/>
            <w:vMerge w:val="continue"/>
            <w:vAlign w:val="center"/>
          </w:tcPr>
          <w:p>
            <w:pPr>
              <w:spacing w:line="240" w:lineRule="exact"/>
              <w:jc w:val="center"/>
              <w:rPr>
                <w:rFonts w:eastAsiaTheme="minorEastAsia"/>
                <w:sz w:val="21"/>
                <w:szCs w:val="21"/>
              </w:rPr>
            </w:pPr>
          </w:p>
        </w:tc>
        <w:tc>
          <w:tcPr>
            <w:tcW w:w="1382" w:type="dxa"/>
            <w:gridSpan w:val="2"/>
            <w:vAlign w:val="center"/>
          </w:tcPr>
          <w:p>
            <w:pPr>
              <w:spacing w:line="240" w:lineRule="exact"/>
              <w:jc w:val="center"/>
              <w:rPr>
                <w:rFonts w:eastAsiaTheme="minorEastAsia"/>
                <w:sz w:val="21"/>
                <w:szCs w:val="21"/>
              </w:rPr>
            </w:pPr>
            <w:r>
              <w:rPr>
                <w:rFonts w:hint="eastAsia" w:eastAsiaTheme="minorEastAsia"/>
                <w:sz w:val="21"/>
                <w:szCs w:val="21"/>
              </w:rPr>
              <w:t>姚家埠村自然村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213610.52</w:t>
            </w:r>
          </w:p>
        </w:tc>
        <w:tc>
          <w:tcPr>
            <w:tcW w:w="1415" w:type="dxa"/>
            <w:vAlign w:val="center"/>
          </w:tcPr>
          <w:p>
            <w:pPr>
              <w:spacing w:line="240" w:lineRule="exact"/>
              <w:jc w:val="center"/>
              <w:rPr>
                <w:rFonts w:eastAsiaTheme="minorEastAsia"/>
                <w:sz w:val="21"/>
                <w:szCs w:val="21"/>
              </w:rPr>
            </w:pPr>
            <w:r>
              <w:rPr>
                <w:rFonts w:eastAsiaTheme="minorEastAsia"/>
                <w:sz w:val="21"/>
                <w:szCs w:val="21"/>
              </w:rPr>
              <w:t>3420045.77</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r>
              <w:rPr>
                <w:rFonts w:hint="eastAsia" w:eastAsiaTheme="minorEastAsia"/>
                <w:sz w:val="21"/>
                <w:szCs w:val="21"/>
              </w:rPr>
              <w:t>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1828</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2012</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w:t>
            </w:r>
            <w:r>
              <w:rPr>
                <w:rFonts w:eastAsiaTheme="minorEastAsia"/>
                <w:sz w:val="21"/>
                <w:szCs w:val="21"/>
              </w:rPr>
              <w:t>7</w:t>
            </w:r>
          </w:p>
        </w:tc>
        <w:tc>
          <w:tcPr>
            <w:tcW w:w="603" w:type="dxa"/>
            <w:vMerge w:val="continue"/>
            <w:vAlign w:val="center"/>
          </w:tcPr>
          <w:p>
            <w:pPr>
              <w:spacing w:line="240" w:lineRule="exact"/>
              <w:jc w:val="center"/>
              <w:rPr>
                <w:rFonts w:eastAsiaTheme="minorEastAsia"/>
                <w:sz w:val="21"/>
                <w:szCs w:val="21"/>
              </w:rPr>
            </w:pPr>
          </w:p>
        </w:tc>
        <w:tc>
          <w:tcPr>
            <w:tcW w:w="1176" w:type="dxa"/>
            <w:vMerge w:val="continue"/>
            <w:vAlign w:val="center"/>
          </w:tcPr>
          <w:p>
            <w:pPr>
              <w:spacing w:line="240" w:lineRule="exact"/>
              <w:jc w:val="center"/>
              <w:rPr>
                <w:rFonts w:eastAsiaTheme="minorEastAsia"/>
                <w:sz w:val="21"/>
                <w:szCs w:val="21"/>
              </w:rPr>
            </w:pPr>
          </w:p>
        </w:tc>
        <w:tc>
          <w:tcPr>
            <w:tcW w:w="1382" w:type="dxa"/>
            <w:gridSpan w:val="2"/>
            <w:vAlign w:val="center"/>
          </w:tcPr>
          <w:p>
            <w:pPr>
              <w:spacing w:line="240" w:lineRule="exact"/>
              <w:jc w:val="center"/>
              <w:rPr>
                <w:rFonts w:eastAsiaTheme="minorEastAsia"/>
                <w:sz w:val="21"/>
                <w:szCs w:val="21"/>
              </w:rPr>
            </w:pPr>
            <w:r>
              <w:rPr>
                <w:rFonts w:hint="eastAsia" w:eastAsiaTheme="minorEastAsia"/>
                <w:sz w:val="21"/>
                <w:szCs w:val="21"/>
              </w:rPr>
              <w:t>丁家村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786163.01</w:t>
            </w:r>
          </w:p>
        </w:tc>
        <w:tc>
          <w:tcPr>
            <w:tcW w:w="1415" w:type="dxa"/>
            <w:vAlign w:val="center"/>
          </w:tcPr>
          <w:p>
            <w:pPr>
              <w:spacing w:line="240" w:lineRule="exact"/>
              <w:jc w:val="center"/>
              <w:rPr>
                <w:rFonts w:eastAsiaTheme="minorEastAsia"/>
                <w:sz w:val="21"/>
                <w:szCs w:val="21"/>
              </w:rPr>
            </w:pPr>
            <w:r>
              <w:rPr>
                <w:rFonts w:eastAsiaTheme="minorEastAsia"/>
                <w:sz w:val="21"/>
                <w:szCs w:val="21"/>
              </w:rPr>
              <w:t>3419636.07</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r>
              <w:rPr>
                <w:rFonts w:hint="eastAsia" w:eastAsiaTheme="minorEastAsia"/>
                <w:sz w:val="21"/>
                <w:szCs w:val="21"/>
              </w:rPr>
              <w:t>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2600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2900</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28</w:t>
            </w:r>
          </w:p>
        </w:tc>
        <w:tc>
          <w:tcPr>
            <w:tcW w:w="603" w:type="dxa"/>
            <w:vMerge w:val="continue"/>
            <w:vAlign w:val="center"/>
          </w:tcPr>
          <w:p>
            <w:pPr>
              <w:spacing w:line="240" w:lineRule="exact"/>
              <w:jc w:val="center"/>
              <w:rPr>
                <w:rFonts w:eastAsiaTheme="minorEastAsia"/>
                <w:sz w:val="21"/>
                <w:szCs w:val="21"/>
              </w:rPr>
            </w:pPr>
          </w:p>
        </w:tc>
        <w:tc>
          <w:tcPr>
            <w:tcW w:w="1176" w:type="dxa"/>
            <w:vMerge w:val="continue"/>
            <w:vAlign w:val="center"/>
          </w:tcPr>
          <w:p>
            <w:pPr>
              <w:spacing w:line="240" w:lineRule="exact"/>
              <w:jc w:val="center"/>
              <w:rPr>
                <w:rFonts w:eastAsiaTheme="minorEastAsia"/>
                <w:sz w:val="21"/>
                <w:szCs w:val="21"/>
              </w:rPr>
            </w:pPr>
          </w:p>
        </w:tc>
        <w:tc>
          <w:tcPr>
            <w:tcW w:w="1382" w:type="dxa"/>
            <w:gridSpan w:val="2"/>
            <w:vAlign w:val="center"/>
          </w:tcPr>
          <w:p>
            <w:pPr>
              <w:spacing w:line="240" w:lineRule="exact"/>
              <w:jc w:val="center"/>
              <w:rPr>
                <w:rFonts w:eastAsiaTheme="minorEastAsia"/>
                <w:sz w:val="21"/>
                <w:szCs w:val="21"/>
              </w:rPr>
            </w:pPr>
            <w:r>
              <w:rPr>
                <w:rFonts w:hint="eastAsia" w:eastAsiaTheme="minorEastAsia"/>
                <w:sz w:val="21"/>
                <w:szCs w:val="21"/>
              </w:rPr>
              <w:t>跳上村自然村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786524.18</w:t>
            </w:r>
          </w:p>
        </w:tc>
        <w:tc>
          <w:tcPr>
            <w:tcW w:w="1415" w:type="dxa"/>
            <w:vAlign w:val="center"/>
          </w:tcPr>
          <w:p>
            <w:pPr>
              <w:spacing w:line="240" w:lineRule="exact"/>
              <w:jc w:val="center"/>
              <w:rPr>
                <w:rFonts w:eastAsiaTheme="minorEastAsia"/>
                <w:sz w:val="21"/>
                <w:szCs w:val="21"/>
              </w:rPr>
            </w:pPr>
            <w:r>
              <w:rPr>
                <w:rFonts w:eastAsiaTheme="minorEastAsia"/>
                <w:sz w:val="21"/>
                <w:szCs w:val="21"/>
              </w:rPr>
              <w:t>3420085.63</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2183</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2405</w:t>
            </w:r>
          </w:p>
        </w:tc>
        <w:tc>
          <w:tcPr>
            <w:tcW w:w="1607" w:type="dxa"/>
            <w:vMerge w:val="continue"/>
            <w:vAlign w:val="center"/>
          </w:tcPr>
          <w:p>
            <w:pPr>
              <w:spacing w:line="240" w:lineRule="exact"/>
              <w:jc w:val="center"/>
              <w:rPr>
                <w:rFonts w:eastAsiaTheme="minorEastAsia"/>
                <w:sz w:val="21"/>
                <w:szCs w:val="21"/>
              </w:rPr>
            </w:pP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29</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湖州市人民警察训练学校</w:t>
            </w:r>
          </w:p>
        </w:tc>
        <w:tc>
          <w:tcPr>
            <w:tcW w:w="1412" w:type="dxa"/>
            <w:vAlign w:val="center"/>
          </w:tcPr>
          <w:p>
            <w:pPr>
              <w:spacing w:line="240" w:lineRule="exact"/>
              <w:jc w:val="center"/>
              <w:rPr>
                <w:rFonts w:eastAsiaTheme="minorEastAsia"/>
                <w:sz w:val="21"/>
                <w:szCs w:val="21"/>
              </w:rPr>
            </w:pPr>
            <w:r>
              <w:rPr>
                <w:rFonts w:eastAsiaTheme="minorEastAsia"/>
                <w:sz w:val="21"/>
                <w:szCs w:val="21"/>
              </w:rPr>
              <w:t>214206.78</w:t>
            </w:r>
          </w:p>
        </w:tc>
        <w:tc>
          <w:tcPr>
            <w:tcW w:w="1415" w:type="dxa"/>
            <w:vAlign w:val="center"/>
          </w:tcPr>
          <w:p>
            <w:pPr>
              <w:spacing w:line="240" w:lineRule="exact"/>
              <w:jc w:val="center"/>
              <w:rPr>
                <w:rFonts w:eastAsiaTheme="minorEastAsia"/>
                <w:sz w:val="21"/>
                <w:szCs w:val="21"/>
              </w:rPr>
            </w:pPr>
            <w:r>
              <w:rPr>
                <w:rFonts w:eastAsiaTheme="minorEastAsia"/>
                <w:sz w:val="21"/>
                <w:szCs w:val="21"/>
              </w:rPr>
              <w:t>3423555.75</w:t>
            </w:r>
          </w:p>
        </w:tc>
        <w:tc>
          <w:tcPr>
            <w:tcW w:w="982" w:type="dxa"/>
            <w:vAlign w:val="center"/>
          </w:tcPr>
          <w:p>
            <w:pPr>
              <w:spacing w:line="240" w:lineRule="exact"/>
              <w:jc w:val="center"/>
              <w:rPr>
                <w:rFonts w:eastAsiaTheme="minorEastAsia"/>
                <w:sz w:val="21"/>
                <w:szCs w:val="21"/>
              </w:rPr>
            </w:pPr>
            <w:r>
              <w:rPr>
                <w:rFonts w:eastAsiaTheme="minorEastAsia"/>
                <w:sz w:val="21"/>
                <w:szCs w:val="21"/>
              </w:rPr>
              <w:t>N</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1218</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1535</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师生人数500人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学校</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30</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湖州市行政学院</w:t>
            </w:r>
          </w:p>
        </w:tc>
        <w:tc>
          <w:tcPr>
            <w:tcW w:w="1412" w:type="dxa"/>
            <w:vAlign w:val="center"/>
          </w:tcPr>
          <w:p>
            <w:pPr>
              <w:spacing w:line="240" w:lineRule="exact"/>
              <w:jc w:val="center"/>
              <w:rPr>
                <w:rFonts w:eastAsiaTheme="minorEastAsia"/>
                <w:sz w:val="21"/>
                <w:szCs w:val="21"/>
              </w:rPr>
            </w:pPr>
            <w:r>
              <w:rPr>
                <w:rFonts w:eastAsiaTheme="minorEastAsia"/>
                <w:sz w:val="21"/>
                <w:szCs w:val="21"/>
              </w:rPr>
              <w:t>214558.65</w:t>
            </w:r>
          </w:p>
        </w:tc>
        <w:tc>
          <w:tcPr>
            <w:tcW w:w="1415" w:type="dxa"/>
            <w:vAlign w:val="center"/>
          </w:tcPr>
          <w:p>
            <w:pPr>
              <w:spacing w:line="240" w:lineRule="exact"/>
              <w:jc w:val="center"/>
              <w:rPr>
                <w:rFonts w:eastAsiaTheme="minorEastAsia"/>
                <w:sz w:val="21"/>
                <w:szCs w:val="21"/>
              </w:rPr>
            </w:pPr>
            <w:r>
              <w:rPr>
                <w:rFonts w:eastAsiaTheme="minorEastAsia"/>
                <w:sz w:val="21"/>
                <w:szCs w:val="21"/>
              </w:rPr>
              <w:t>3423967.80</w:t>
            </w:r>
          </w:p>
        </w:tc>
        <w:tc>
          <w:tcPr>
            <w:tcW w:w="982" w:type="dxa"/>
            <w:vAlign w:val="center"/>
          </w:tcPr>
          <w:p>
            <w:pPr>
              <w:spacing w:line="240" w:lineRule="exact"/>
              <w:jc w:val="center"/>
              <w:rPr>
                <w:rFonts w:eastAsiaTheme="minorEastAsia"/>
                <w:sz w:val="21"/>
                <w:szCs w:val="21"/>
              </w:rPr>
            </w:pPr>
            <w:r>
              <w:rPr>
                <w:rFonts w:eastAsiaTheme="minorEastAsia"/>
                <w:sz w:val="21"/>
                <w:szCs w:val="21"/>
              </w:rPr>
              <w:t>N</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1616</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1840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师生人数200人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学校</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31</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浙江省税务干部学校</w:t>
            </w:r>
          </w:p>
        </w:tc>
        <w:tc>
          <w:tcPr>
            <w:tcW w:w="1412" w:type="dxa"/>
            <w:vAlign w:val="center"/>
          </w:tcPr>
          <w:p>
            <w:pPr>
              <w:spacing w:line="240" w:lineRule="exact"/>
              <w:jc w:val="center"/>
              <w:rPr>
                <w:rFonts w:eastAsiaTheme="minorEastAsia"/>
                <w:sz w:val="21"/>
                <w:szCs w:val="21"/>
              </w:rPr>
            </w:pPr>
            <w:r>
              <w:rPr>
                <w:rFonts w:eastAsiaTheme="minorEastAsia"/>
                <w:sz w:val="21"/>
                <w:szCs w:val="21"/>
              </w:rPr>
              <w:t>214337.98</w:t>
            </w:r>
          </w:p>
        </w:tc>
        <w:tc>
          <w:tcPr>
            <w:tcW w:w="1415" w:type="dxa"/>
            <w:vAlign w:val="center"/>
          </w:tcPr>
          <w:p>
            <w:pPr>
              <w:spacing w:line="240" w:lineRule="exact"/>
              <w:jc w:val="center"/>
              <w:rPr>
                <w:rFonts w:eastAsiaTheme="minorEastAsia"/>
                <w:sz w:val="21"/>
                <w:szCs w:val="21"/>
              </w:rPr>
            </w:pPr>
            <w:r>
              <w:rPr>
                <w:rFonts w:eastAsiaTheme="minorEastAsia"/>
                <w:sz w:val="21"/>
                <w:szCs w:val="21"/>
              </w:rPr>
              <w:t>3424217.80</w:t>
            </w:r>
          </w:p>
        </w:tc>
        <w:tc>
          <w:tcPr>
            <w:tcW w:w="982" w:type="dxa"/>
            <w:vAlign w:val="center"/>
          </w:tcPr>
          <w:p>
            <w:pPr>
              <w:spacing w:line="240" w:lineRule="exact"/>
              <w:jc w:val="center"/>
              <w:rPr>
                <w:rFonts w:eastAsiaTheme="minorEastAsia"/>
                <w:sz w:val="21"/>
                <w:szCs w:val="21"/>
              </w:rPr>
            </w:pPr>
            <w:r>
              <w:rPr>
                <w:rFonts w:eastAsiaTheme="minorEastAsia"/>
                <w:sz w:val="21"/>
                <w:szCs w:val="21"/>
              </w:rPr>
              <w:t>N</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1907</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2190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师生人数600人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学校</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32</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湖州市党校</w:t>
            </w:r>
          </w:p>
        </w:tc>
        <w:tc>
          <w:tcPr>
            <w:tcW w:w="1412" w:type="dxa"/>
            <w:vAlign w:val="center"/>
          </w:tcPr>
          <w:p>
            <w:pPr>
              <w:spacing w:line="240" w:lineRule="exact"/>
              <w:jc w:val="center"/>
              <w:rPr>
                <w:rFonts w:eastAsiaTheme="minorEastAsia"/>
                <w:sz w:val="21"/>
                <w:szCs w:val="21"/>
              </w:rPr>
            </w:pPr>
            <w:r>
              <w:rPr>
                <w:rFonts w:eastAsiaTheme="minorEastAsia"/>
                <w:sz w:val="21"/>
                <w:szCs w:val="21"/>
              </w:rPr>
              <w:t>214516.89</w:t>
            </w:r>
          </w:p>
        </w:tc>
        <w:tc>
          <w:tcPr>
            <w:tcW w:w="1415" w:type="dxa"/>
            <w:vAlign w:val="center"/>
          </w:tcPr>
          <w:p>
            <w:pPr>
              <w:spacing w:line="240" w:lineRule="exact"/>
              <w:jc w:val="center"/>
              <w:rPr>
                <w:rFonts w:eastAsiaTheme="minorEastAsia"/>
                <w:sz w:val="21"/>
                <w:szCs w:val="21"/>
              </w:rPr>
            </w:pPr>
            <w:r>
              <w:rPr>
                <w:rFonts w:eastAsiaTheme="minorEastAsia"/>
                <w:sz w:val="21"/>
                <w:szCs w:val="21"/>
              </w:rPr>
              <w:t>3424171.33</w:t>
            </w:r>
          </w:p>
        </w:tc>
        <w:tc>
          <w:tcPr>
            <w:tcW w:w="982" w:type="dxa"/>
            <w:vAlign w:val="center"/>
          </w:tcPr>
          <w:p>
            <w:pPr>
              <w:spacing w:line="240" w:lineRule="exact"/>
              <w:jc w:val="center"/>
              <w:rPr>
                <w:rFonts w:eastAsiaTheme="minorEastAsia"/>
                <w:sz w:val="21"/>
                <w:szCs w:val="21"/>
              </w:rPr>
            </w:pPr>
            <w:r>
              <w:rPr>
                <w:rFonts w:eastAsiaTheme="minorEastAsia"/>
                <w:sz w:val="21"/>
                <w:szCs w:val="21"/>
              </w:rPr>
              <w:t>N</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1886</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2050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教职工73人，300张住宿床位</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学校</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33</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湖州市监狱</w:t>
            </w:r>
          </w:p>
        </w:tc>
        <w:tc>
          <w:tcPr>
            <w:tcW w:w="1412" w:type="dxa"/>
            <w:vAlign w:val="center"/>
          </w:tcPr>
          <w:p>
            <w:pPr>
              <w:spacing w:line="240" w:lineRule="exact"/>
              <w:jc w:val="center"/>
              <w:rPr>
                <w:rFonts w:eastAsiaTheme="minorEastAsia"/>
                <w:sz w:val="21"/>
                <w:szCs w:val="21"/>
              </w:rPr>
            </w:pPr>
            <w:r>
              <w:rPr>
                <w:rFonts w:eastAsiaTheme="minorEastAsia"/>
                <w:sz w:val="21"/>
                <w:szCs w:val="21"/>
              </w:rPr>
              <w:t>214006.17</w:t>
            </w:r>
          </w:p>
        </w:tc>
        <w:tc>
          <w:tcPr>
            <w:tcW w:w="1415" w:type="dxa"/>
            <w:vAlign w:val="center"/>
          </w:tcPr>
          <w:p>
            <w:pPr>
              <w:spacing w:line="240" w:lineRule="exact"/>
              <w:jc w:val="center"/>
              <w:rPr>
                <w:rFonts w:eastAsiaTheme="minorEastAsia"/>
                <w:sz w:val="21"/>
                <w:szCs w:val="21"/>
              </w:rPr>
            </w:pPr>
            <w:r>
              <w:rPr>
                <w:rFonts w:eastAsiaTheme="minorEastAsia"/>
                <w:sz w:val="21"/>
                <w:szCs w:val="21"/>
              </w:rPr>
              <w:t>3423119.41</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NW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782</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1140</w:t>
            </w:r>
          </w:p>
        </w:tc>
        <w:tc>
          <w:tcPr>
            <w:tcW w:w="1607" w:type="dxa"/>
            <w:vAlign w:val="center"/>
          </w:tcPr>
          <w:p>
            <w:pPr>
              <w:spacing w:line="240" w:lineRule="exact"/>
              <w:jc w:val="center"/>
              <w:rPr>
                <w:rFonts w:eastAsiaTheme="minorEastAsia"/>
                <w:sz w:val="21"/>
                <w:szCs w:val="21"/>
              </w:rPr>
            </w:pPr>
            <w:r>
              <w:rPr>
                <w:rFonts w:eastAsiaTheme="minorEastAsia"/>
                <w:sz w:val="21"/>
                <w:szCs w:val="21"/>
              </w:rPr>
              <w:t>13 个处室、13 个监区、1 个医院</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34</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茅</w:t>
            </w:r>
            <w:r>
              <w:rPr>
                <w:rFonts w:eastAsiaTheme="minorEastAsia"/>
                <w:sz w:val="21"/>
                <w:szCs w:val="21"/>
              </w:rPr>
              <w:t>柴园村</w:t>
            </w:r>
          </w:p>
        </w:tc>
        <w:tc>
          <w:tcPr>
            <w:tcW w:w="1412" w:type="dxa"/>
            <w:vAlign w:val="center"/>
          </w:tcPr>
          <w:p>
            <w:pPr>
              <w:spacing w:line="240" w:lineRule="exact"/>
              <w:jc w:val="center"/>
              <w:rPr>
                <w:rFonts w:eastAsiaTheme="minorEastAsia"/>
                <w:sz w:val="21"/>
                <w:szCs w:val="21"/>
              </w:rPr>
            </w:pPr>
            <w:r>
              <w:rPr>
                <w:rFonts w:eastAsiaTheme="minorEastAsia"/>
                <w:sz w:val="21"/>
                <w:szCs w:val="21"/>
              </w:rPr>
              <w:t>785777.76</w:t>
            </w:r>
          </w:p>
        </w:tc>
        <w:tc>
          <w:tcPr>
            <w:tcW w:w="1415" w:type="dxa"/>
            <w:vAlign w:val="center"/>
          </w:tcPr>
          <w:p>
            <w:pPr>
              <w:spacing w:line="240" w:lineRule="exact"/>
              <w:jc w:val="center"/>
              <w:rPr>
                <w:rFonts w:eastAsiaTheme="minorEastAsia"/>
                <w:sz w:val="21"/>
                <w:szCs w:val="21"/>
              </w:rPr>
            </w:pPr>
            <w:r>
              <w:rPr>
                <w:rFonts w:eastAsiaTheme="minorEastAsia"/>
                <w:sz w:val="21"/>
                <w:szCs w:val="21"/>
              </w:rPr>
              <w:t>3424140.02</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NW</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2500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2900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100户，350人</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35</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规划</w:t>
            </w:r>
            <w:r>
              <w:rPr>
                <w:rFonts w:eastAsiaTheme="minorEastAsia"/>
                <w:sz w:val="21"/>
                <w:szCs w:val="21"/>
              </w:rPr>
              <w:t>敏感点</w:t>
            </w:r>
            <w:r>
              <w:rPr>
                <w:rFonts w:hint="eastAsia" w:eastAsiaTheme="minorEastAsia"/>
                <w:sz w:val="21"/>
                <w:szCs w:val="21"/>
              </w:rPr>
              <w:t>1</w:t>
            </w:r>
          </w:p>
        </w:tc>
        <w:tc>
          <w:tcPr>
            <w:tcW w:w="1412" w:type="dxa"/>
            <w:vAlign w:val="center"/>
          </w:tcPr>
          <w:p>
            <w:pPr>
              <w:spacing w:line="240" w:lineRule="exact"/>
              <w:jc w:val="center"/>
              <w:rPr>
                <w:rFonts w:eastAsiaTheme="minorEastAsia"/>
                <w:sz w:val="21"/>
                <w:szCs w:val="21"/>
              </w:rPr>
            </w:pPr>
            <w:r>
              <w:rPr>
                <w:rFonts w:eastAsiaTheme="minorEastAsia"/>
                <w:sz w:val="21"/>
                <w:szCs w:val="21"/>
              </w:rPr>
              <w:t>214957.95</w:t>
            </w:r>
          </w:p>
        </w:tc>
        <w:tc>
          <w:tcPr>
            <w:tcW w:w="1415" w:type="dxa"/>
            <w:vAlign w:val="center"/>
          </w:tcPr>
          <w:p>
            <w:pPr>
              <w:spacing w:line="240" w:lineRule="exact"/>
              <w:jc w:val="center"/>
              <w:rPr>
                <w:rFonts w:eastAsiaTheme="minorEastAsia"/>
                <w:sz w:val="21"/>
                <w:szCs w:val="21"/>
              </w:rPr>
            </w:pPr>
            <w:r>
              <w:rPr>
                <w:rFonts w:eastAsiaTheme="minorEastAsia"/>
                <w:sz w:val="21"/>
                <w:szCs w:val="21"/>
              </w:rPr>
              <w:t>3420069.70</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1660</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1780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36</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规划</w:t>
            </w:r>
            <w:r>
              <w:rPr>
                <w:rFonts w:eastAsiaTheme="minorEastAsia"/>
                <w:sz w:val="21"/>
                <w:szCs w:val="21"/>
              </w:rPr>
              <w:t>敏感点2</w:t>
            </w:r>
          </w:p>
        </w:tc>
        <w:tc>
          <w:tcPr>
            <w:tcW w:w="1412" w:type="dxa"/>
            <w:vAlign w:val="center"/>
          </w:tcPr>
          <w:p>
            <w:pPr>
              <w:spacing w:line="240" w:lineRule="exact"/>
              <w:jc w:val="center"/>
              <w:rPr>
                <w:rFonts w:eastAsiaTheme="minorEastAsia"/>
                <w:sz w:val="21"/>
                <w:szCs w:val="21"/>
              </w:rPr>
            </w:pPr>
            <w:r>
              <w:rPr>
                <w:rFonts w:eastAsiaTheme="minorEastAsia"/>
                <w:sz w:val="21"/>
                <w:szCs w:val="21"/>
              </w:rPr>
              <w:t>215481.90</w:t>
            </w:r>
          </w:p>
        </w:tc>
        <w:tc>
          <w:tcPr>
            <w:tcW w:w="1415" w:type="dxa"/>
            <w:vAlign w:val="center"/>
          </w:tcPr>
          <w:p>
            <w:pPr>
              <w:spacing w:line="240" w:lineRule="exact"/>
              <w:jc w:val="center"/>
              <w:rPr>
                <w:rFonts w:eastAsiaTheme="minorEastAsia"/>
                <w:sz w:val="21"/>
                <w:szCs w:val="21"/>
              </w:rPr>
            </w:pPr>
            <w:r>
              <w:rPr>
                <w:rFonts w:eastAsiaTheme="minorEastAsia"/>
                <w:sz w:val="21"/>
                <w:szCs w:val="21"/>
              </w:rPr>
              <w:t>3419308.00</w:t>
            </w:r>
          </w:p>
        </w:tc>
        <w:tc>
          <w:tcPr>
            <w:tcW w:w="982" w:type="dxa"/>
            <w:vAlign w:val="center"/>
          </w:tcPr>
          <w:p>
            <w:pPr>
              <w:spacing w:line="240" w:lineRule="exact"/>
              <w:jc w:val="center"/>
              <w:rPr>
                <w:rFonts w:eastAsiaTheme="minorEastAsia"/>
                <w:sz w:val="21"/>
                <w:szCs w:val="21"/>
              </w:rPr>
            </w:pPr>
            <w:r>
              <w:rPr>
                <w:rFonts w:hint="eastAsia"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2486</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2682</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居住</w:t>
            </w:r>
          </w:p>
        </w:tc>
        <w:tc>
          <w:tcPr>
            <w:tcW w:w="938"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bookmarkStart w:id="71" w:name="_Toc474686002"/>
            <w:bookmarkStart w:id="72" w:name="_Toc286313934"/>
            <w:r>
              <w:rPr>
                <w:rFonts w:hint="eastAsia" w:eastAsiaTheme="minorEastAsia"/>
                <w:sz w:val="21"/>
                <w:szCs w:val="21"/>
              </w:rPr>
              <w:t>37</w:t>
            </w:r>
          </w:p>
        </w:tc>
        <w:tc>
          <w:tcPr>
            <w:tcW w:w="603" w:type="dxa"/>
            <w:vMerge w:val="restart"/>
            <w:vAlign w:val="center"/>
          </w:tcPr>
          <w:p>
            <w:pPr>
              <w:spacing w:line="240" w:lineRule="exact"/>
              <w:jc w:val="center"/>
              <w:rPr>
                <w:rFonts w:eastAsiaTheme="minorEastAsia"/>
                <w:sz w:val="21"/>
                <w:szCs w:val="21"/>
              </w:rPr>
            </w:pPr>
            <w:r>
              <w:rPr>
                <w:rFonts w:hint="eastAsia" w:eastAsiaTheme="minorEastAsia"/>
                <w:sz w:val="21"/>
                <w:szCs w:val="21"/>
              </w:rPr>
              <w:t>地表水环境</w:t>
            </w: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吕山港</w:t>
            </w:r>
          </w:p>
        </w:tc>
        <w:tc>
          <w:tcPr>
            <w:tcW w:w="141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41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82" w:type="dxa"/>
            <w:vAlign w:val="center"/>
          </w:tcPr>
          <w:p>
            <w:pPr>
              <w:spacing w:line="240" w:lineRule="exact"/>
              <w:jc w:val="center"/>
              <w:rPr>
                <w:rFonts w:eastAsiaTheme="minorEastAsia"/>
                <w:sz w:val="21"/>
                <w:szCs w:val="21"/>
              </w:rPr>
            </w:pPr>
            <w:r>
              <w:rPr>
                <w:rFonts w:eastAsiaTheme="minorEastAsia"/>
                <w:sz w:val="21"/>
                <w:szCs w:val="21"/>
              </w:rPr>
              <w:t>S</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887</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9</w:t>
            </w:r>
            <w:r>
              <w:rPr>
                <w:rFonts w:eastAsiaTheme="minorEastAsia"/>
                <w:sz w:val="21"/>
                <w:szCs w:val="21"/>
              </w:rPr>
              <w:t>3</w:t>
            </w:r>
            <w:r>
              <w:rPr>
                <w:rFonts w:hint="eastAsia" w:eastAsiaTheme="minorEastAsia"/>
                <w:sz w:val="21"/>
                <w:szCs w:val="21"/>
              </w:rPr>
              <w:t>3</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Ⅲ</w:t>
            </w:r>
            <w:r>
              <w:rPr>
                <w:rFonts w:eastAsiaTheme="minorEastAsia"/>
                <w:sz w:val="21"/>
                <w:szCs w:val="21"/>
              </w:rPr>
              <w:t>类水体</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38" w:type="dxa"/>
            <w:vMerge w:val="restart"/>
            <w:vAlign w:val="center"/>
          </w:tcPr>
          <w:p>
            <w:pPr>
              <w:spacing w:line="240" w:lineRule="exact"/>
              <w:jc w:val="center"/>
              <w:rPr>
                <w:rFonts w:eastAsiaTheme="minorEastAsia"/>
                <w:sz w:val="21"/>
                <w:szCs w:val="21"/>
              </w:rPr>
            </w:pPr>
            <w:r>
              <w:rPr>
                <w:rFonts w:hint="eastAsia" w:eastAsiaTheme="minorEastAsia"/>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8" w:type="dxa"/>
            <w:vAlign w:val="center"/>
          </w:tcPr>
          <w:p>
            <w:pPr>
              <w:spacing w:line="240" w:lineRule="exact"/>
              <w:jc w:val="center"/>
              <w:rPr>
                <w:rFonts w:eastAsiaTheme="minorEastAsia"/>
                <w:sz w:val="21"/>
                <w:szCs w:val="21"/>
              </w:rPr>
            </w:pPr>
            <w:r>
              <w:rPr>
                <w:rFonts w:hint="eastAsia" w:eastAsiaTheme="minorEastAsia"/>
                <w:sz w:val="21"/>
                <w:szCs w:val="21"/>
              </w:rPr>
              <w:t>38</w:t>
            </w:r>
          </w:p>
        </w:tc>
        <w:tc>
          <w:tcPr>
            <w:tcW w:w="603" w:type="dxa"/>
            <w:vMerge w:val="continue"/>
            <w:vAlign w:val="center"/>
          </w:tcPr>
          <w:p>
            <w:pPr>
              <w:spacing w:line="240" w:lineRule="exact"/>
              <w:jc w:val="center"/>
              <w:rPr>
                <w:rFonts w:eastAsiaTheme="minorEastAsia"/>
                <w:sz w:val="21"/>
                <w:szCs w:val="21"/>
              </w:rPr>
            </w:pPr>
          </w:p>
        </w:tc>
        <w:tc>
          <w:tcPr>
            <w:tcW w:w="2558" w:type="dxa"/>
            <w:gridSpan w:val="3"/>
            <w:vAlign w:val="center"/>
          </w:tcPr>
          <w:p>
            <w:pPr>
              <w:spacing w:line="240" w:lineRule="exact"/>
              <w:jc w:val="center"/>
              <w:rPr>
                <w:rFonts w:eastAsiaTheme="minorEastAsia"/>
                <w:sz w:val="21"/>
                <w:szCs w:val="21"/>
              </w:rPr>
            </w:pPr>
            <w:r>
              <w:rPr>
                <w:rFonts w:hint="eastAsia" w:eastAsiaTheme="minorEastAsia"/>
                <w:sz w:val="21"/>
                <w:szCs w:val="21"/>
              </w:rPr>
              <w:t>旄儿港</w:t>
            </w:r>
          </w:p>
        </w:tc>
        <w:tc>
          <w:tcPr>
            <w:tcW w:w="141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41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82" w:type="dxa"/>
            <w:vAlign w:val="center"/>
          </w:tcPr>
          <w:p>
            <w:pPr>
              <w:spacing w:line="240" w:lineRule="exact"/>
              <w:jc w:val="center"/>
              <w:rPr>
                <w:rFonts w:eastAsiaTheme="minorEastAsia"/>
                <w:sz w:val="21"/>
                <w:szCs w:val="21"/>
              </w:rPr>
            </w:pPr>
            <w:r>
              <w:rPr>
                <w:rFonts w:eastAsiaTheme="minorEastAsia"/>
                <w:sz w:val="21"/>
                <w:szCs w:val="21"/>
              </w:rPr>
              <w:t>SE</w:t>
            </w:r>
          </w:p>
        </w:tc>
        <w:tc>
          <w:tcPr>
            <w:tcW w:w="1122" w:type="dxa"/>
            <w:vAlign w:val="center"/>
          </w:tcPr>
          <w:p>
            <w:pPr>
              <w:spacing w:line="240" w:lineRule="exact"/>
              <w:jc w:val="center"/>
              <w:rPr>
                <w:rFonts w:eastAsiaTheme="minorEastAsia"/>
                <w:sz w:val="21"/>
                <w:szCs w:val="21"/>
              </w:rPr>
            </w:pPr>
            <w:r>
              <w:rPr>
                <w:rFonts w:hint="eastAsia" w:eastAsiaTheme="minorEastAsia"/>
                <w:sz w:val="21"/>
                <w:szCs w:val="21"/>
              </w:rPr>
              <w:t>1043</w:t>
            </w:r>
          </w:p>
        </w:tc>
        <w:tc>
          <w:tcPr>
            <w:tcW w:w="1352" w:type="dxa"/>
            <w:vAlign w:val="center"/>
          </w:tcPr>
          <w:p>
            <w:pPr>
              <w:spacing w:line="240" w:lineRule="exact"/>
              <w:jc w:val="center"/>
              <w:rPr>
                <w:rFonts w:eastAsiaTheme="minorEastAsia"/>
                <w:sz w:val="21"/>
                <w:szCs w:val="21"/>
              </w:rPr>
            </w:pPr>
            <w:r>
              <w:rPr>
                <w:rFonts w:hint="eastAsia" w:eastAsiaTheme="minorEastAsia"/>
                <w:sz w:val="21"/>
                <w:szCs w:val="21"/>
              </w:rPr>
              <w:t>1320</w:t>
            </w:r>
          </w:p>
        </w:tc>
        <w:tc>
          <w:tcPr>
            <w:tcW w:w="1607" w:type="dxa"/>
            <w:vAlign w:val="center"/>
          </w:tcPr>
          <w:p>
            <w:pPr>
              <w:spacing w:line="240" w:lineRule="exact"/>
              <w:jc w:val="center"/>
              <w:rPr>
                <w:rFonts w:eastAsiaTheme="minorEastAsia"/>
                <w:sz w:val="21"/>
                <w:szCs w:val="21"/>
              </w:rPr>
            </w:pPr>
            <w:r>
              <w:rPr>
                <w:rFonts w:hint="eastAsia" w:eastAsiaTheme="minorEastAsia"/>
                <w:sz w:val="21"/>
                <w:szCs w:val="21"/>
              </w:rPr>
              <w:t>Ⅲ</w:t>
            </w:r>
            <w:r>
              <w:rPr>
                <w:rFonts w:eastAsiaTheme="minorEastAsia"/>
                <w:sz w:val="21"/>
                <w:szCs w:val="21"/>
              </w:rPr>
              <w:t>类水体</w:t>
            </w:r>
          </w:p>
        </w:tc>
        <w:tc>
          <w:tcPr>
            <w:tcW w:w="1154"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938" w:type="dxa"/>
            <w:vMerge w:val="continue"/>
            <w:vAlign w:val="center"/>
          </w:tcPr>
          <w:p>
            <w:pPr>
              <w:spacing w:line="240" w:lineRule="exact"/>
              <w:jc w:val="center"/>
              <w:rPr>
                <w:rFonts w:eastAsiaTheme="minorEastAsia"/>
                <w:sz w:val="21"/>
                <w:szCs w:val="21"/>
              </w:rPr>
            </w:pPr>
          </w:p>
        </w:tc>
      </w:tr>
    </w:tbl>
    <w:p>
      <w:pPr>
        <w:pStyle w:val="3"/>
        <w:numPr>
          <w:ilvl w:val="0"/>
          <w:numId w:val="0"/>
        </w:numPr>
        <w:ind w:left="567"/>
        <w:rPr>
          <w:rFonts w:ascii="Times New Roman" w:hAnsi="Times New Roman"/>
        </w:rPr>
        <w:sectPr>
          <w:footerReference r:id="rId8" w:type="default"/>
          <w:pgSz w:w="16840" w:h="11907" w:orient="landscape"/>
          <w:pgMar w:top="1157" w:right="1531" w:bottom="1406" w:left="1588" w:header="964" w:footer="964" w:gutter="567"/>
          <w:pgNumType w:fmt="numberInDash"/>
          <w:cols w:space="720" w:num="1"/>
          <w:docGrid w:type="linesAndChars" w:linePitch="428" w:charSpace="640"/>
        </w:sectPr>
      </w:pPr>
    </w:p>
    <w:p>
      <w:pPr>
        <w:rPr>
          <w:rFonts w:ascii="宋体" w:hAnsi="宋体" w:eastAsia="宋体" w:cs="宋体"/>
          <w:kern w:val="0"/>
          <w:sz w:val="24"/>
          <w:szCs w:val="24"/>
        </w:rPr>
      </w:pPr>
      <w:r>
        <w:rPr>
          <w:b/>
        </w:rPr>
        <mc:AlternateContent>
          <mc:Choice Requires="wps">
            <w:drawing>
              <wp:anchor distT="0" distB="0" distL="114300" distR="114300" simplePos="0" relativeHeight="251646976" behindDoc="0" locked="0" layoutInCell="1" allowOverlap="1">
                <wp:simplePos x="0" y="0"/>
                <wp:positionH relativeFrom="column">
                  <wp:posOffset>4794885</wp:posOffset>
                </wp:positionH>
                <wp:positionV relativeFrom="paragraph">
                  <wp:posOffset>59055</wp:posOffset>
                </wp:positionV>
                <wp:extent cx="3209925" cy="409575"/>
                <wp:effectExtent l="0" t="0" r="0" b="0"/>
                <wp:wrapNone/>
                <wp:docPr id="130" name="矩形 130"/>
                <wp:cNvGraphicFramePr/>
                <a:graphic xmlns:a="http://schemas.openxmlformats.org/drawingml/2006/main">
                  <a:graphicData uri="http://schemas.microsoft.com/office/word/2010/wordprocessingShape">
                    <wps:wsp>
                      <wps:cNvSpPr/>
                      <wps:spPr>
                        <a:xfrm>
                          <a:off x="0" y="0"/>
                          <a:ext cx="3209925" cy="409575"/>
                        </a:xfrm>
                        <a:prstGeom prst="rect">
                          <a:avLst/>
                        </a:prstGeom>
                        <a:noFill/>
                        <a:ln w="25400" cap="flat" cmpd="sng" algn="ctr">
                          <a:noFill/>
                          <a:prstDash val="solid"/>
                        </a:ln>
                        <a:effectLst/>
                      </wps:spPr>
                      <wps:txbx>
                        <w:txbxContent>
                          <w:p>
                            <w:pPr>
                              <w:jc w:val="center"/>
                              <w:rPr>
                                <w:rFonts w:eastAsiaTheme="minorEastAsia"/>
                                <w:b/>
                                <w:color w:val="FFFF00"/>
                                <w:sz w:val="24"/>
                                <w:szCs w:val="24"/>
                              </w:rPr>
                            </w:pPr>
                            <w:r>
                              <w:rPr>
                                <w:rFonts w:hint="eastAsia" w:eastAsiaTheme="minorEastAsia"/>
                                <w:b/>
                                <w:color w:val="FFFF00"/>
                                <w:sz w:val="24"/>
                                <w:szCs w:val="24"/>
                              </w:rPr>
                              <w:t>以</w:t>
                            </w:r>
                            <w:r>
                              <w:rPr>
                                <w:rFonts w:eastAsiaTheme="minorEastAsia"/>
                                <w:b/>
                                <w:color w:val="FFFF00"/>
                                <w:sz w:val="24"/>
                                <w:szCs w:val="24"/>
                              </w:rPr>
                              <w:t>项目所在地为中心，项目</w:t>
                            </w:r>
                            <w:r>
                              <w:rPr>
                                <w:rFonts w:hint="eastAsia" w:eastAsiaTheme="minorEastAsia"/>
                                <w:b/>
                                <w:color w:val="FFFF00"/>
                                <w:sz w:val="24"/>
                                <w:szCs w:val="24"/>
                              </w:rPr>
                              <w:t>厂</w:t>
                            </w:r>
                            <w:r>
                              <w:rPr>
                                <w:rFonts w:eastAsiaTheme="minorEastAsia"/>
                                <w:b/>
                                <w:color w:val="FFFF00"/>
                                <w:sz w:val="24"/>
                                <w:szCs w:val="24"/>
                              </w:rPr>
                              <w:t>界外延2.5km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55pt;margin-top:4.65pt;height:32.25pt;width:252.75pt;z-index:251646976;v-text-anchor:middle;mso-width-relative:page;mso-height-relative:page;" filled="f" stroked="f" coordsize="21600,21600" o:gfxdata="UEsDBAoAAAAAAIdO4kAAAAAAAAAAAAAAAAAEAAAAZHJzL1BLAwQUAAAACACHTuJAg+OhrNgAAAAJ&#10;AQAADwAAAGRycy9kb3ducmV2LnhtbE2PwU7DMBBE70j8g7VI3KidloYS4lQVAqQe2yAhbk68JIF4&#10;HWXdtP173BMcV2808zZfn1wvJhy586QhmSkQSLW3HTUa3svXuxUIDoas6T2hhjMyrIvrq9xk1h9p&#10;h9M+NCKWEGdGQxvCkEnJdYvO8MwPSJF9+dGZEM+xkXY0x1juejlXKpXOdBQXWjPgc4v1z/7gNHA1&#10;bcvzsPn4/uS62ryQK++3b1rf3iTqCUTAU/gLw0U/qkMRnSp/IMui1/CwXCYxquFxAeLC56lKQVSR&#10;LFYgi1z+/6D4BVBLAwQUAAAACACHTuJAbcnuNkACAABaBAAADgAAAGRycy9lMm9Eb2MueG1srVTN&#10;jtowEL5X6jtYvpeELHQLIqzQIqpKqItEq54HxyaR/FfbEOjLVOqtD7GPU/U1OnayLGp7qnoxM57J&#10;55lvvmF2d1KSHLnzjdElHQ5ySrhmpmr0vqQfP6xevaHEB9AVSKN5Sc/c07v5yxez1k55YWojK+4I&#10;gmg/bW1J6xDsNMs8q7kCPzCWawwK4xQEdN0+qxy0iK5kVuT566w1rrLOMO493i67IJ0nfCE4Cw9C&#10;eB6ILCnWFtLp0rmLZzafwXTvwNYN68uAf6hCQaPx0QvUEgKQg2v+gFINc8YbEQbMqMwI0TCeesBu&#10;hvlv3WxrsDz1guR4e6HJ/z9Y9v64caSpcHY3yI8GhUP6+fX7j8dvJN4gP631U0zb2o3rPY9mbPYk&#10;nIq/2AY5JU7PF075KRCGlzdFPpkUY0oYxkb5ZHw7jqDZ89fW+fCWG0WiUVKHM0tUwnHtQ5f6lBIf&#10;02bVSIn3MJWatCUtxqMcS2eA8hESAprKYkNe7ykBuUddsuAS5NW3EXIJviZHQGl4I5uqr0vqiM2T&#10;ePoKIgVd09EKp92pZ2JnqjPy50wnLG/ZqkHgNfiwAYdKwsJwO8IDHkIarNb0FiW1cV/+dh/zccAY&#10;paRFZWJ1nw/gOCXyncbRT4ajUZRyckbj2wIddx3ZXUf0Qd0b7HCIe2hZMmN+kE+mcEZ9wiVaxFcx&#10;BJrh2x1nvXMfuo3BNWR8sUhpKF8LYa23lkXwbjKLQzCiSUOLRHXs4LCjgwJOY++XLW7ItZ+ynv8S&#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OhrNgAAAAJAQAADwAAAAAAAAABACAAAAAiAAAA&#10;ZHJzL2Rvd25yZXYueG1sUEsBAhQAFAAAAAgAh07iQG3J7jZAAgAAWgQAAA4AAAAAAAAAAQAgAAAA&#10;JwEAAGRycy9lMm9Eb2MueG1sUEsFBgAAAAAGAAYAWQEAANkFAAAAAA==&#10;">
                <v:fill on="f" focussize="0,0"/>
                <v:stroke on="f" weight="2pt"/>
                <v:imagedata o:title=""/>
                <o:lock v:ext="edit" aspectratio="f"/>
                <v:textbox>
                  <w:txbxContent>
                    <w:p>
                      <w:pPr>
                        <w:jc w:val="center"/>
                        <w:rPr>
                          <w:rFonts w:eastAsiaTheme="minorEastAsia"/>
                          <w:b/>
                          <w:color w:val="FFFF00"/>
                          <w:sz w:val="24"/>
                          <w:szCs w:val="24"/>
                        </w:rPr>
                      </w:pPr>
                      <w:r>
                        <w:rPr>
                          <w:rFonts w:hint="eastAsia" w:eastAsiaTheme="minorEastAsia"/>
                          <w:b/>
                          <w:color w:val="FFFF00"/>
                          <w:sz w:val="24"/>
                          <w:szCs w:val="24"/>
                        </w:rPr>
                        <w:t>以</w:t>
                      </w:r>
                      <w:r>
                        <w:rPr>
                          <w:rFonts w:eastAsiaTheme="minorEastAsia"/>
                          <w:b/>
                          <w:color w:val="FFFF00"/>
                          <w:sz w:val="24"/>
                          <w:szCs w:val="24"/>
                        </w:rPr>
                        <w:t>项目所在地为中心，项目</w:t>
                      </w:r>
                      <w:r>
                        <w:rPr>
                          <w:rFonts w:hint="eastAsia" w:eastAsiaTheme="minorEastAsia"/>
                          <w:b/>
                          <w:color w:val="FFFF00"/>
                          <w:sz w:val="24"/>
                          <w:szCs w:val="24"/>
                        </w:rPr>
                        <w:t>厂</w:t>
                      </w:r>
                      <w:r>
                        <w:rPr>
                          <w:rFonts w:eastAsiaTheme="minorEastAsia"/>
                          <w:b/>
                          <w:color w:val="FFFF00"/>
                          <w:sz w:val="24"/>
                          <w:szCs w:val="24"/>
                        </w:rPr>
                        <w:t>界外延2.5km</w:t>
                      </w:r>
                    </w:p>
                  </w:txbxContent>
                </v:textbox>
              </v:rect>
            </w:pict>
          </mc:Fallback>
        </mc:AlternateContent>
      </w:r>
      <w:r>
        <w:rPr>
          <w:rFonts w:ascii="宋体" w:hAnsi="宋体" w:eastAsia="宋体" w:cs="宋体"/>
          <w:kern w:val="0"/>
          <w:sz w:val="24"/>
          <w:szCs w:val="24"/>
        </w:rPr>
        <w:drawing>
          <wp:anchor distT="0" distB="0" distL="114300" distR="114300" simplePos="0" relativeHeight="251536384" behindDoc="0" locked="0" layoutInCell="1" allowOverlap="1">
            <wp:simplePos x="0" y="0"/>
            <wp:positionH relativeFrom="column">
              <wp:posOffset>487045</wp:posOffset>
            </wp:positionH>
            <wp:positionV relativeFrom="paragraph">
              <wp:posOffset>-90170</wp:posOffset>
            </wp:positionV>
            <wp:extent cx="11026775" cy="8477885"/>
            <wp:effectExtent l="0" t="0" r="3175" b="0"/>
            <wp:wrapNone/>
            <wp:docPr id="27" name="图片 27" descr="C:\Users\Administrator\Desktop\保护目标修改-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保护目标修改-Model.jpg"/>
                    <pic:cNvPicPr>
                      <a:picLocks noChangeAspect="1" noChangeArrowheads="1"/>
                    </pic:cNvPicPr>
                  </pic:nvPicPr>
                  <pic:blipFill>
                    <a:blip r:embed="rId19">
                      <a:extLst>
                        <a:ext uri="{28A0092B-C50C-407E-A947-70E740481C1C}">
                          <a14:useLocalDpi xmlns:a14="http://schemas.microsoft.com/office/drawing/2010/main" val="0"/>
                        </a:ext>
                      </a:extLst>
                    </a:blip>
                    <a:srcRect l="3118" t="6970" r="3383" b="3176"/>
                    <a:stretch>
                      <a:fillRect/>
                    </a:stretch>
                  </pic:blipFill>
                  <pic:spPr>
                    <a:xfrm>
                      <a:off x="0" y="0"/>
                      <a:ext cx="11026800" cy="8478000"/>
                    </a:xfrm>
                    <a:prstGeom prst="rect">
                      <a:avLst/>
                    </a:prstGeom>
                    <a:noFill/>
                    <a:ln>
                      <a:noFill/>
                    </a:ln>
                  </pic:spPr>
                </pic:pic>
              </a:graphicData>
            </a:graphic>
          </wp:anchor>
        </w:drawing>
      </w:r>
    </w:p>
    <w:p>
      <w:pPr>
        <w:rPr>
          <w:rFonts w:ascii="宋体" w:hAnsi="宋体" w:eastAsia="宋体" w:cs="宋体"/>
          <w:kern w:val="0"/>
          <w:sz w:val="24"/>
          <w:szCs w:val="24"/>
        </w:rPr>
      </w:pPr>
    </w:p>
    <w:p>
      <w:pPr>
        <w:widowControl/>
        <w:jc w:val="left"/>
        <w:rPr>
          <w:rFonts w:ascii="宋体" w:hAnsi="宋体" w:eastAsia="宋体" w:cs="宋体"/>
          <w:kern w:val="0"/>
          <w:sz w:val="24"/>
          <w:szCs w:val="24"/>
        </w:rPr>
      </w:pPr>
      <w:r>
        <w:rPr>
          <w:sz w:val="21"/>
          <w:szCs w:val="24"/>
        </w:rPr>
        <mc:AlternateContent>
          <mc:Choice Requires="wps">
            <w:drawing>
              <wp:anchor distT="0" distB="0" distL="114300" distR="114300" simplePos="0" relativeHeight="251778048" behindDoc="0" locked="0" layoutInCell="1" allowOverlap="1">
                <wp:simplePos x="0" y="0"/>
                <wp:positionH relativeFrom="column">
                  <wp:posOffset>7478395</wp:posOffset>
                </wp:positionH>
                <wp:positionV relativeFrom="paragraph">
                  <wp:posOffset>6280150</wp:posOffset>
                </wp:positionV>
                <wp:extent cx="762000" cy="371475"/>
                <wp:effectExtent l="0" t="0" r="19050" b="28575"/>
                <wp:wrapNone/>
                <wp:docPr id="112" name="任意多边形 112"/>
                <wp:cNvGraphicFramePr/>
                <a:graphic xmlns:a="http://schemas.openxmlformats.org/drawingml/2006/main">
                  <a:graphicData uri="http://schemas.microsoft.com/office/word/2010/wordprocessingShape">
                    <wps:wsp>
                      <wps:cNvSpPr/>
                      <wps:spPr>
                        <a:xfrm>
                          <a:off x="0" y="0"/>
                          <a:ext cx="762000" cy="371475"/>
                        </a:xfrm>
                        <a:custGeom>
                          <a:avLst/>
                          <a:gdLst>
                            <a:gd name="connsiteX0" fmla="*/ 38100 w 762000"/>
                            <a:gd name="connsiteY0" fmla="*/ 371475 h 371475"/>
                            <a:gd name="connsiteX1" fmla="*/ 0 w 762000"/>
                            <a:gd name="connsiteY1" fmla="*/ 9525 h 371475"/>
                            <a:gd name="connsiteX2" fmla="*/ 762000 w 762000"/>
                            <a:gd name="connsiteY2" fmla="*/ 0 h 371475"/>
                            <a:gd name="connsiteX3" fmla="*/ 762000 w 762000"/>
                            <a:gd name="connsiteY3" fmla="*/ 104775 h 371475"/>
                            <a:gd name="connsiteX4" fmla="*/ 38100 w 762000"/>
                            <a:gd name="connsiteY4" fmla="*/ 371475 h 371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2000" h="371475">
                              <a:moveTo>
                                <a:pt x="38100" y="371475"/>
                              </a:moveTo>
                              <a:lnTo>
                                <a:pt x="0" y="9525"/>
                              </a:lnTo>
                              <a:lnTo>
                                <a:pt x="762000" y="0"/>
                              </a:lnTo>
                              <a:lnTo>
                                <a:pt x="762000" y="104775"/>
                              </a:lnTo>
                              <a:lnTo>
                                <a:pt x="38100" y="371475"/>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588.85pt;margin-top:494.5pt;height:29.25pt;width:60pt;z-index:251778048;v-text-anchor:middle;mso-width-relative:page;mso-height-relative:page;" filled="f" stroked="t" coordsize="762000,371475" o:gfxdata="UEsDBAoAAAAAAIdO4kAAAAAAAAAAAAAAAAAEAAAAZHJzL1BLAwQUAAAACACHTuJAATTUH9kAAAAO&#10;AQAADwAAAGRycy9kb3ducmV2LnhtbE2PMU/DMBCFdyT+g3VIbNROBaQJcToEOrBUoi27G1+TiPgc&#10;xW6b/nsuE2z37p7efa9YT64XFxxD50lDslAgkGpvO2o0HPabpxWIEA1Z03tCDTcMsC7v7wqTW3+l&#10;L7zsYiM4hEJuNLQxDrmUoW7RmbDwAxLfTn50JrIcG2lHc+Vw18ulUq/SmY74Q2sGrFqsf3Znp+H0&#10;MU7d4VZ/0qaqPH3XqN63W60fHxL1BiLiFP/MMOMzOpTMdPRnskH0rJM0TdmrIVtl3Gq2LLN5deRJ&#10;PacvIMtC/q9R/gJQSwMEFAAAAAgAh07iQEGModtqAwAA/ggAAA4AAABkcnMvZTJvRG9jLnhtbK1W&#10;zW7UMBC+I/EOVo5INMl2t0tX3aKqVRFSRSsVBBy9jrOJ5NjG9v6UM3fuHBEvgSp4Gop4DD47yW5K&#10;gW0Re8iOM//fjGey93hZCTLnxpZKjqN0K4kIl0xlpZyOoxfPjx8+ioh1VGZUKMnH0QW30eP9+/f2&#10;FnrEe6pQIuOGwIi0o4UeR4VzehTHlhW8onZLaS7BzJWpqMPRTOPM0AWsVyLuJclOvFAm00Yxbi3e&#10;HtXMaD/Yz3PO3GmeW+6IGEeIzYWnCc+Jf8b7e3Q0NVQXJWvCoP8QRUVLCacrU0fUUTIz5Q1TVcmM&#10;sip3W0xVscrzkvGQA7JJk1+yOS+o5iEXgGP1Cib7/8yyZ/MzQ8oMtUt7EZG0QpG+XV5+f/f+6tOH&#10;H18/X335SDwLQC20HUH+XJ+Z5mRB+qyXuan8P/IhywDuxQpcvnSE4eVwB/VCCRhY28O0Pxx4m/Fa&#10;mc2se8JVMETnJ9bVtclABWSzJjqmpLSl469gLK8EyvUgJtuP0iQhC9J4aVR/0Xh9TSPEQAqyDgbl&#10;u+Ek7TjZ7KArvTvoDTaaB+arHOrYNybRVUk2Oti+u4OuSpr0h8PNafQ7Xm5XimsaN0uBvpi2ladF&#10;2wxsKZtuAEWonzFJuHZaWd943dZAm7VH1L1uNWj5VtqgjCJ2ldM7KaM6XeVwcZDM7TwD+a7y9p08&#10;A9Gucr+rXEfQYGcwFf08FGEeuohgHpqIYB5OvA4daeo85C1JFuvbW6wur+dWas6fqyDnPP6h9CGM&#10;9aWC67WYkF1xXEdE7O9JE2vLbv91sNpODsi2hWwF2v8bgnXf/tXsH4JtTTKhLK/bxuMRRtUKGI9n&#10;Z1xJdVwKEbAT0sPVG/TDrKNYabmgwJhVGkPWymlEqJhiVzJnQutaJcrMq3sYrZlODoUhc4r6HOMH&#10;K3UM18S0se6I2qKWC6xVqgjUD+p6NHtqorILzHij6uVnNTsuoX9CrTujBuMTZcAGd6d45EIhelQ1&#10;UBEplHn7u/deHksI3IgssD2R2ZsZNTwi4qnEetpN+32YdeHQHwx7OJguZ9LlyFl1qJAwLh6iC6SX&#10;d6Ilc6Oql1j0B94rWFQy+K4xbA6HDmew8KnA+MFBoLFiUbETea6ZN+4Blupg5lRe+uUScKrRaQ5Y&#10;sqHOzQeB3+Ldc5Baf7bs/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ABNNQf2QAAAA4BAAAPAAAA&#10;AAAAAAEAIAAAACIAAABkcnMvZG93bnJldi54bWxQSwECFAAUAAAACACHTuJAQYyh22oDAAD+CAAA&#10;DgAAAAAAAAABACAAAAAoAQAAZHJzL2Uyb0RvYy54bWxQSwUGAAAAAAYABgBZAQAABAcAAAAA&#10;" path="m38100,371475l0,9525,762000,0,762000,104775,38100,371475xe">
                <v:path o:connectlocs="38100,371475;0,9525;762000,0;762000,104775;38100,371475" o:connectangles="0,0,0,0,0"/>
                <v:fill on="f" focussize="0,0"/>
                <v:stroke weight="2pt" color="#FFFF00 [3204]" joinstyle="round"/>
                <v:imagedata o:title=""/>
                <o:lock v:ext="edit" aspectratio="f"/>
              </v:shape>
            </w:pict>
          </mc:Fallback>
        </mc:AlternateContent>
      </w:r>
      <w:r>
        <w:rPr>
          <w:sz w:val="21"/>
          <w:szCs w:val="24"/>
        </w:rPr>
        <mc:AlternateContent>
          <mc:Choice Requires="wps">
            <w:drawing>
              <wp:anchor distT="0" distB="0" distL="114300" distR="114300" simplePos="0" relativeHeight="251720704" behindDoc="0" locked="0" layoutInCell="1" allowOverlap="1">
                <wp:simplePos x="0" y="0"/>
                <wp:positionH relativeFrom="column">
                  <wp:posOffset>6758940</wp:posOffset>
                </wp:positionH>
                <wp:positionV relativeFrom="paragraph">
                  <wp:posOffset>6294120</wp:posOffset>
                </wp:positionV>
                <wp:extent cx="409575" cy="381000"/>
                <wp:effectExtent l="0" t="0" r="0" b="0"/>
                <wp:wrapNone/>
                <wp:docPr id="485" name="矩形 485"/>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14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2.2pt;margin-top:495.6pt;height:30pt;width:32.25pt;z-index:251720704;v-text-anchor:middle;mso-width-relative:page;mso-height-relative:page;" filled="f" stroked="f" coordsize="21600,21600" o:gfxdata="UEsDBAoAAAAAAIdO4kAAAAAAAAAAAAAAAAAEAAAAZHJzL1BLAwQUAAAACACHTuJAPzUmldkAAAAO&#10;AQAADwAAAGRycy9kb3ducmV2LnhtbE2PQU+DQBCF7yb+h82YeLO7EGwKsjSNUZMeLSbG2wIjoOws&#10;Ybe0/fcOJ3t88768eS/fnu0gZpx870hDtFIgkGrX9NRq+ChfHzYgfDDUmMERarigh21xe5ObrHEn&#10;esf5EFrBIeQzo6ELYcyk9HWH1viVG5HY+3aTNYHl1MpmMicOt4OMlVpLa3riD50Z8bnD+vdwtBp8&#10;Ne/Ly7j7/PnydbV7IVsm+zet7+8i9QQi4Dn8w7DU5+pQcKfKHanxYmCt1knCrIY0jWIQCxLFmxRE&#10;tZiPfJNFLq9nFH9QSwMEFAAAAAgAh07iQNT/f6RAAgAAWQQAAA4AAABkcnMvZTJvRG9jLnhtbK1U&#10;zW4TMRC+I/EOlu90NyGhaZRNFTUKQqpopYI4O147u5L/sJ1syssgceMh+jiI1+Czd9tGwAlx8c54&#10;xt/MfDOzi8ujVuQgfGitqejorKREGG7r1uwq+vHD5tWMkhCZqZmyRlT0XgR6uXz5YtG5uRjbxqpa&#10;eAIQE+adq2gTo5sXReCN0CycWScMjNJ6zSJUvytqzzqga1WMy/JN0VlfO2+5CAG3695IlxlfSsHj&#10;jZRBRKIqitxiPn0+t+kslgs233nmmpYPabB/yEKz1iDoE9SaRUb2vv0DSrfc22BlPONWF1bKlotc&#10;A6oZlb9Vc9cwJ3ItICe4J5rC/4Pl7w+3nrR1RSezKSWGaTTp59fvPx6+kXQDfjoX5nC7c7d+0ALE&#10;VOxRep2+KIMcM6f3T5yKYyQcl5PyYnoOZA7T69moLDPnxfNj50N8K6wmSaioR8syk+xwHSICwvXR&#10;JcUydtMqldumDOkqOp5OgEk4w/RIxSJE7VBPMDtKmNphLHn0GfLkbYJcs9CQA8NkBKvaOtWKYMqk&#10;MCLPzpBBYqCvOUnxuD0ORGxtfQ/6vO3nKji+aQF8zUK8ZR6DhMSwHPEGh1QW2dpBoqSx/svf7pM/&#10;+gsrJR0GE9l93jMvKFHvDDp/MZpM0iRnZTI9H0Pxp5btqcXs9ZVFhSOsoeNZTP5RPYrSW/0JO7RK&#10;UWFihiN2z9mgXMV+YbCFXKxW2Q3T61i8NneOJ/C+M6t9tLLNTUtE9eyA1KRgfjO9w66lBTnVs9fz&#10;H2H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81JpXZAAAADgEAAA8AAAAAAAAAAQAgAAAAIgAA&#10;AGRycy9kb3ducmV2LnhtbFBLAQIUABQAAAAIAIdO4kDU/3+kQAIAAFkEAAAOAAAAAAAAAAEAIAAA&#10;ACgBAABkcnMvZTJvRG9jLnhtbFBLBQYAAAAABgAGAFkBAADaBQAAAAA=&#10;">
                <v:fill on="f" focussize="0,0"/>
                <v:stroke on="f" weight="2pt"/>
                <v:imagedata o:title=""/>
                <o:lock v:ext="edit" aspectratio="f"/>
                <v:textbox>
                  <w:txbxContent>
                    <w:p>
                      <w:pPr>
                        <w:jc w:val="center"/>
                        <w:rPr>
                          <w:b/>
                          <w:color w:val="FFFF00"/>
                        </w:rPr>
                      </w:pPr>
                      <w:r>
                        <w:rPr>
                          <w:b/>
                          <w:color w:val="FFFF00"/>
                        </w:rPr>
                        <w:t>14</w:t>
                      </w:r>
                    </w:p>
                  </w:txbxContent>
                </v:textbox>
              </v:rect>
            </w:pict>
          </mc:Fallback>
        </mc:AlternateContent>
      </w:r>
      <w:r>
        <w:rPr>
          <w:sz w:val="21"/>
          <w:szCs w:val="24"/>
        </w:rPr>
        <mc:AlternateContent>
          <mc:Choice Requires="wps">
            <w:drawing>
              <wp:anchor distT="0" distB="0" distL="114300" distR="114300" simplePos="0" relativeHeight="251776000" behindDoc="0" locked="0" layoutInCell="1" allowOverlap="1">
                <wp:simplePos x="0" y="0"/>
                <wp:positionH relativeFrom="column">
                  <wp:posOffset>6754495</wp:posOffset>
                </wp:positionH>
                <wp:positionV relativeFrom="paragraph">
                  <wp:posOffset>5489575</wp:posOffset>
                </wp:positionV>
                <wp:extent cx="1485900" cy="723900"/>
                <wp:effectExtent l="0" t="0" r="19050" b="19050"/>
                <wp:wrapNone/>
                <wp:docPr id="111" name="任意多边形 111"/>
                <wp:cNvGraphicFramePr/>
                <a:graphic xmlns:a="http://schemas.openxmlformats.org/drawingml/2006/main">
                  <a:graphicData uri="http://schemas.microsoft.com/office/word/2010/wordprocessingShape">
                    <wps:wsp>
                      <wps:cNvSpPr/>
                      <wps:spPr>
                        <a:xfrm>
                          <a:off x="0" y="0"/>
                          <a:ext cx="1485900" cy="723900"/>
                        </a:xfrm>
                        <a:custGeom>
                          <a:avLst/>
                          <a:gdLst>
                            <a:gd name="connsiteX0" fmla="*/ 9525 w 1485900"/>
                            <a:gd name="connsiteY0" fmla="*/ 714375 h 723900"/>
                            <a:gd name="connsiteX1" fmla="*/ 0 w 1485900"/>
                            <a:gd name="connsiteY1" fmla="*/ 0 h 723900"/>
                            <a:gd name="connsiteX2" fmla="*/ 638175 w 1485900"/>
                            <a:gd name="connsiteY2" fmla="*/ 19050 h 723900"/>
                            <a:gd name="connsiteX3" fmla="*/ 923925 w 1485900"/>
                            <a:gd name="connsiteY3" fmla="*/ 114300 h 723900"/>
                            <a:gd name="connsiteX4" fmla="*/ 1485900 w 1485900"/>
                            <a:gd name="connsiteY4" fmla="*/ 485775 h 723900"/>
                            <a:gd name="connsiteX5" fmla="*/ 1476375 w 1485900"/>
                            <a:gd name="connsiteY5" fmla="*/ 533400 h 723900"/>
                            <a:gd name="connsiteX6" fmla="*/ 666750 w 1485900"/>
                            <a:gd name="connsiteY6" fmla="*/ 409575 h 723900"/>
                            <a:gd name="connsiteX7" fmla="*/ 647700 w 1485900"/>
                            <a:gd name="connsiteY7" fmla="*/ 723900 h 723900"/>
                            <a:gd name="connsiteX8" fmla="*/ 9525 w 1485900"/>
                            <a:gd name="connsiteY8" fmla="*/ 714375 h 723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85900" h="723900">
                              <a:moveTo>
                                <a:pt x="9525" y="714375"/>
                              </a:moveTo>
                              <a:lnTo>
                                <a:pt x="0" y="0"/>
                              </a:lnTo>
                              <a:lnTo>
                                <a:pt x="638175" y="19050"/>
                              </a:lnTo>
                              <a:lnTo>
                                <a:pt x="923925" y="114300"/>
                              </a:lnTo>
                              <a:lnTo>
                                <a:pt x="1485900" y="485775"/>
                              </a:lnTo>
                              <a:lnTo>
                                <a:pt x="1476375" y="533400"/>
                              </a:lnTo>
                              <a:lnTo>
                                <a:pt x="666750" y="409575"/>
                              </a:lnTo>
                              <a:lnTo>
                                <a:pt x="647700" y="723900"/>
                              </a:lnTo>
                              <a:lnTo>
                                <a:pt x="9525" y="714375"/>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531.85pt;margin-top:432.25pt;height:57pt;width:117pt;z-index:251776000;v-text-anchor:middle;mso-width-relative:page;mso-height-relative:page;" filled="f" stroked="t" coordsize="1485900,723900" o:gfxdata="UEsDBAoAAAAAAIdO4kAAAAAAAAAAAAAAAAAEAAAAZHJzL1BLAwQUAAAACACHTuJAQGMQgdwAAAAN&#10;AQAADwAAAGRycy9kb3ducmV2LnhtbE2Py27CMBBF95X6D9ZU6q7YQElCGgdVSN1UVRH0sTaxSaLY&#10;4yh2ePx9hxVd3pmjO2eK1dlZdjRDaD1KmE4EMIOV1y3WEr6/3p4yYCEq1Mp6NBIuJsCqvL8rVK79&#10;CbfmuIs1oxIMuZLQxNjnnIeqMU6Fie8N0u7gB6cixaHmelAnKneWz4RIuFMt0oVG9WbdmKrbjU5C&#10;yzeX9av93PBtOPz4+Xs3fvx2Uj4+TMULsGjO8QbDVZ/UoSSnvR9RB2Ypi2SeEishS54XwK7IbJnS&#10;aC9hmWYL4GXB/39R/gFQSwMEFAAAAAgAh07iQJqO7icJBAAATwwAAA4AAABkcnMvZTJvRG9jLnht&#10;bK1XzW7jNhC+F+g7EDoWaCzZkhUbcRZBghQFgm6AbNH2SFOSJUAiVZL+Sc97773Hoi+xWGyfplv0&#10;MfqRlGxmN4jsoj5IpDjf/M9wfPFq19Rkk0tVCb4IorMwIDlnIqv4ahF8/+b26/OAKE15RmvB80Xw&#10;mKvg1eWXX1xs23k+FqWos1wSMOFqvm0XQal1Ox+NFCvzhqoz0eYch4WQDdXYytUok3QL7k09Gofh&#10;dLQVMmulYLlS+HrjDoNLy78ocqZfF4XKNakXAXTT9intc2meo8sLOl9J2pYV69Sg/0GLhlYcQves&#10;bqimZC2rz1g1FZNCiUKfMdGMRFFULLc2wJoo/MSah5K2ubUFzlHt3k3q/2PLvtvcS1JliF0UBYTT&#10;BkH66/37v9/++vGP3/75893HD78TcwRHbVs1B/1Dey+7ncLSWL0rZGPesIfsrHMf987Nd5owfIzi&#10;82QWIgYMZ+l4YtZgMzqg2Vrpb3JhOdHNndIuOBlW1rVZpx4TnKtK5z+CWdHUiNdXIzJLxgnZkl5K&#10;B/0E8ZOPSKN4kiakJAdlEL/PhMAreyHhsISn5EPMxx7z6eQ8gj6DNviYaBYm4aAJE0/KDJ4/xlM+&#10;JoKnwmExsSemi8OwNT4IGZIeEZHkiZx0aqI46DUflEwm8RH2TD050+k0hacHxfiYOJwlR5iT+mLi&#10;NIVmg2J8jEvfwSRAI97n8XHF4iOeKRZU7qqvTVr25cp2vKtXrAg110BoO2MrlOkNfvGiEfRbVKZr&#10;BkCZYh8Ao8p8sG1P0Oc4MArIB49Pkoy68MGTk8BIdh8cnwRGBvvg5CQw8tIHT08CI9t8cHoSGFnk&#10;g899sAtZly8Sl7W5pmt7TeuA4JqWAcE1vTQYOm+pNmnWL8nWu1TK/Z1ijhuxyd8IS6hN0pl8t2q4&#10;NO5UOFDV3KfGJQGN+4Tsz/p3azm6Zm0JbQ/uWPZE/dsRu57riG0rfZG6v8KMEq4jDpDbDmi5u8b2&#10;IrlrZJba9aeXqW0/stSHWxJR6+3r352dz7q5p2G1ULkrchNJe/XvQ2oywbv+ubit6tpGveYm0OME&#10;HRuzA8WMWNQU2cGaFlOL4quA0HqF4ZNpaRuNEnWVGbiJv5Kr5XUtyYYis27x208dT8haqfQNVaWj&#10;s0d7v0BRM/m4WcesliJ7xNAkhZsmVctuK+DvqNL3VGIcgaIYifVrPIpaQHuko10FpBTyl+e+G3pM&#10;dTgNyBbjKCz7eU1lHpD6W455bxbFMdhqu4mTdIyN9E+W/glfN9cCBqNNQju7NPS67peFFM0PmJyv&#10;jFQcUc4g2/mw21xr7HGE2ZvlV1d2jZkVEbvjDy0zzI2Dubhaa1FUZlizfnLe6TaYWm2cuwnbjMX+&#10;3lId/gdc/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BAYxCB3AAAAA0BAAAPAAAAAAAAAAEAIAAA&#10;ACIAAABkcnMvZG93bnJldi54bWxQSwECFAAUAAAACACHTuJAmo7uJwkEAABPDAAADgAAAAAAAAAB&#10;ACAAAAArAQAAZHJzL2Uyb0RvYy54bWxQSwUGAAAAAAYABgBZAQAApgcAAAAA&#10;" path="m9525,714375l0,0,638175,19050,923925,114300,1485900,485775,1476375,533400,666750,409575,647700,723900,9525,714375xe">
                <v:path o:connectlocs="9525,714375;0,0;638175,19050;923925,114300;1485900,485775;1476375,533400;666750,409575;647700,723900;9525,714375" o:connectangles="0,0,0,0,0,0,0,0,0"/>
                <v:fill on="f" focussize="0,0"/>
                <v:stroke weight="2pt" color="#FFFF00 [3204]" joinstyle="round"/>
                <v:imagedata o:title=""/>
                <o:lock v:ext="edit" aspectratio="f"/>
              </v:shape>
            </w:pict>
          </mc:Fallback>
        </mc:AlternateContent>
      </w:r>
      <w:r>
        <w:rPr>
          <w:sz w:val="21"/>
          <w:szCs w:val="24"/>
        </w:rPr>
        <mc:AlternateContent>
          <mc:Choice Requires="wps">
            <w:drawing>
              <wp:anchor distT="0" distB="0" distL="114300" distR="114300" simplePos="0" relativeHeight="251603968" behindDoc="0" locked="0" layoutInCell="1" allowOverlap="1">
                <wp:simplePos x="0" y="0"/>
                <wp:positionH relativeFrom="column">
                  <wp:posOffset>7726045</wp:posOffset>
                </wp:positionH>
                <wp:positionV relativeFrom="paragraph">
                  <wp:posOffset>5946140</wp:posOffset>
                </wp:positionV>
                <wp:extent cx="409575" cy="438785"/>
                <wp:effectExtent l="0" t="0" r="0" b="0"/>
                <wp:wrapNone/>
                <wp:docPr id="504" name="矩形 504"/>
                <wp:cNvGraphicFramePr/>
                <a:graphic xmlns:a="http://schemas.openxmlformats.org/drawingml/2006/main">
                  <a:graphicData uri="http://schemas.microsoft.com/office/word/2010/wordprocessingShape">
                    <wps:wsp>
                      <wps:cNvSpPr/>
                      <wps:spPr>
                        <a:xfrm>
                          <a:off x="0" y="0"/>
                          <a:ext cx="409575" cy="438785"/>
                        </a:xfrm>
                        <a:prstGeom prst="rect">
                          <a:avLst/>
                        </a:prstGeom>
                        <a:noFill/>
                        <a:ln w="25400" cap="flat" cmpd="sng" algn="ctr">
                          <a:noFill/>
                          <a:prstDash val="solid"/>
                        </a:ln>
                        <a:effectLst/>
                      </wps:spPr>
                      <wps:txbx>
                        <w:txbxContent>
                          <w:p>
                            <w:pPr>
                              <w:jc w:val="center"/>
                              <w:rPr>
                                <w:b/>
                                <w:color w:val="FFFF00"/>
                              </w:rPr>
                            </w:pPr>
                            <w:r>
                              <w:rPr>
                                <w:b/>
                                <w:color w:val="FFFF00"/>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8.35pt;margin-top:468.2pt;height:34.55pt;width:32.25pt;z-index:251603968;v-text-anchor:middle;mso-width-relative:page;mso-height-relative:page;" filled="f" stroked="f" coordsize="21600,21600" o:gfxdata="UEsDBAoAAAAAAIdO4kAAAAAAAAAAAAAAAAAEAAAAZHJzL1BLAwQUAAAACACHTuJAhKTN9twAAAAO&#10;AQAADwAAAGRycy9kb3ducmV2LnhtbE2PwU7DMAyG70i8Q2Qkbixp2cpWmk4TAqQdtyKh3dLWtIXG&#10;qZqs294e7wQ3//Kn35+z9dn2YsLRd440RDMFAqlydUeNho/i7WEJwgdDtekdoYYLeljntzeZSWt3&#10;oh1O+9AILiGfGg1tCEMqpa9atMbP3IDEuy83WhM4jo2sR3PictvLWKlEWtMRX2jNgC8tVj/7o9Xg&#10;y2lbXIbN5/fBV+XmlWwx375rfX8XqWcQAc/hD4arPqtDzk6lO1LtRc85jpInZjWsHpM5iCsSL6MY&#10;RMmTUosFyDyT/9/IfwFQSwMEFAAAAAgAh07iQILrwKxAAgAAWQQAAA4AAABkcnMvZTJvRG9jLnht&#10;bK1UzY7aMBC+V+o7WL6XBBq6LCKs0CKqSqiLRKueB8cmkfxX2xDoy1TqrQ+xj1P1NTp2sixqe6p6&#10;MTOeyeeZb75hdndSkhy5843RJR0Ockq4ZqZq9L6kHz+sXk0o8QF0BdJoXtIz9/Ru/vLFrLVTPjK1&#10;kRV3BEG0n7a2pHUIdpplntVcgR8YyzUGhXEKArpun1UOWkRXMhvl+ZusNa6yzjDuPd4uuyCdJ3wh&#10;OAsPQngeiCwp1hbS6dK5i2c2n8F078DWDevLgH+oQkGj8dEL1BICkINr/oBSDXPGGxEGzKjMCNEw&#10;nnrAbob5b91sa7A89YLkeHuhyf8/WPb+uHGkqUo6zgtKNCgc0s+v3388fiPxBvlprZ9i2tZuXO95&#10;NGOzJ+FU/MU2yClxer5wyk+BMLws8tvxzZgShqHi9eRmMo6Y2fPH1vnwlhtFolFShyNLTMJx7UOX&#10;+pQS39Jm1UiJ9zCVmrQlHY2LHCfLANUjJAQ0lcV+vN5TAnKPsmTBJcirbyPkEnxNjoDK8EY2VV+X&#10;1BGbJ+30FUQGup6jFU67U0/EzlRnpM+ZTlfeslWDwGvwYQMOhYSF4XKEBzyENFit6S1KauO+/O0+&#10;5uN8MUpJi8LE6j4fwHFK5DuNk78dFkVUcnKK8c0IHXcd2V1H9EHdG+xwiGtoWTJjfpBPpnBGfcId&#10;WsRXMQSa4dsdZ71zH7qFwS1kfLFIaaheC2Gtt5ZF8G4yi0MwoklDi0R17OCwo4P6TWPvdy0uyLWf&#10;sp7/Ee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kzfbcAAAADgEAAA8AAAAAAAAAAQAgAAAA&#10;IgAAAGRycy9kb3ducmV2LnhtbFBLAQIUABQAAAAIAIdO4kCC68CsQAIAAFkEAAAOAAAAAAAAAAEA&#10;IAAAACsBAABkcnMvZTJvRG9jLnhtbFBLBQYAAAAABgAGAFkBAADdBQAAAAA=&#10;">
                <v:fill on="f" focussize="0,0"/>
                <v:stroke on="f" weight="2pt"/>
                <v:imagedata o:title=""/>
                <o:lock v:ext="edit" aspectratio="f"/>
                <v:textbox>
                  <w:txbxContent>
                    <w:p>
                      <w:pPr>
                        <w:jc w:val="center"/>
                        <w:rPr>
                          <w:b/>
                          <w:color w:val="FFFF00"/>
                        </w:rPr>
                      </w:pPr>
                      <w:r>
                        <w:rPr>
                          <w:b/>
                          <w:color w:val="FFFF00"/>
                        </w:rPr>
                        <w:t>12</w:t>
                      </w:r>
                    </w:p>
                  </w:txbxContent>
                </v:textbox>
              </v:rect>
            </w:pict>
          </mc:Fallback>
        </mc:AlternateContent>
      </w:r>
      <w:r>
        <w:rPr>
          <w:sz w:val="21"/>
          <w:szCs w:val="24"/>
        </w:rPr>
        <mc:AlternateContent>
          <mc:Choice Requires="wps">
            <w:drawing>
              <wp:anchor distT="0" distB="0" distL="114300" distR="114300" simplePos="0" relativeHeight="251773952" behindDoc="0" locked="0" layoutInCell="1" allowOverlap="1">
                <wp:simplePos x="0" y="0"/>
                <wp:positionH relativeFrom="column">
                  <wp:posOffset>7097395</wp:posOffset>
                </wp:positionH>
                <wp:positionV relativeFrom="paragraph">
                  <wp:posOffset>6270625</wp:posOffset>
                </wp:positionV>
                <wp:extent cx="1304925" cy="381000"/>
                <wp:effectExtent l="0" t="0" r="0" b="0"/>
                <wp:wrapNone/>
                <wp:docPr id="108" name="矩形 108"/>
                <wp:cNvGraphicFramePr/>
                <a:graphic xmlns:a="http://schemas.openxmlformats.org/drawingml/2006/main">
                  <a:graphicData uri="http://schemas.microsoft.com/office/word/2010/wordprocessingShape">
                    <wps:wsp>
                      <wps:cNvSpPr/>
                      <wps:spPr>
                        <a:xfrm>
                          <a:off x="0" y="0"/>
                          <a:ext cx="1304925" cy="381000"/>
                        </a:xfrm>
                        <a:prstGeom prst="rect">
                          <a:avLst/>
                        </a:prstGeom>
                        <a:noFill/>
                        <a:ln w="25400" cap="flat" cmpd="sng" algn="ctr">
                          <a:noFill/>
                          <a:prstDash val="solid"/>
                        </a:ln>
                        <a:effectLst/>
                      </wps:spPr>
                      <wps:txbx>
                        <w:txbxContent>
                          <w:p>
                            <w:pPr>
                              <w:jc w:val="center"/>
                              <w:rPr>
                                <w:b/>
                                <w:color w:val="FFFF00"/>
                                <w:sz w:val="21"/>
                                <w:szCs w:val="21"/>
                              </w:rPr>
                            </w:pPr>
                            <w:r>
                              <w:rPr>
                                <w:rFonts w:hint="eastAsia"/>
                                <w:b/>
                                <w:color w:val="FFFF00"/>
                                <w:sz w:val="21"/>
                                <w:szCs w:val="21"/>
                              </w:rPr>
                              <w:t>规划敏感点</w:t>
                            </w:r>
                            <w:r>
                              <w:rPr>
                                <w:b/>
                                <w:color w:val="FFFF00"/>
                                <w:sz w:val="21"/>
                                <w:szCs w:val="21"/>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8.85pt;margin-top:493.75pt;height:30pt;width:102.75pt;z-index:251773952;v-text-anchor:middle;mso-width-relative:page;mso-height-relative:page;" filled="f" stroked="f" coordsize="21600,21600" o:gfxdata="UEsDBAoAAAAAAIdO4kAAAAAAAAAAAAAAAAAEAAAAZHJzL1BLAwQUAAAACACHTuJAhA2H6NsAAAAO&#10;AQAADwAAAGRycy9kb3ducmV2LnhtbE2PQU/DMAyF70j8h8hI3FjabtCtNJ0mBEg7bkVCu6WNaQuN&#10;UzVZt/17vBPc/Oyn5+/l67PtxYSj7xwpiGcRCKTamY4aBR/l28MShA+ajO4doYILelgXtze5zow7&#10;0Q6nfWgEh5DPtII2hCGT0tctWu1nbkDi25cbrQ4sx0aaUZ843PYyiaInaXVH/KHVA760WP/sj1aB&#10;r6ZteRk2n98HX1ebV7LlYvuu1P1dHD2DCHgOf2a44jM6FMxUuSMZL3rWcZym7FWwWqaPIK6WeTJP&#10;QFQ8RQveySKX/2sUv1BLAwQUAAAACACHTuJAcVoM2EECAABaBAAADgAAAGRycy9lMm9Eb2MueG1s&#10;rVTNbhMxEL4j8Q6W72Q3aQJtlE0VtSpCqmilgDg7Xju7kv+wnWzKyyBx4yH6OIjX4LN3m0bACXHx&#10;znjG38x8M7OLy4NWZC98aK2p6HhUUiIMt3VrthX9+OHm1TklITJTM2WNqOiDCPRy+fLFonNzMbGN&#10;VbXwBCAmzDtX0SZGNy+KwBuhWRhZJwyM0nrNIlS/LWrPOqBrVUzK8nXRWV87b7kIAbfXvZEuM76U&#10;gsc7KYOIRFUUucV8+nxu0lksF2y+9cw1LR/SYP+QhWatQdAj1DWLjOx8+weUbrm3wco44lYXVsqW&#10;i1wDqhmXv1WzbpgTuRaQE9yRpvD/YPn7/b0nbY3elWiVYRpN+vn1+4/HbyTdgJ/OhTnc1u7eD1qA&#10;mIo9SK/TF2WQQ+b04cipOETCcTk+K6cXkxklHLaz83FZZtKL59fOh/hWWE2SUFGPnmUq2f42RESE&#10;65NLCmbsTatU7psypKvoZDYFJuEM4yMVixC1Q0HBbClhaou55NFnyJO3CfKahYbsGUYjWNXWqVgE&#10;UyaFEXl4hgwSBX3RSYqHzWFgYmPrB/DnbT9YwfGbFsC3LMR75jFJSAzbEe9wSGWRrR0kShrrv/zt&#10;PvmjwbBS0mEykd3nHfOCEvXOoPUX4+k0jXJWprM3Eyj+1LI5tZidvrKocIw9dDyLyT+qJ1F6qz9h&#10;iVYpKkzMcMTuORuUq9hvDNaQi9Uqu2F8HYu3Zu14Au87s9pFK9vctERUzw5ITQoGONM7LFvakFM9&#10;ez3/Ep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QNh+jbAAAADgEAAA8AAAAAAAAAAQAgAAAA&#10;IgAAAGRycy9kb3ducmV2LnhtbFBLAQIUABQAAAAIAIdO4kBxWgzYQQIAAFoEAAAOAAAAAAAAAAEA&#10;IAAAACoBAABkcnMvZTJvRG9jLnhtbFBLBQYAAAAABgAGAFkBAADdBQAAAAA=&#10;">
                <v:fill on="f" focussize="0,0"/>
                <v:stroke on="f" weight="2pt"/>
                <v:imagedata o:title=""/>
                <o:lock v:ext="edit" aspectratio="f"/>
                <v:textbox>
                  <w:txbxContent>
                    <w:p>
                      <w:pPr>
                        <w:jc w:val="center"/>
                        <w:rPr>
                          <w:b/>
                          <w:color w:val="FFFF00"/>
                          <w:sz w:val="21"/>
                          <w:szCs w:val="21"/>
                        </w:rPr>
                      </w:pPr>
                      <w:r>
                        <w:rPr>
                          <w:rFonts w:hint="eastAsia"/>
                          <w:b/>
                          <w:color w:val="FFFF00"/>
                          <w:sz w:val="21"/>
                          <w:szCs w:val="21"/>
                        </w:rPr>
                        <w:t>规划敏感点</w:t>
                      </w:r>
                      <w:r>
                        <w:rPr>
                          <w:b/>
                          <w:color w:val="FFFF00"/>
                          <w:sz w:val="21"/>
                          <w:szCs w:val="21"/>
                        </w:rPr>
                        <w:t>2</w:t>
                      </w:r>
                    </w:p>
                  </w:txbxContent>
                </v:textbox>
              </v:rect>
            </w:pict>
          </mc:Fallback>
        </mc:AlternateContent>
      </w:r>
      <w:r>
        <w:rPr>
          <w:sz w:val="21"/>
          <w:szCs w:val="24"/>
        </w:rPr>
        <mc:AlternateContent>
          <mc:Choice Requires="wps">
            <w:drawing>
              <wp:anchor distT="0" distB="0" distL="114300" distR="114300" simplePos="0" relativeHeight="251771904" behindDoc="0" locked="0" layoutInCell="1" allowOverlap="1">
                <wp:simplePos x="0" y="0"/>
                <wp:positionH relativeFrom="column">
                  <wp:posOffset>6697345</wp:posOffset>
                </wp:positionH>
                <wp:positionV relativeFrom="paragraph">
                  <wp:posOffset>5537200</wp:posOffset>
                </wp:positionV>
                <wp:extent cx="1304925" cy="381000"/>
                <wp:effectExtent l="0" t="0" r="0" b="0"/>
                <wp:wrapNone/>
                <wp:docPr id="107" name="矩形 107"/>
                <wp:cNvGraphicFramePr/>
                <a:graphic xmlns:a="http://schemas.openxmlformats.org/drawingml/2006/main">
                  <a:graphicData uri="http://schemas.microsoft.com/office/word/2010/wordprocessingShape">
                    <wps:wsp>
                      <wps:cNvSpPr/>
                      <wps:spPr>
                        <a:xfrm>
                          <a:off x="0" y="0"/>
                          <a:ext cx="1304925" cy="381000"/>
                        </a:xfrm>
                        <a:prstGeom prst="rect">
                          <a:avLst/>
                        </a:prstGeom>
                        <a:noFill/>
                        <a:ln w="25400" cap="flat" cmpd="sng" algn="ctr">
                          <a:noFill/>
                          <a:prstDash val="solid"/>
                        </a:ln>
                        <a:effectLst/>
                      </wps:spPr>
                      <wps:txbx>
                        <w:txbxContent>
                          <w:p>
                            <w:pPr>
                              <w:jc w:val="center"/>
                              <w:rPr>
                                <w:b/>
                                <w:color w:val="FFFF00"/>
                                <w:sz w:val="21"/>
                                <w:szCs w:val="21"/>
                              </w:rPr>
                            </w:pPr>
                            <w:r>
                              <w:rPr>
                                <w:rFonts w:hint="eastAsia"/>
                                <w:b/>
                                <w:color w:val="FFFF00"/>
                                <w:sz w:val="21"/>
                                <w:szCs w:val="21"/>
                              </w:rPr>
                              <w:t>规划敏感点1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7.35pt;margin-top:436pt;height:30pt;width:102.75pt;z-index:251771904;v-text-anchor:middle;mso-width-relative:page;mso-height-relative:page;" filled="f" stroked="f" coordsize="21600,21600" o:gfxdata="UEsDBAoAAAAAAIdO4kAAAAAAAAAAAAAAAAAEAAAAZHJzL1BLAwQUAAAACACHTuJAYcUX5toAAAAN&#10;AQAADwAAAGRycy9kb3ducmV2LnhtbE2PzU7DMBCE70i8g7VI3KjdUPoT4lQVAqQe2yAhbk68TQLx&#10;OordtH17tic4zuyn2ZlsfXadGHEIrScN04kCgVR521Kt4aN4e1iCCNGQNZ0n1HDBAOv89iYzqfUn&#10;2uG4j7XgEAqp0dDE2KdShqpBZ8LE90h8O/jBmchyqKUdzInDXScTpebSmZb4Q2N6fGmw+tkfnYZQ&#10;jtvi0m8+v79CVW5eyRWz7bvW93dT9Qwi4jn+wXCtz9Uh506lP5INomOtnmYLZjUsFwmvuiLJXCUg&#10;Sg2rR7Zknsn/K/JfUEsDBBQAAAAIAIdO4kAFmmwcQQIAAFoEAAAOAAAAZHJzL2Uyb0RvYy54bWyt&#10;VM1uEzEQviPxDpbvZDdpQtsomypqVYRU0UoBcXa8dnYl/2E72ZSXQeLGQ/A4iNfgs3ebRsAJcfHO&#10;eMbfzHwzs4urg1ZkL3xoranoeFRSIgy3dWu2Ff3w/vbVBSUhMlMzZY2o6KMI9Gr58sWic3MxsY1V&#10;tfAEICbMO1fRJkY3L4rAG6FZGFknDIzSes0iVL8tas86oGtVTMryddFZXztvuQgBtze9kS4zvpSC&#10;x3spg4hEVRS5xXz6fG7SWSwXbL71zDUtH9Jg/5CFZq1B0CPUDYuM7Hz7B5RuubfByjjiVhdWypaL&#10;XAOqGZe/VbNumBO5FpAT3JGm8P9g+bv9gydtjd6V55QYptGkn1++/fj+laQb8NO5MIfb2j34QQsQ&#10;U7EH6XX6ogxyyJw+HjkVh0g4Lsdn5fRyMqOEw3Z2MS7LTHrx/Nr5EN8Iq0kSKurRs0wl29+FiIhw&#10;fXJJwYy9bZXKfVOGdBWdzKbAJJxhfKRiEaJ2KCiYLSVMbTGXPPoMefI2Qd6w0JA9w2gEq9o6FYtg&#10;yqQwIg/PkEGioC86SfGwOQxMbGz9CP687QcrOH7bAviOhfjAPCYJiWE74j0OqSyytYNESWP957/d&#10;J380GFZKOkwmsvu0Y15Qot4atP5yPJ2mUc7KdHY+geJPLZtTi9npa4sKx9hDx7OY/KN6EqW3+iOW&#10;aJWiwsQMR+yes0G5jv3GYA25WK2yG8bXsXhn1o4n8L4zq120ss1NS0T17IDUpGCAM73DsqUNOdWz&#10;1/MvYf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cUX5toAAAANAQAADwAAAAAAAAABACAAAAAi&#10;AAAAZHJzL2Rvd25yZXYueG1sUEsBAhQAFAAAAAgAh07iQAWabBxBAgAAWgQAAA4AAAAAAAAAAQAg&#10;AAAAKQEAAGRycy9lMm9Eb2MueG1sUEsFBgAAAAAGAAYAWQEAANwFAAAAAA==&#10;">
                <v:fill on="f" focussize="0,0"/>
                <v:stroke on="f" weight="2pt"/>
                <v:imagedata o:title=""/>
                <o:lock v:ext="edit" aspectratio="f"/>
                <v:textbox>
                  <w:txbxContent>
                    <w:p>
                      <w:pPr>
                        <w:jc w:val="center"/>
                        <w:rPr>
                          <w:b/>
                          <w:color w:val="FFFF00"/>
                          <w:sz w:val="21"/>
                          <w:szCs w:val="21"/>
                        </w:rPr>
                      </w:pPr>
                      <w:r>
                        <w:rPr>
                          <w:rFonts w:hint="eastAsia"/>
                          <w:b/>
                          <w:color w:val="FFFF00"/>
                          <w:sz w:val="21"/>
                          <w:szCs w:val="21"/>
                        </w:rPr>
                        <w:t>规划敏感点1</w:t>
                      </w:r>
                    </w:p>
                  </w:txbxContent>
                </v:textbox>
              </v:rect>
            </w:pict>
          </mc:Fallback>
        </mc:AlternateContent>
      </w:r>
      <w:r>
        <w:rPr>
          <w:rFonts w:ascii="宋体" w:hAnsi="宋体" w:eastAsia="宋体" w:cs="宋体"/>
          <w:kern w:val="0"/>
          <w:sz w:val="24"/>
          <w:szCs w:val="24"/>
        </w:rPr>
        <mc:AlternateContent>
          <mc:Choice Requires="wps">
            <w:drawing>
              <wp:anchor distT="0" distB="0" distL="114300" distR="114300" simplePos="0" relativeHeight="251769856" behindDoc="0" locked="0" layoutInCell="1" allowOverlap="1">
                <wp:simplePos x="0" y="0"/>
                <wp:positionH relativeFrom="column">
                  <wp:posOffset>6649720</wp:posOffset>
                </wp:positionH>
                <wp:positionV relativeFrom="paragraph">
                  <wp:posOffset>3574415</wp:posOffset>
                </wp:positionV>
                <wp:extent cx="142875" cy="171450"/>
                <wp:effectExtent l="0" t="0" r="28575" b="19050"/>
                <wp:wrapNone/>
                <wp:docPr id="104" name="矩形 104"/>
                <wp:cNvGraphicFramePr/>
                <a:graphic xmlns:a="http://schemas.openxmlformats.org/drawingml/2006/main">
                  <a:graphicData uri="http://schemas.microsoft.com/office/word/2010/wordprocessingShape">
                    <wps:wsp>
                      <wps:cNvSpPr/>
                      <wps:spPr>
                        <a:xfrm>
                          <a:off x="0" y="0"/>
                          <a:ext cx="142875" cy="171450"/>
                        </a:xfrm>
                        <a:prstGeom prst="rect">
                          <a:avLst/>
                        </a:prstGeom>
                        <a:noFill/>
                        <a:ln>
                          <a:solidFill>
                            <a:srgbClr val="33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3.6pt;margin-top:281.45pt;height:13.5pt;width:11.25pt;z-index:251769856;v-text-anchor:middle;mso-width-relative:page;mso-height-relative:page;" filled="f" stroked="t" coordsize="21600,21600" o:gfxdata="UEsDBAoAAAAAAIdO4kAAAAAAAAAAAAAAAAAEAAAAZHJzL1BLAwQUAAAACACHTuJAxmyDS9wAAAAN&#10;AQAADwAAAGRycy9kb3ducmV2LnhtbE2PPU/DMBCGdyT+g3WVWCpqN4K0DnEqBGJBLLQs3S6xG0f1&#10;RxS7acqvx53o+N49eu+5cjNZQ0Y1hM47AcsFA6Jc42XnWgE/u4/HNZAQ0Uk03ikBFxVgU93flVhI&#10;f3bfatzGlqQSFwoUoGPsC0pDo5XFsPC9cml38IPFmOLQUjngOZVbQzPGcmqxc+mCxl69adUctycr&#10;4HN3+Z2/7nM+7b/m2Jua6vfxIMTDbMlegEQ1xX8YrvpJHarkVPuTk4GYlNnTKkusgOc840CuCMv5&#10;CkidRmvOgVYlvf2i+gNQSwMEFAAAAAgAh07iQOT5yRpGAgAAaQQAAA4AAABkcnMvZTJvRG9jLnht&#10;bK1U224TMRB9R+IfLL/TzYYNLVE2VZSqCKmilQri2fHa2ZV8w3ayKT+DxBsf0c9B/AbH3m0bLk+I&#10;PDgznuO5nJnZxflBK7IXPnTW1LQ8mVAiDLdNZ7Y1/fD+8sUZJSEy0zBljajpnQj0fPn82aJ3czG1&#10;rVWN8AROTJj3rqZtjG5eFIG3QrNwYp0wMErrNYtQ/bZoPOvhXatiOpm8KnrrG+ctFyHg9mIw0mX2&#10;L6Xg8VrKICJRNUVuMZ8+n5t0FssFm289c23HxzTYP2ShWWcQ9NHVBYuM7Hz3hyvdcW+DlfGEW11Y&#10;KTsucg2oppz8Vs1ty5zItYCc4B5pCv/PLX+3v/Gka9C7SUWJYRpN+vHl2/f7ryTdgJ/ehTlgt+7G&#10;j1qAmIo9SK/TP8ogh8zp3SOn4hAJx2VZTc9OZ5RwmMrTspplzounx86H+EZYTZJQU4+WZSbZ/ipE&#10;BAT0AZJiGXvZKZXbpgzpazqdVRN0ljNMj1QsQtQO9QSzpYSpLcaSR59dBqu6Jj1PjoLfbtbKkz3D&#10;aLzEb71O1SLcL7AU+4KFdsBl0whTBuhEzkBHkja2uQOd3g5zFhy/7PD+ioV4wzwGC4liWeI1Dqks&#10;srejRElr/ee/3Sc8+g0rJT0GFZV92jEvKFFvDSbhdVlVabKzUs1Op1D8sWVzbDE7vbYouMRaOp7F&#10;hI/qQZTe6o/YqVWKChMzHLEHDkdlHYcFwlZysVplGKbZsXhlbh1PzodOrXbRyi438YmdkTTMcyZ7&#10;3L20MMd6Rj19IZ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Zsg0vcAAAADQEAAA8AAAAAAAAA&#10;AQAgAAAAIgAAAGRycy9kb3ducmV2LnhtbFBLAQIUABQAAAAIAIdO4kDk+ckaRgIAAGkEAAAOAAAA&#10;AAAAAAEAIAAAACsBAABkcnMvZTJvRG9jLnhtbFBLBQYAAAAABgAGAFkBAADjBQAAAAA=&#10;">
                <v:fill on="f" focussize="0,0"/>
                <v:stroke weight="2pt" color="#3333CC [3204]" joinstyle="round"/>
                <v:imagedata o:title=""/>
                <o:lock v:ext="edit" aspectratio="f"/>
              </v:rect>
            </w:pict>
          </mc:Fallback>
        </mc:AlternateContent>
      </w:r>
      <w:r>
        <w:rPr>
          <w:rFonts w:ascii="宋体" w:hAnsi="宋体" w:eastAsia="宋体" w:cs="宋体"/>
          <w:kern w:val="0"/>
          <w:sz w:val="24"/>
          <w:szCs w:val="24"/>
        </w:rPr>
        <w:drawing>
          <wp:anchor distT="0" distB="0" distL="114300" distR="114300" simplePos="0" relativeHeight="251767808" behindDoc="0" locked="0" layoutInCell="1" allowOverlap="1">
            <wp:simplePos x="0" y="0"/>
            <wp:positionH relativeFrom="column">
              <wp:posOffset>10078720</wp:posOffset>
            </wp:positionH>
            <wp:positionV relativeFrom="paragraph">
              <wp:posOffset>1307465</wp:posOffset>
            </wp:positionV>
            <wp:extent cx="3067050" cy="6515735"/>
            <wp:effectExtent l="0" t="0" r="0" b="0"/>
            <wp:wrapNone/>
            <wp:docPr id="7" name="图片 7" descr="C:\Users\Administrator\AppData\Roaming\Tencent\Users\86197406\QQ\WinTemp\RichOle\PUENJ[Z%_N8_8MW`~A4SC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86197406\QQ\WinTemp\RichOle\PUENJ[Z%_N8_8MW`~A4SCM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67200" cy="6516000"/>
                    </a:xfrm>
                    <a:prstGeom prst="rect">
                      <a:avLst/>
                    </a:prstGeom>
                    <a:noFill/>
                    <a:ln>
                      <a:noFill/>
                    </a:ln>
                  </pic:spPr>
                </pic:pic>
              </a:graphicData>
            </a:graphic>
          </wp:anchor>
        </w:drawing>
      </w:r>
      <w:r>
        <w:rPr>
          <w:sz w:val="21"/>
          <w:szCs w:val="24"/>
        </w:rPr>
        <mc:AlternateContent>
          <mc:Choice Requires="wps">
            <w:drawing>
              <wp:anchor distT="0" distB="0" distL="114300" distR="114300" simplePos="0" relativeHeight="251628544" behindDoc="0" locked="0" layoutInCell="1" allowOverlap="1">
                <wp:simplePos x="0" y="0"/>
                <wp:positionH relativeFrom="column">
                  <wp:posOffset>4135120</wp:posOffset>
                </wp:positionH>
                <wp:positionV relativeFrom="paragraph">
                  <wp:posOffset>5337175</wp:posOffset>
                </wp:positionV>
                <wp:extent cx="409575" cy="409575"/>
                <wp:effectExtent l="0" t="0" r="0" b="0"/>
                <wp:wrapNone/>
                <wp:docPr id="85" name="矩形 85"/>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25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6pt;margin-top:420.25pt;height:32.25pt;width:32.25pt;z-index:251628544;v-text-anchor:middle;mso-width-relative:page;mso-height-relative:page;" filled="f" stroked="f" coordsize="21600,21600" o:gfxdata="UEsDBAoAAAAAAIdO4kAAAAAAAAAAAAAAAAAEAAAAZHJzL1BLAwQUAAAACACHTuJATe0aN9oAAAAL&#10;AQAADwAAAGRycy9kb3ducmV2LnhtbE2Py07DMBBF90j8gzVI7KidqukjZFJVCJC6pEFC3TnxkATi&#10;cRS7afv3mBUsR/fo3jP59mJ7MdHoO8cIyUyBIK6d6bhBeC9fHtYgfNBsdO+YEK7kYVvc3uQ6M+7M&#10;bzQdQiNiCftMI7QhDJmUvm7Jaj9zA3HMPt1odYjn2Egz6nMst72cK7WUVnccF1o90FNL9ffhZBF8&#10;Ne3L67D7+Dr6uto9sy0X+1fE+7tEPYIIdAl/MPzqR3UoolPlTmy86BGWaTKPKMJ6oVIQkVgl6QpE&#10;hbBRqQJZ5PL/D8UPUEsDBBQAAAAIAIdO4kD7damqOgIAAFcEAAAOAAAAZHJzL2Uyb0RvYy54bWyt&#10;VEuOEzEQ3SNxB8t7ppMoYWaidEbRREFII2akgFg7bjvdkn/YTjrhMkjsOATHQVyDZ3dPEgErxMap&#10;clU/V716ldndQSuyFz401pR0eDWgRBhuq8ZsS/rh/erVDSUhMlMxZY0o6VEEejd/+WLWuqkY2dqq&#10;SngCEBOmrStpHaObFkXgtdAsXFknDILSes0iXL8tKs9aoGtVjAaD10VrfeW85SIE3C67IJ1nfCkF&#10;j49SBhGJKilqi/n0+dyks5jP2HTrmasb3pfB/qEKzRqDR09QSxYZ2fnmDyjdcG+DlfGKW11YKRsu&#10;cg/oZjj4rZt1zZzIvYCc4E40hf8Hy9/tnzxpqpLeTCgxTGNGP798+/H9K8EF2GldmCJp7Z587wWY&#10;qdWD9Dr9oglyyIweT4yKQyQcl+PB7eQawByh3gZKcf7Y+RDfCKtJMkrqMbDMI9s/hNilPqekt4xd&#10;NUrhnk2VIW1JR5PxAHPlDNqRikWY2qGbYLaUMLWFKHn0GfLi2wS5ZKEmewZdBKuaKvWKupRJ2CIr&#10;p68gMdD1nKx42ByQmsyNrY4gz9tOVcHxVQPgBxbiE/OQEQrDasRHHFJZVGt7i5La+s9/u0/5mC6i&#10;lLSQJar7tGNeUKLeGsz9djgeJx1nZzy5HsHxl5HNZcTs9L1Fh0MsoePZTPlRPZvSW/0RG7RIryLE&#10;DMfbHWe9cx+7dcEOcrFY5DRo17H4YNaOJ/BuMotdtLLJQzuzA1KTA/VmevtNS+tx6ees8//B/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7Ro32gAAAAsBAAAPAAAAAAAAAAEAIAAAACIAAABkcnMv&#10;ZG93bnJldi54bWxQSwECFAAUAAAACACHTuJA+3WpqjoCAABXBAAADgAAAAAAAAABACAAAAApAQAA&#10;ZHJzL2Uyb0RvYy54bWxQSwUGAAAAAAYABgBZAQAA1QUAAAAA&#10;">
                <v:fill on="f" focussize="0,0"/>
                <v:stroke on="f" weight="2pt"/>
                <v:imagedata o:title=""/>
                <o:lock v:ext="edit" aspectratio="f"/>
                <v:textbox>
                  <w:txbxContent>
                    <w:p>
                      <w:pPr>
                        <w:jc w:val="center"/>
                        <w:rPr>
                          <w:b/>
                          <w:color w:val="FFFF00"/>
                        </w:rPr>
                      </w:pPr>
                      <w:r>
                        <w:rPr>
                          <w:b/>
                          <w:color w:val="FFFF00"/>
                        </w:rPr>
                        <w:t>25</w:t>
                      </w:r>
                    </w:p>
                  </w:txbxContent>
                </v:textbox>
              </v:rect>
            </w:pict>
          </mc:Fallback>
        </mc:AlternateContent>
      </w:r>
      <w:r>
        <w:rPr>
          <w:sz w:val="21"/>
          <w:szCs w:val="24"/>
        </w:rPr>
        <mc:AlternateContent>
          <mc:Choice Requires="wps">
            <w:drawing>
              <wp:anchor distT="0" distB="0" distL="114300" distR="114300" simplePos="0" relativeHeight="251606016" behindDoc="0" locked="0" layoutInCell="1" allowOverlap="1">
                <wp:simplePos x="0" y="0"/>
                <wp:positionH relativeFrom="column">
                  <wp:posOffset>4742180</wp:posOffset>
                </wp:positionH>
                <wp:positionV relativeFrom="paragraph">
                  <wp:posOffset>5385435</wp:posOffset>
                </wp:positionV>
                <wp:extent cx="409575" cy="408940"/>
                <wp:effectExtent l="0" t="0" r="0" b="0"/>
                <wp:wrapNone/>
                <wp:docPr id="507" name="矩形 507"/>
                <wp:cNvGraphicFramePr/>
                <a:graphic xmlns:a="http://schemas.openxmlformats.org/drawingml/2006/main">
                  <a:graphicData uri="http://schemas.microsoft.com/office/word/2010/wordprocessingShape">
                    <wps:wsp>
                      <wps:cNvSpPr/>
                      <wps:spPr>
                        <a:xfrm>
                          <a:off x="0" y="0"/>
                          <a:ext cx="409575" cy="408940"/>
                        </a:xfrm>
                        <a:prstGeom prst="rect">
                          <a:avLst/>
                        </a:prstGeom>
                        <a:noFill/>
                        <a:ln w="25400" cap="flat" cmpd="sng" algn="ctr">
                          <a:noFill/>
                          <a:prstDash val="solid"/>
                        </a:ln>
                        <a:effectLst/>
                      </wps:spPr>
                      <wps:txbx>
                        <w:txbxContent>
                          <w:p>
                            <w:pPr>
                              <w:jc w:val="center"/>
                              <w:rPr>
                                <w:b/>
                                <w:color w:val="FFFF00"/>
                              </w:rPr>
                            </w:pPr>
                            <w:r>
                              <w:rPr>
                                <w:b/>
                                <w:color w:val="FFFF00"/>
                              </w:rPr>
                              <w:t>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4pt;margin-top:424.05pt;height:32.2pt;width:32.25pt;z-index:251606016;v-text-anchor:middle;mso-width-relative:page;mso-height-relative:page;" filled="f" stroked="f" coordsize="21600,21600" o:gfxdata="UEsDBAoAAAAAAIdO4kAAAAAAAAAAAAAAAAAEAAAAZHJzL1BLAwQUAAAACACHTuJAQLHHYNoAAAAL&#10;AQAADwAAAGRycy9kb3ducmV2LnhtbE2PwU7DMBBE70j8g7VI3KjjEkoI2VQVAqQe2yAhbk68JIF4&#10;HcVu2v495gTH0Yxm3hTrkx3ETJPvHSOoRQKCuHGm5xbhrXq5yUD4oNnowTEhnMnDury8KHRu3JF3&#10;NO9DK2IJ+1wjdCGMuZS+6chqv3AjcfQ+3WR1iHJqpZn0MZbbQS6TZCWt7jkudHqkp46a7/3BIvh6&#10;3lbncfP+9eGbevPMtkq3r4jXVyp5BBHoFP7C8Isf0aGMTLU7sPFiQLhPVxE9IGRppkDERKbULYga&#10;4UEt70CWhfz/ofwBUEsDBBQAAAAIAIdO4kD32ye2QQIAAFkEAAAOAAAAZHJzL2Uyb0RvYy54bWyt&#10;VM1uEzEQviPxDpbvZDdRQpqomypqVYQU0UoFcXa8dnYl/2E72YSXQeLGQ/A4iNfgs3fbRsAJcfHO&#10;eMbfzHwzs5dXR63IQfjQWlPR8aikRBhu69bsKvrh/e2rC0pCZKZmyhpR0ZMI9Gr18sVl55ZiYhur&#10;auEJQExYdq6iTYxuWRSBN0KzMLJOGBil9ZpFqH5X1J51QNeqmJTl66KzvnbechECbm96I11lfCkF&#10;j3dSBhGJqihyi/n0+dyms1hdsuXOM9e0fEiD/UMWmrUGQZ+gblhkZO/bP6B0y70NVsYRt7qwUrZc&#10;5BpQzbj8rZqHhjmRawE5wT3RFP4fLH93uPekrSs6K+eUGKbRpJ9fvv34/pWkG/DTubCE24O794MW&#10;IKZij9Lr9EUZ5Jg5PT1xKo6RcFxOy8VsPqOEwzQtLxbTzHnx/Nj5EN8Iq0kSKurRsswkO2xCREC4&#10;PrqkWMbetkrltilDuopOZtMSneUM0yMVixC1Qz3B7Chhaoex5NFnyLO3CfKGhYYcGCYjWNXWqVYE&#10;UyaFEXl2hgwSA33NSYrH7XEgYmvrE+jztp+r4PhtC+ANC/GeeQwSEsNyxDscUllkaweJksb6z3+7&#10;T/7oL6yUdBhMZPdpz7ygRL016PxiPAWHJGZlOptPoPhzy/bcYvb62qLCMdbQ8Swm/6geRemt/ogd&#10;WqeoMDHDEbvnbFCuY78w2EIu1uvshul1LG7Mg+MJvO/Meh+tbHPTElE9OyA1KZjfTO+wa2lBzvXs&#10;9fxHW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LHHYNoAAAALAQAADwAAAAAAAAABACAAAAAi&#10;AAAAZHJzL2Rvd25yZXYueG1sUEsBAhQAFAAAAAgAh07iQPfbJ7ZBAgAAWQQAAA4AAAAAAAAAAQAg&#10;AAAAKQEAAGRycy9lMm9Eb2MueG1sUEsFBgAAAAAGAAYAWQEAANwFAAAAAA==&#10;">
                <v:fill on="f" focussize="0,0"/>
                <v:stroke on="f" weight="2pt"/>
                <v:imagedata o:title=""/>
                <o:lock v:ext="edit" aspectratio="f"/>
                <v:textbox>
                  <w:txbxContent>
                    <w:p>
                      <w:pPr>
                        <w:jc w:val="center"/>
                        <w:rPr>
                          <w:b/>
                          <w:color w:val="FFFF00"/>
                        </w:rPr>
                      </w:pPr>
                      <w:r>
                        <w:rPr>
                          <w:b/>
                          <w:color w:val="FFFF00"/>
                        </w:rPr>
                        <w:t>26</w:t>
                      </w:r>
                    </w:p>
                  </w:txbxContent>
                </v:textbox>
              </v:rect>
            </w:pict>
          </mc:Fallback>
        </mc:AlternateContent>
      </w:r>
      <w:r>
        <mc:AlternateContent>
          <mc:Choice Requires="wps">
            <w:drawing>
              <wp:anchor distT="0" distB="0" distL="114300" distR="114300" simplePos="0" relativeHeight="251608064" behindDoc="0" locked="0" layoutInCell="1" allowOverlap="1">
                <wp:simplePos x="0" y="0"/>
                <wp:positionH relativeFrom="column">
                  <wp:posOffset>5056505</wp:posOffset>
                </wp:positionH>
                <wp:positionV relativeFrom="paragraph">
                  <wp:posOffset>5739130</wp:posOffset>
                </wp:positionV>
                <wp:extent cx="78740" cy="86360"/>
                <wp:effectExtent l="0" t="0" r="16510" b="27940"/>
                <wp:wrapNone/>
                <wp:docPr id="72" name="椭圆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8.15pt;margin-top:451.9pt;height:6.8pt;width:6.2pt;z-index:251608064;v-text-anchor:middle;mso-width-relative:page;mso-height-relative:page;" fillcolor="#FFFF00" filled="t" stroked="t" coordsize="21600,21600" o:gfxdata="UEsDBAoAAAAAAIdO4kAAAAAAAAAAAAAAAAAEAAAAZHJzL1BLAwQUAAAACACHTuJAw9omUNsAAAAL&#10;AQAADwAAAGRycy9kb3ducmV2LnhtbE2Py07DMBBF90j8gzVI7KgdipoHcaoKqYJFF/SB2LrxEEfE&#10;dhQ7bdOvZ1jBcmaO7pxbLi+2YyccQuudhGQmgKGrvW5dI+GwXz9kwEJUTqvOO5QwYYBldXtTqkL7&#10;s9viaRcbRiEuFEqCibEvOA+1QavCzPfo6PblB6sijUPD9aDOFG47/ijEglvVOvpgVI8vBuvv3Wgl&#10;rFYfb/GQj/10ff0073ueTevtRsr7u0Q8A4t4iX8w/OqTOlTkdPSj04F1EtJ8MSdUQi7m1IGITGQp&#10;sCNtkvQJeFXy/x2qH1BLAwQUAAAACACHTuJApLEE6l8CAADLBAAADgAAAGRycy9lMm9Eb2MueG1s&#10;rVTNbhMxEL4j8Q6W73STkDZhlU0VpQpCimilgjhPvPauhf+wnWzKA/AUHHvlseA5GDubNgUOCLEH&#10;a/5/vpnZ2eVeK7LjPkhrKjo8G1DCDbO1NE1F379bvZhSEiKYGpQ1vKJ3PNDL+fNns86VfGRbq2ru&#10;CQYxoexcRdsYXVkUgbVcQzizjhtUCus1RGR9U9QeOoyuVTEaDC6Kzvraect4CCi9OijpPMcXgrN4&#10;LUTgkaiKYm0xvz6/m/QW8xmUjQfXStaXAf9QhQZpMOlDqCuIQLZe/hZKS+ZtsCKeMasLK4RkPPeA&#10;3QwHv3Rz24LjuRcEJ7gHmML/C8ve7m48kXVFJyNKDGic0Y/7b9+/fiEoQHQ6F0o0unU3PvUX3Nqy&#10;j4EYu2zBNHwRHGKMk0+2xRPjxITebS+8Tu7YMNln9O8e0Of7SBgKJ9PJGEfEUDO9eHmRZ1NAeXR1&#10;PsTX3GqSiIpypaQLCR0oYbcOMeWH8miVa7VK1iupVGZ8s1kqT3aAm7DCb3BMEE7NlCFdRUfnY1QT&#10;BriRQkFEUjvEKJiGElANrjqLPud+4h3+Lkkq8gpCeygmR8jwQalMqpXnxe17eoQxURtb3+HAvEUI&#10;sMLg2EpitDWEeAMeVxeFeI7xGh+hLPZie4qS1vrPf5Ine9wo1FLS4Slgn5+24Dkl6o3BXXs1HKfB&#10;xMyMzycjZPypZnOqMVu9tIjxMFeXyWQf1ZEU3uoPeLWLlBVVYBjmPiDaM8t4OFG8e8YXi2yG9+Ig&#10;rs2tYyl4wsnYxTZaIfPsH9HpFxEvJq9Ef93pJE/5bPX4D5r/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PaJlDbAAAACwEAAA8AAAAAAAAAAQAgAAAAIgAAAGRycy9kb3ducmV2LnhtbFBLAQIUABQA&#10;AAAIAIdO4kCksQTqXwIAAMsEAAAOAAAAAAAAAAEAIAAAACoBAABkcnMvZTJvRG9jLnhtbFBLBQYA&#10;AAAABgAGAFkBAAD7BQ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732992" behindDoc="0" locked="0" layoutInCell="1" allowOverlap="1">
                <wp:simplePos x="0" y="0"/>
                <wp:positionH relativeFrom="column">
                  <wp:posOffset>5573395</wp:posOffset>
                </wp:positionH>
                <wp:positionV relativeFrom="paragraph">
                  <wp:posOffset>5584825</wp:posOffset>
                </wp:positionV>
                <wp:extent cx="409575" cy="409575"/>
                <wp:effectExtent l="0" t="0" r="0" b="0"/>
                <wp:wrapNone/>
                <wp:docPr id="511" name="矩形 511"/>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17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8.85pt;margin-top:439.75pt;height:32.25pt;width:32.25pt;z-index:251732992;v-text-anchor:middle;mso-width-relative:page;mso-height-relative:page;" filled="f" stroked="f" coordsize="21600,21600" o:gfxdata="UEsDBAoAAAAAAIdO4kAAAAAAAAAAAAAAAAAEAAAAZHJzL1BLAwQUAAAACACHTuJAYgYxeNkAAAAL&#10;AQAADwAAAGRycy9kb3ducmV2LnhtbE2PwW7CMAyG75P2DpGRdhsJVbdCaYrQtE3iOIqEuKWN13Y0&#10;TtWEAm+/9LTdfsuffn/ONjfTsREH11qSsJgLYEiV1S3VEg7Fx/MSmPOKtOosoYQ7Otjkjw+ZSrW9&#10;0heOe1+zUEIuVRIa7/uUc1c1aJSb2x4p7L7tYJQP41BzPahrKDcdj4R45Ua1FC40qse3Bqvz/mIk&#10;uHLcFfd+e/w5uarcvpMp4t2nlE+zhVgD83jzfzBM+kEd8uBU2gtpxzoJyyRJAjqF1QuwQKziKAJW&#10;TiEWwPOM//8h/wVQSwMEFAAAAAgAh07iQHdnh807AgAAWQQAAA4AAABkcnMvZTJvRG9jLnhtbK1U&#10;zW4TMRC+I/EOlu90kyihNOqmiloVIVVQqSDOE6+dXcl/2E425WWQuPEQPA7iNfjs3bYRcEJcnBnP&#10;7OeZb77J+cXBaLaXIXbO1nx6MuFMWuGazm5r/uH99YtXnMVEtiHtrKz5vYz8YvX82Xnvl3LmWqcb&#10;GRhAbFz2vuZtSn5ZVVG00lA8cV5aBJULhhLcsK2aQD3Qja5mk8nLqneh8cEJGSNur4YgXxV8paRI&#10;75SKMjFdc9SWyhnKuclntTqn5TaQbzsxlkH/UIWhzuLRR6grSsR2ofsDynQiuOhUOhHOVE6pTsjS&#10;A7qZTn7r5q4lL0svICf6R5ri/4MVb/e3gXVNzRfTKWeWDIb088u3H9+/snwDfnofl0i787dh9CLM&#10;3OxBBZN/0QY7FE7vHzmVh8QELueTs8XpgjOB0GgDpXr62IeYXktnWDZqHjCywiTtb2IaUh9S8lvW&#10;XXda456W2rK+5rPFfILJCoJ6lKYE03j0E+2WM9JbyFKkUCCPvs2QVxRbticoIzrdNblX1KVtxpZF&#10;O2MFmYGh52ylw+aA1GxuXHMP+oIbdBW9uO4AfEMx3VKAkFAYliO9w6G0Q7VutDhrXfj8t/ucj/ki&#10;ylkPYaK6TzsKkjP9xmLyZ9P5PCu5OPPF6QxOOI5sjiN2Zy4dOsRsUV0xc37SD6YKznzEDq3zqwiR&#10;FXh74Gx0LtOwMNhCIdfrkgb1eko39s6LDD5MZr1LTnVlaE/sgNTsQL+F3nHX8oIc+yXr6R9h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BjF42QAAAAsBAAAPAAAAAAAAAAEAIAAAACIAAABkcnMv&#10;ZG93bnJldi54bWxQSwECFAAUAAAACACHTuJAd2eHzTsCAABZBAAADgAAAAAAAAABACAAAAAoAQAA&#10;ZHJzL2Uyb0RvYy54bWxQSwUGAAAAAAYABgBZAQAA1QUAAAAA&#10;">
                <v:fill on="f" focussize="0,0"/>
                <v:stroke on="f" weight="2pt"/>
                <v:imagedata o:title=""/>
                <o:lock v:ext="edit" aspectratio="f"/>
                <v:textbox>
                  <w:txbxContent>
                    <w:p>
                      <w:pPr>
                        <w:jc w:val="center"/>
                        <w:rPr>
                          <w:b/>
                          <w:color w:val="FFFF00"/>
                        </w:rPr>
                      </w:pPr>
                      <w:r>
                        <w:rPr>
                          <w:b/>
                          <w:color w:val="FFFF00"/>
                        </w:rPr>
                        <w:t>17</w:t>
                      </w:r>
                    </w:p>
                  </w:txbxContent>
                </v:textbox>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5575935</wp:posOffset>
                </wp:positionH>
                <wp:positionV relativeFrom="paragraph">
                  <wp:posOffset>5585460</wp:posOffset>
                </wp:positionV>
                <wp:extent cx="78740" cy="86360"/>
                <wp:effectExtent l="0" t="0" r="16510" b="27940"/>
                <wp:wrapNone/>
                <wp:docPr id="510" name="椭圆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9.05pt;margin-top:439.8pt;height:6.8pt;width:6.2pt;z-index:251730944;v-text-anchor:middle;mso-width-relative:page;mso-height-relative:page;" fillcolor="#FFFF00" filled="t" stroked="t" coordsize="21600,21600" o:gfxdata="UEsDBAoAAAAAAIdO4kAAAAAAAAAAAAAAAAAEAAAAZHJzL1BLAwQUAAAACACHTuJARRyKNNoAAAAL&#10;AQAADwAAAGRycy9kb3ducmV2LnhtbE2Py07DMBBF90j8gzVI7KiTIooT4lQVUgWLLugDsXXjIY6I&#10;x1HstE2/HmcFuzuaoztniuXFtuyEvW8cSUhnCTCkyumGagmH/fpBAPNBkVatI5QwoodleXtTqFy7&#10;M23xtAs1iyXkcyXBhNDlnPvKoFV+5jqkuPt2vVUhjn3Nda/Osdy2fJ4kC25VQ/GCUR2+Gqx+doOV&#10;sFp9vodDNnTj9e3LfOy5GNfbjZT3d2nyAizgJfzBMOlHdSij09ENpD1rJYhnkUZ0CtkCWCREljwB&#10;O07hcQ68LPj/H8pfUEsDBBQAAAAIAIdO4kB0sDowYQIAAM0EAAAOAAAAZHJzL2Uyb0RvYy54bWyt&#10;VM2O0zAQviPxDpbvbNrS/SHadFV1VYRUwUoL4jx17MTC8Rjbbbo8AE/BkSuPBc/B2E13u8ABIXKw&#10;5s8z33yeyeXVrjNsK33QaCs+PhlxJq3AWtum4u/eLp9dcBYi2BoMWlnxOxn41ezpk8velXKCLZpa&#10;ekZJbCh7V/E2RlcWRRCt7CCcoJOWnAp9B5FU3xS1h56yd6aYjEZnRY++dh6FDIGs13snn+X8SkkR&#10;3ygVZGSm4oQt5tPnc53OYnYJZePBtVoMMOAfUHSgLRW9T3UNEdjG699SdVp4DKjiicCuQKW0kLkH&#10;6mY8+qWb2xaczL0QOcHd0xT+X1rxenvjma4rfjomfix09Eg/vn77/uUzSxbip3ehpLBbd+NTh8Gt&#10;UHwIzOKiBdvIeXDEMr19ii0eBSclDNd2ynfpOrXMdpn/u3v+5S4yQcbzi/MpgRDkuTh7fparF1Ae&#10;rjof4kuJHUtCxaUx2oXED5SwXYWY6kN5iMpY0eh6qY3Jim/WC+PZFmgWlvSNDgXCcZixrK/45HRK&#10;biaAZlIZiCR2jlgKtuEMTEPDLqLPtR/dDn9XJIG8htDuweQMmT4ojU1YZR7doacHGpO0xvqOnswj&#10;UUAIgxNLTdlWEOINeBpeMtJCxjd0KIPUCw4SZy36T3+yp3iaKfJy1tMyUJ8fN+AlZ+aVpWl7MZ6m&#10;h4lZmZ6eT0jxx571scduugUSx+OMLospPpqDqDx272lv56kqucAKqr1ndFAWcb+ktPlCzuc5jDbG&#10;QVzZWydS8sSTxfkmotL57R/YGQaRdiaPxLDfaSmP9Rz18Bea/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HIo02gAAAAsBAAAPAAAAAAAAAAEAIAAAACIAAABkcnMvZG93bnJldi54bWxQSwECFAAU&#10;AAAACACHTuJAdLA6MGECAADNBAAADgAAAAAAAAABACAAAAApAQAAZHJzL2Uyb0RvYy54bWxQSwUG&#10;AAAAAAYABgBZAQAA/AU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728896" behindDoc="0" locked="0" layoutInCell="1" allowOverlap="1">
                <wp:simplePos x="0" y="0"/>
                <wp:positionH relativeFrom="column">
                  <wp:posOffset>6268720</wp:posOffset>
                </wp:positionH>
                <wp:positionV relativeFrom="paragraph">
                  <wp:posOffset>6680200</wp:posOffset>
                </wp:positionV>
                <wp:extent cx="409575" cy="409575"/>
                <wp:effectExtent l="0" t="0" r="0" b="0"/>
                <wp:wrapNone/>
                <wp:docPr id="509" name="矩形 509"/>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3.6pt;margin-top:526pt;height:32.25pt;width:32.25pt;z-index:251728896;v-text-anchor:middle;mso-width-relative:page;mso-height-relative:page;" filled="f" stroked="f" coordsize="21600,21600" o:gfxdata="UEsDBAoAAAAAAIdO4kAAAAAAAAAAAAAAAAAEAAAAZHJzL1BLAwQUAAAACACHTuJAitiV9NsAAAAO&#10;AQAADwAAAGRycy9kb3ducmV2LnhtbE2PwU7DMBBE70j8g7VI3KidiLQlxKkqBEg90iAhbk68JIF4&#10;HcVu2v492xPcdjRPszPF5uQGMeMUek8akoUCgdR421Or4b16uVuDCNGQNYMn1HDGAJvy+qowufVH&#10;esN5H1vBIRRyo6GLccylDE2HzoSFH5HY+/KTM5Hl1Eo7mSOHu0GmSi2lMz3xh86M+NRh87M/OA2h&#10;nnfVedx+fH+Gpt4+k6vud69a394k6hFExFP8g+FSn6tDyZ1qfyAbxKDhYb1KGWVDZSmvuiAqS1Yg&#10;ar6SZJmBLAv5f0b5C1BLAwQUAAAACACHTuJAFSxukDsCAABZBAAADgAAAGRycy9lMm9Eb2MueG1s&#10;rVTdrhIxEL438R2a3ssuBDyyYTkhh2BMiIcEjddDt2U36Z9tYcGXMfHOh/BxTnwNp909QNQr402Z&#10;6cx+nfnmG2b3JyXJkTvfGF3S4SCnhGtmqkbvS/rxw+rVG0p8AF2BNJqX9Mw9vZ+/fDFrbcFHpjay&#10;4o4giPZFa0tah2CLLPOs5gr8wFiuMSiMUxDQdfusctAiupLZKM9fZ61xlXWGce/xdtkF6TzhC8FZ&#10;eBTC80BkSbG2kE6Xzl08s/kMir0DWzesLwP+oQoFjcZHL1BLCEAOrvkDSjXMGW9EGDCjMiNEw3jq&#10;AbsZ5r91s63B8tQLkuPthSb//2DZ++PGkaYq6SSfUqJB4ZB+fv3+9OMbiTfIT2t9gWlbu3G959GM&#10;zZ6EU/EX2yCnxOn5wik/BcLwcpxPJ3cTShiGehtRsuvH1vnwlhtFolFShyNLTMJx7UOX+pwS39Jm&#10;1UiJ91BITdqSjibjHCfLANUjJAQ0lcV+vN5TAnKPsmTBJcibbyPkEnxNjoDK8EY2VewV65I6YvOk&#10;nb6CyEDXc7TCaXfC1GjuTHVG+pzpdOUtWzUIvAYfNuBQSFgYLkd4xENIg9Wa3qKkNu7L3+5jPs4X&#10;o5S0KEys7vMBHKdEvtM4+elwPI5KTs54cjdCx91GdrcRfVAPBjsc4hpalsyYH+SzKZxRn3CHFvFV&#10;DIFm+HbHWe88hG5hcAsZXyxSGqrXQljrrWURvJvM4hCMaNLQruwgqdFB/SZ6+12LC3Lrp6zrP8L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rYlfTbAAAADgEAAA8AAAAAAAAAAQAgAAAAIgAAAGRy&#10;cy9kb3ducmV2LnhtbFBLAQIUABQAAAAIAIdO4kAVLG6QOwIAAFkEAAAOAAAAAAAAAAEAIAAAACoB&#10;AABkcnMvZTJvRG9jLnhtbFBLBQYAAAAABgAGAFkBAADXBQAAAAA=&#10;">
                <v:fill on="f" focussize="0,0"/>
                <v:stroke on="f" weight="2pt"/>
                <v:imagedata o:title=""/>
                <o:lock v:ext="edit" aspectratio="f"/>
                <v:textbox>
                  <w:txbxContent>
                    <w:p>
                      <w:pPr>
                        <w:jc w:val="center"/>
                        <w:rPr>
                          <w:b/>
                          <w:color w:val="FFFF00"/>
                        </w:rPr>
                      </w:pPr>
                      <w:r>
                        <w:rPr>
                          <w:b/>
                          <w:color w:val="FFFF00"/>
                        </w:rPr>
                        <w:t>18</w:t>
                      </w:r>
                    </w:p>
                  </w:txbxContent>
                </v:textbox>
              </v:rect>
            </w:pict>
          </mc:Fallback>
        </mc:AlternateContent>
      </w:r>
      <w:r>
        <w:rPr>
          <w:sz w:val="21"/>
          <w:szCs w:val="24"/>
        </w:rPr>
        <mc:AlternateContent>
          <mc:Choice Requires="wps">
            <w:drawing>
              <wp:anchor distT="0" distB="0" distL="114300" distR="114300" simplePos="0" relativeHeight="251610112" behindDoc="0" locked="0" layoutInCell="1" allowOverlap="1">
                <wp:simplePos x="0" y="0"/>
                <wp:positionH relativeFrom="column">
                  <wp:posOffset>6192520</wp:posOffset>
                </wp:positionH>
                <wp:positionV relativeFrom="paragraph">
                  <wp:posOffset>5384800</wp:posOffset>
                </wp:positionV>
                <wp:extent cx="409575" cy="409575"/>
                <wp:effectExtent l="0" t="0" r="0" b="0"/>
                <wp:wrapNone/>
                <wp:docPr id="76" name="矩形 76"/>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6pt;margin-top:424pt;height:32.25pt;width:32.25pt;z-index:251610112;v-text-anchor:middle;mso-width-relative:page;mso-height-relative:page;" filled="f" stroked="f" coordsize="21600,21600" o:gfxdata="UEsDBAoAAAAAAIdO4kAAAAAAAAAAAAAAAAAEAAAAZHJzL1BLAwQUAAAACACHTuJA2HY+f9oAAAAM&#10;AQAADwAAAGRycy9kb3ducmV2LnhtbE2PQU+DQBCF7yb+h82YeLML2FpKWZrGqEmPFhPjbWGngLKz&#10;hN3S9t87Pelx8r68+V6+OdteTDj6zpGCeBaBQKqd6ahR8FG+PqQgfNBkdO8IFVzQw6a4vcl1ZtyJ&#10;3nHah0ZwCflMK2hDGDIpfd2i1X7mBiTODm60OvA5NtKM+sTltpdJFD1JqzviD60e8LnF+md/tAp8&#10;Ne3Ky7D9/P7ydbV9IVvOd29K3d/F0RpEwHP4g+Gqz+pQsFPljmS86BWslouEUQXpPOVRVyJ6XC1B&#10;VJzFyQJkkcv/I4pfUEsDBBQAAAAIAIdO4kAD7enFOwIAAFcEAAAOAAAAZHJzL2Uyb0RvYy54bWyt&#10;VEuOEzEQ3SNxB8t7ppMomTBROqNooiCkETPSgFg7bjvdkn/YTjrhMkjsOATHQVyDZ3dPEgErxMap&#10;clU/V716lfntQSuyFz401pR0eDWgRBhuq8ZsS/rh/frVa0pCZKZiyhpR0qMI9Hbx8sW8dTMxsrVV&#10;lfAEICbMWlfSOkY3K4rAa6FZuLJOGASl9ZpFuH5bVJ61QNeqGA0G10VrfeW85SIE3K66IF1kfCkF&#10;jw9SBhGJKilqi/n0+dyks1jM2Wzrmasb3pfB/qEKzRqDR09QKxYZ2fnmDyjdcG+DlfGKW11YKRsu&#10;cg/oZjj4rZunmjmRewE5wZ1oCv8Plr/bP3rSVCWdXlNimMaMfn759uP7V4ILsNO6MEPSk3v0vRdg&#10;plYP0uv0iybIITN6PDEqDpFwXI4HN5PphBKOUG8DpTh/7HyIb4TVJBkl9RhY5pHt70PsUp9T0lvG&#10;rhulcM9mypC2pKPJeIC5cgbtSMUiTO3QTTBbSpjaQpQ8+gx58W2CXLFQkz2DLoJVTZV6RV3KJGyR&#10;ldNXkBjoek5WPGwOSE3mxlZHkOdtp6rg+LoB8D0L8ZF5yAiFYTXiAw6pLKq1vUVJbf3nv92nfEwX&#10;UUpayBLVfdoxLyhRbw3mfjMcj5OOszOeTEdw/GVkcxkxO31n0eEQS+h4NlN+VM+m9FZ/xAYt06sI&#10;McPxdsdZ79zFbl2wg1wslzkN2nUs3psnxxN4N5nlLlrZ5KGd2QGpyYF6M739pqX1uPRz1vn/Y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HY+f9oAAAAMAQAADwAAAAAAAAABACAAAAAiAAAAZHJz&#10;L2Rvd25yZXYueG1sUEsBAhQAFAAAAAgAh07iQAPt6cU7AgAAVwQAAA4AAAAAAAAAAQAgAAAAKQEA&#10;AGRycy9lMm9Eb2MueG1sUEsFBgAAAAAGAAYAWQEAANYFAAAAAA==&#10;">
                <v:fill on="f" focussize="0,0"/>
                <v:stroke on="f" weight="2pt"/>
                <v:imagedata o:title=""/>
                <o:lock v:ext="edit" aspectratio="f"/>
                <v:textbox>
                  <w:txbxContent>
                    <w:p>
                      <w:pPr>
                        <w:jc w:val="center"/>
                        <w:rPr>
                          <w:b/>
                          <w:color w:val="FFFF00"/>
                        </w:rPr>
                      </w:pPr>
                      <w:r>
                        <w:rPr>
                          <w:b/>
                          <w:color w:val="FFFF00"/>
                        </w:rPr>
                        <w:t>16</w:t>
                      </w:r>
                    </w:p>
                  </w:txbxContent>
                </v:textbox>
              </v:rect>
            </w:pict>
          </mc:Fallback>
        </mc:AlternateContent>
      </w:r>
      <w:r>
        <w:rPr>
          <w:sz w:val="21"/>
          <w:szCs w:val="24"/>
        </w:rPr>
        <mc:AlternateContent>
          <mc:Choice Requires="wps">
            <w:drawing>
              <wp:anchor distT="0" distB="0" distL="114300" distR="114300" simplePos="0" relativeHeight="251636736" behindDoc="0" locked="0" layoutInCell="1" allowOverlap="1">
                <wp:simplePos x="0" y="0"/>
                <wp:positionH relativeFrom="column">
                  <wp:posOffset>5878195</wp:posOffset>
                </wp:positionH>
                <wp:positionV relativeFrom="paragraph">
                  <wp:posOffset>1155700</wp:posOffset>
                </wp:positionV>
                <wp:extent cx="409575" cy="391160"/>
                <wp:effectExtent l="0" t="0" r="0" b="0"/>
                <wp:wrapNone/>
                <wp:docPr id="90" name="矩形 90"/>
                <wp:cNvGraphicFramePr/>
                <a:graphic xmlns:a="http://schemas.openxmlformats.org/drawingml/2006/main">
                  <a:graphicData uri="http://schemas.microsoft.com/office/word/2010/wordprocessingShape">
                    <wps:wsp>
                      <wps:cNvSpPr/>
                      <wps:spPr>
                        <a:xfrm>
                          <a:off x="0" y="0"/>
                          <a:ext cx="409575" cy="391160"/>
                        </a:xfrm>
                        <a:prstGeom prst="rect">
                          <a:avLst/>
                        </a:prstGeom>
                        <a:noFill/>
                        <a:ln w="25400" cap="flat" cmpd="sng" algn="ctr">
                          <a:noFill/>
                          <a:prstDash val="solid"/>
                        </a:ln>
                        <a:effectLst/>
                      </wps:spPr>
                      <wps:txbx>
                        <w:txbxContent>
                          <w:p>
                            <w:pPr>
                              <w:jc w:val="center"/>
                              <w:rPr>
                                <w:b/>
                                <w:color w:val="FFFF00"/>
                              </w:rPr>
                            </w:pPr>
                            <w:r>
                              <w:rPr>
                                <w:b/>
                                <w:color w:val="FFFF00"/>
                              </w:rPr>
                              <w:t>3</w:t>
                            </w:r>
                            <w:r>
                              <w:rPr>
                                <w:rFonts w:hint="eastAsia"/>
                                <w:b/>
                                <w:color w:val="FFFF0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2.85pt;margin-top:91pt;height:30.8pt;width:32.25pt;z-index:251636736;v-text-anchor:middle;mso-width-relative:page;mso-height-relative:page;" filled="f" stroked="f" coordsize="21600,21600" o:gfxdata="UEsDBAoAAAAAAIdO4kAAAAAAAAAAAAAAAAAEAAAAZHJzL1BLAwQUAAAACACHTuJAyk7cy9oAAAAL&#10;AQAADwAAAGRycy9kb3ducmV2LnhtbE2PwU7DMBBE70j8g7VI3KhT05YmxKkqBEg90iAhbk68JIF4&#10;HcVu2v49y6kcV/M0+ybfnFwvJhxD50nDfJaAQKq97ajR8F6+3K1BhGjImt4TajhjgE1xfZWbzPoj&#10;veG0j43gEgqZ0dDGOGRShrpFZ8LMD0icffnRmcjn2Eg7miOXu16qJFlJZzriD60Z8KnF+md/cBpC&#10;Ne3K87D9+P4MdbV9Jlcudq9a397Mk0cQEU/xAsOfPqtDwU6VP5ANoteQquUDoxysFY9iIk0TBaLS&#10;oBb3K5BFLv9vKH4BUEsDBBQAAAAIAIdO4kDy2PocPwIAAFcEAAAOAAAAZHJzL2Uyb0RvYy54bWyt&#10;VM1uEzEQviPxDpbvZJOQtCTqpopaFSFFNFJAnB2vnV3Jf9hONuFlkLjxEH0cxGvw2bttI+CEuHhn&#10;PONvZr6Z2avro1bkIHxorCnpaDCkRBhuq8bsSvrxw92rN5SEyEzFlDWipCcR6PXi5Yur1s3F2NZW&#10;VcITgJgwb11J6xjdvCgCr4VmYWCdMDBK6zWLUP2uqDxrga5VMR4OL4rW+sp5y0UIuL3tjHSR8aUU&#10;PN5LGUQkqqTILebT53ObzmJxxeY7z1zd8D4N9g9ZaNYYBH2CumWRkb1v/oDSDfc2WBkH3OrCStlw&#10;kWtANaPhb9VsauZErgXkBPdEU/h/sPz9Ye1JU5V0BnoM0+jRz6/ffzx8I7gAO60Lczht3Nr3WoCY&#10;Sj1Kr9MXRZBjZvT0xKg4RsJxORnOppdTSjhMr2ej0UXGLJ4fOx/iW2E1SUJJPRqWeWSHVYgICNdH&#10;lxTL2LtGqdw0ZUhb0vF0MkTinGF2pGIRonaoJpgdJUztMJQ8+gx59jZB3rJQkwPDXASrmirVimDK&#10;pDAiT06fQWKgqzlJ8bg99kRsbXUCed52UxUcv2sAvGIhrpnHGCExrEa8xyGVRba2lyiprf/yt/vk&#10;j+7CSkmLsUR2n/fMC0rUO4O+z0aTSZrjrEyml2Mo/tyyPbeYvb6xqHCEJXQ8i8k/qkdReqs/YYOW&#10;KSpMzHDE7jjrlZvYrQt2kIvlMrthdh2LK7NxPIF3nVnuo5VNbloiqmMHpCYF05vp7Tctrce5nr2e&#10;/we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pO3MvaAAAACwEAAA8AAAAAAAAAAQAgAAAAIgAA&#10;AGRycy9kb3ducmV2LnhtbFBLAQIUABQAAAAIAIdO4kDy2PocPwIAAFcEAAAOAAAAAAAAAAEAIAAA&#10;ACkBAABkcnMvZTJvRG9jLnhtbFBLBQYAAAAABgAGAFkBAADaBQAAAAA=&#10;">
                <v:fill on="f" focussize="0,0"/>
                <v:stroke on="f" weight="2pt"/>
                <v:imagedata o:title=""/>
                <o:lock v:ext="edit" aspectratio="f"/>
                <v:textbox>
                  <w:txbxContent>
                    <w:p>
                      <w:pPr>
                        <w:jc w:val="center"/>
                        <w:rPr>
                          <w:b/>
                          <w:color w:val="FFFF00"/>
                        </w:rPr>
                      </w:pPr>
                      <w:r>
                        <w:rPr>
                          <w:b/>
                          <w:color w:val="FFFF00"/>
                        </w:rPr>
                        <w:t>3</w:t>
                      </w:r>
                      <w:r>
                        <w:rPr>
                          <w:rFonts w:hint="eastAsia"/>
                          <w:b/>
                          <w:color w:val="FFFF00"/>
                        </w:rPr>
                        <w:t>2</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8466455</wp:posOffset>
                </wp:positionH>
                <wp:positionV relativeFrom="paragraph">
                  <wp:posOffset>6518910</wp:posOffset>
                </wp:positionV>
                <wp:extent cx="78740" cy="86360"/>
                <wp:effectExtent l="0" t="0" r="16510" b="27940"/>
                <wp:wrapNone/>
                <wp:docPr id="469" name="椭圆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6.65pt;margin-top:513.3pt;height:6.8pt;width:6.2pt;z-index:251702272;v-text-anchor:middle;mso-width-relative:page;mso-height-relative:page;" fillcolor="#FFFF00" filled="t" stroked="t" coordsize="21600,21600" o:gfxdata="UEsDBAoAAAAAAIdO4kAAAAAAAAAAAAAAAAAEAAAAZHJzL1BLAwQUAAAACACHTuJA/UX9Tt0AAAAP&#10;AQAADwAAAGRycy9kb3ducmV2LnhtbE2PT0/DMAzF70h8h8hI3FiybpStazpNSBMcOLA/iGvWmKai&#10;Saom3VY+Pe4JfPKzn55/ztdX27AzdqH2TsJ0IoChK72uXSXheNg+LICFqJxWjXcoYcAA6+L2JleZ&#10;9he3w/M+VoxCXMiUBBNjm3EeSoNWhYlv0dHuy3dWRZJdxXWnLhRuG54IkXKrakcXjGrx2WD5ve+t&#10;hM3m4zUel307/Lx8mvcDXwzb3ZuU93dTsQIW8Rr/zDDiEzoUxHTyvdOBNaRnVOSlTiRpCmz0zOaP&#10;T8BO42wuEuBFzv//UfwCUEsDBBQAAAAIAIdO4kDVWtYLYAIAAM0EAAAOAAAAZHJzL2Uyb0RvYy54&#10;bWytVM1uEzEQviPxDpbvdJOQpukqmypKFYQU0UoFcZ547V0L/2E72ZQH4Ck4cuWx4DkYO5s2BQ4I&#10;sQdr/n++mdnZ1V4rsuM+SGsqOjwbUMINs7U0TUXfvV29mFISIpgalDW8ovc80Kv582ezzpV8ZFur&#10;au4JBjGh7FxF2xhdWRSBtVxDOLOOG1QK6zVEZH1T1B46jK5VMRoMJkVnfe28ZTwElF4flHSe4wvB&#10;WbwRIvBIVEWxtphfn99Neov5DMrGg2sl68uAf6hCgzSY9CHUNUQgWy9/C6Ul8zZYEc+Y1YUVQjKe&#10;e8BuhoNfurlrwfHcC4IT3ANM4f+FZW92t57IuqLjySUlBjQO6cfXb9+/fCZJgvh0LpRodudufeow&#10;uLVlHwIxdtmCafgiOEQZZ59siyfGiQm92154ndyxZbLP+N8/4M/3kTAUXkwvxjgkhprp5OUkT6eA&#10;8ujqfIivuNUkERXlSkkXEj5Qwm4dYsoP5dEq12qVrFdSqcz4ZrNUnuwAd2GF3+CYIJyaKUO6io7O&#10;x6gmDHAnhYKIpHaIUjANJaAaXHYWfc79xDv8XZJU5DWE9lBMjpDhg1KZVCvPq9v39Ahjoja2vseR&#10;eYsQYIXBsZXEaGsI8RY8Li8K8SDjDT5CWezF9hQlrfWf/iRP9rhTqKWkw2PAPj9uwXNK1GuD23Y5&#10;HKfBxMyMzy9GyPhTzeZUY7Z6aRHjYa4uk8k+qiMpvNXv8W4XKSuqwDDMfUC0Z5bxcKR4+YwvFtkM&#10;L8ZBXJs7x1LwhJOxi220QubZP6LTLyLeTF6J/r7TUZ7y2erxLzT/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1F/U7dAAAADwEAAA8AAAAAAAAAAQAgAAAAIgAAAGRycy9kb3ducmV2LnhtbFBLAQIU&#10;ABQAAAAIAIdO4kDVWtYLYAIAAM0EAAAOAAAAAAAAAAEAIAAAACwBAABkcnMvZTJvRG9jLnhtbFBL&#10;BQYAAAAABgAGAFkBAAD+BQ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560960" behindDoc="0" locked="0" layoutInCell="1" allowOverlap="1">
                <wp:simplePos x="0" y="0"/>
                <wp:positionH relativeFrom="column">
                  <wp:posOffset>7948930</wp:posOffset>
                </wp:positionH>
                <wp:positionV relativeFrom="paragraph">
                  <wp:posOffset>3521710</wp:posOffset>
                </wp:positionV>
                <wp:extent cx="409575" cy="352425"/>
                <wp:effectExtent l="0" t="0" r="0" b="0"/>
                <wp:wrapNone/>
                <wp:docPr id="464" name="矩形 464"/>
                <wp:cNvGraphicFramePr/>
                <a:graphic xmlns:a="http://schemas.openxmlformats.org/drawingml/2006/main">
                  <a:graphicData uri="http://schemas.microsoft.com/office/word/2010/wordprocessingShape">
                    <wps:wsp>
                      <wps:cNvSpPr/>
                      <wps:spPr>
                        <a:xfrm>
                          <a:off x="0" y="0"/>
                          <a:ext cx="409575" cy="352425"/>
                        </a:xfrm>
                        <a:prstGeom prst="rect">
                          <a:avLst/>
                        </a:prstGeom>
                        <a:noFill/>
                        <a:ln w="25400" cap="flat" cmpd="sng" algn="ctr">
                          <a:noFill/>
                          <a:prstDash val="solid"/>
                        </a:ln>
                        <a:effectLst/>
                      </wps:spPr>
                      <wps:txbx>
                        <w:txbxContent>
                          <w:p>
                            <w:pPr>
                              <w:jc w:val="center"/>
                              <w:rPr>
                                <w:b/>
                                <w:color w:val="FFFF00"/>
                              </w:rPr>
                            </w:pPr>
                            <w:r>
                              <w:rPr>
                                <w:rFonts w:hint="eastAsia"/>
                                <w:b/>
                                <w:color w:val="FFFF00"/>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5.9pt;margin-top:277.3pt;height:27.75pt;width:32.25pt;z-index:251560960;v-text-anchor:middle;mso-width-relative:page;mso-height-relative:page;" filled="f" stroked="f" coordsize="21600,21600" o:gfxdata="UEsDBAoAAAAAAIdO4kAAAAAAAAAAAAAAAAAEAAAAZHJzL1BLAwQUAAAACACHTuJAJxKZedoAAAAN&#10;AQAADwAAAGRycy9kb3ducmV2LnhtbE2PwW7CMBBE75X4B2uReiu2gURVGgchRCtxLKlU9ebE2yRt&#10;vI5iE+Dva07lOJrRzJt8c7E9m3D0nSMFciGAIdXOdNQo+Chfn56B+aDJ6N4RKriih00xe8h1ZtyZ&#10;3nE6hobFEvKZVtCGMGSc+7pFq/3CDUjR+3aj1SHKseFm1OdYbnu+FCLlVncUF1o94K7F+vd4sgp8&#10;NR3K67D9/PnydbXdky3XhzelHudSvAALeAn/YbjhR3QoIlPlTmQ866NeJjKyBwVJsk6B3SIrma6A&#10;VQpSKSTwIuf3L4o/UEsDBBQAAAAIAIdO4kA+56yNQAIAAFkEAAAOAAAAZHJzL2Uyb0RvYy54bWyt&#10;VM2O0zAQviPxDpbvNG1Idtmq6araqgipYlcqiPPUsZtI/sN2m5aXQeLGQ+zjIF6DsZPtVsAJcXFn&#10;PJPPM99809ntUUly4M63Rld0MhpTwjUzdat3Ff34YfXqDSU+gK5BGs0reuKe3s5fvph1dspz0xhZ&#10;c0cQRPtpZyvahGCnWeZZwxX4kbFcY1AYpyCg63ZZ7aBDdCWzfDy+yjrjausM497j7bIP0nnCF4Kz&#10;cC+E54HIimJtIZ0undt4ZvMZTHcObNOyoQz4hyoUtBofPUMtIQDZu/YPKNUyZ7wRYcSMyowQLeOp&#10;B+xmMv6tm00DlqdekBxvzzT5/wfL3h8eHGnrihZXBSUaFA7p59fvPx6/kXiD/HTWTzFtYx/c4Hk0&#10;Y7NH4VT8xTbIMXF6OnPKj4EwvCzGN+V1SQnD0OsyL/IyYmbPH1vnw1tuFIlGRR2OLDEJh7UPfepT&#10;SnxLm1UrJd7DVGrSVTQvizFOlgGqR0gIaCqL/Xi9owTkDmXJgkuQF99GyCX4hhwAleGNbOuhLqkj&#10;Nk/aGSqIDPQ9Rysct8eBiK2pT0ifM72uvGWrFoHX4MMDOBQSFobLEe7xENJgtWawKGmM+/K3+5iP&#10;88UoJR0KE6v7vAfHKZHvNE7+ZlIUUcnJKcrrHB13GdleRvRe3RnscIJraFkyY36QT6ZwRn3CHVrE&#10;VzEEmuHbPWeDcxf6hcEtZHyxSGmoXgthrTeWRfB+Mot9MKJNQ4tE9ezgsKOD+k1jH3YtLsiln7Ke&#10;/xH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Epl52gAAAA0BAAAPAAAAAAAAAAEAIAAAACIA&#10;AABkcnMvZG93bnJldi54bWxQSwECFAAUAAAACACHTuJAPuesjUACAABZBAAADgAAAAAAAAABACAA&#10;AAApAQAAZHJzL2Uyb0RvYy54bWxQSwUGAAAAAAYABgBZAQAA2wUAAAAA&#10;">
                <v:fill on="f" focussize="0,0"/>
                <v:stroke on="f" weight="2pt"/>
                <v:imagedata o:title=""/>
                <o:lock v:ext="edit" aspectratio="f"/>
                <v:textbox>
                  <w:txbxContent>
                    <w:p>
                      <w:pPr>
                        <w:jc w:val="center"/>
                        <w:rPr>
                          <w:b/>
                          <w:color w:val="FFFF00"/>
                        </w:rPr>
                      </w:pPr>
                      <w:r>
                        <w:rPr>
                          <w:rFonts w:hint="eastAsia"/>
                          <w:b/>
                          <w:color w:val="FFFF00"/>
                        </w:rPr>
                        <w:t>3</w:t>
                      </w:r>
                    </w:p>
                  </w:txbxContent>
                </v:textbox>
              </v:rect>
            </w:pict>
          </mc:Fallback>
        </mc:AlternateContent>
      </w:r>
      <w:r>
        <mc:AlternateContent>
          <mc:Choice Requires="wps">
            <w:drawing>
              <wp:anchor distT="0" distB="0" distL="114300" distR="114300" simplePos="0" relativeHeight="251554816" behindDoc="0" locked="0" layoutInCell="1" allowOverlap="1">
                <wp:simplePos x="0" y="0"/>
                <wp:positionH relativeFrom="column">
                  <wp:posOffset>8124190</wp:posOffset>
                </wp:positionH>
                <wp:positionV relativeFrom="paragraph">
                  <wp:posOffset>3483610</wp:posOffset>
                </wp:positionV>
                <wp:extent cx="78740" cy="86360"/>
                <wp:effectExtent l="0" t="0" r="16510" b="27940"/>
                <wp:wrapNone/>
                <wp:docPr id="461" name="椭圆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9.7pt;margin-top:274.3pt;height:6.8pt;width:6.2pt;z-index:251554816;v-text-anchor:middle;mso-width-relative:page;mso-height-relative:page;" fillcolor="#FFFF00" filled="t" stroked="t" coordsize="21600,21600" o:gfxdata="UEsDBAoAAAAAAIdO4kAAAAAAAAAAAAAAAAAEAAAAZHJzL1BLAwQUAAAACACHTuJAnDyyCNwAAAAN&#10;AQAADwAAAGRycy9kb3ducmV2LnhtbE2PzU7DMBCE70i8g7VI3KiTqIQkjVNVSBUcONAfxNWNt3FE&#10;bEex0zY8PdtTOc7sp9mZcnkxHTvh4FtnBcSzCBja2qnWNgL2u/VTBswHaZXsnEUBE3pYVvd3pSyU&#10;O9sNnrahYRRifSEF6BD6gnNfazTSz1yPlm5HNxgZSA4NV4M8U7jpeBJFKTeytfRByx5fNdY/29EI&#10;WK2+3sM+H/vp9+1bf+54Nq03H0I8PsTRAljAS7jBcK1P1aGiTgc3WuVZRzp5yefECnieZymwK5Lk&#10;Mc05kJUmCfCq5P9XVH9QSwMEFAAAAAgAh07iQBT+5RVjAgAAzQQAAA4AAABkcnMvZTJvRG9jLnht&#10;bK1UzW4TMRC+I/EOlu90k5CmYZVNFaUKQopopYI4T7z2roX/sJ1sygPwFBx75bHgORg7mzYFDgix&#10;B2vGM56fb77Z2eVeK7LjPkhrKjo8G1DCDbO1NE1F379bvZhSEiKYGpQ1vKJ3PNDL+fNns86VfGRb&#10;q2ruCQYxoexcRdsYXVkUgbVcQzizjhs0Cus1RFR9U9QeOoyuVTEaDCZFZ33tvGU8BLy9OhjpPMcX&#10;grN4LUTgkaiKYm0xnz6fm3QW8xmUjQfXStaXAf9QhQZpMOlDqCuIQLZe/hZKS+ZtsCKeMasLK4Rk&#10;PPeA3QwHv3Rz24LjuRcEJ7gHmML/C8ve7m48kXVFx5MhJQY0DunH/bfvX7+QdIP4dC6U6Hbrbnzq&#10;MLi1ZR8DMXbZgmn4IjhEGWeffIsnzkkJ/bO98Do9x5bJPuN/94A/30fC8PJiejHGITG0TCcvJ3k6&#10;BZTHp86H+JpbTZJQUa6UdCHhAyXs1iGm/FAevXKtVsl6JZXKim82S+XJDpALK/wGxwTh1E0Z0lV0&#10;dD5GM2GAnBQKIoraIUrBNJSAapDsLPqc+8nr8HdJUpFXENpDMTlChg9KZVKtPFO37+kRxiRtbH2H&#10;I/MWIcAKg2MridHWEOINeCQvXuJCxms8hLLYi+0lSlrrP//pPvkjp9BKSYfLgH1+2oLnlKg3Btn2&#10;ajhOg4lZGZ9fjFDxp5bNqcVs9dIixsgnrC6LyT+qoyi81R9wbxcpK5rAMMx9QLRXlvGwpLj5jC8W&#10;2Q03xkFcm1vHUvCEk7GLbbRC5tk/otMTEXcmU6Lf77SUp3r2evwLzX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DyyCNwAAAANAQAADwAAAAAAAAABACAAAAAiAAAAZHJzL2Rvd25yZXYueG1sUEsB&#10;AhQAFAAAAAgAh07iQBT+5RVjAgAAzQQAAA4AAAAAAAAAAQAgAAAAKwEAAGRycy9lMm9Eb2MueG1s&#10;UEsFBgAAAAAGAAYAWQEAAAAG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558912" behindDoc="0" locked="0" layoutInCell="1" allowOverlap="1">
                <wp:simplePos x="0" y="0"/>
                <wp:positionH relativeFrom="column">
                  <wp:posOffset>7496810</wp:posOffset>
                </wp:positionH>
                <wp:positionV relativeFrom="paragraph">
                  <wp:posOffset>3541395</wp:posOffset>
                </wp:positionV>
                <wp:extent cx="409575" cy="361950"/>
                <wp:effectExtent l="0" t="0" r="0" b="0"/>
                <wp:wrapNone/>
                <wp:docPr id="463" name="矩形 463"/>
                <wp:cNvGraphicFramePr/>
                <a:graphic xmlns:a="http://schemas.openxmlformats.org/drawingml/2006/main">
                  <a:graphicData uri="http://schemas.microsoft.com/office/word/2010/wordprocessingShape">
                    <wps:wsp>
                      <wps:cNvSpPr/>
                      <wps:spPr>
                        <a:xfrm>
                          <a:off x="0" y="0"/>
                          <a:ext cx="409575" cy="361950"/>
                        </a:xfrm>
                        <a:prstGeom prst="rect">
                          <a:avLst/>
                        </a:prstGeom>
                        <a:noFill/>
                        <a:ln w="25400" cap="flat" cmpd="sng" algn="ctr">
                          <a:noFill/>
                          <a:prstDash val="solid"/>
                        </a:ln>
                        <a:effectLst/>
                      </wps:spPr>
                      <wps:txbx>
                        <w:txbxContent>
                          <w:p>
                            <w:pPr>
                              <w:jc w:val="center"/>
                              <w:rPr>
                                <w:b/>
                                <w:color w:val="FFFF00"/>
                              </w:rPr>
                            </w:pPr>
                            <w:r>
                              <w:rPr>
                                <w:rFonts w:hint="eastAsia"/>
                                <w:b/>
                                <w:color w:val="FFFF00"/>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0.3pt;margin-top:278.85pt;height:28.5pt;width:32.25pt;z-index:251558912;v-text-anchor:middle;mso-width-relative:page;mso-height-relative:page;" filled="f" stroked="f" coordsize="21600,21600" o:gfxdata="UEsDBAoAAAAAAIdO4kAAAAAAAAAAAAAAAAAEAAAAZHJzL1BLAwQUAAAACACHTuJAYltO1NoAAAAN&#10;AQAADwAAAGRycy9kb3ducmV2LnhtbE2Py07DMBBF90j8gzVI7KjtKo8qxKkqBEhd0iAhdk48JIF4&#10;HMVu2v497gqWV3N075lye7YjW3D2gyMFciWAIbXODNQpeK9fHjbAfNBk9OgIFVzQw7a6vSl1YdyJ&#10;3nA5hI7FEvKFVtCHMBWc+7ZHq/3KTUjx9uVmq0OMc8fNrE+x3I58LUTGrR4oLvR6wqce25/D0Srw&#10;zbKvL9Pu4/vTt83umWyd7F+Vur+T4hFYwHP4g+GqH9Whik6NO5LxbIxZbkQWWQVpmufArsg6SSWw&#10;RkEmkxx4VfL/X1S/UEsDBBQAAAAIAIdO4kBty7XoQQIAAFkEAAAOAAAAZHJzL2Uyb0RvYy54bWyt&#10;VM2O0zAQviPxDpbvNGk37dKq6araqgipYlcqiLPr2E0k22Nst2l5GSRuPASPg3gNxk62WwEnxMWZ&#10;8Yzn55tvMr87aUWOwvkGTEmHg5wSYThUjdmX9MP79avXlPjATMUUGFHSs/D0bvHyxby1MzGCGlQl&#10;HMEgxs9aW9I6BDvLMs9roZkfgBUGjRKcZgFVt88qx1qMrlU2yvNJ1oKrrAMuvMfbVWekixRfSsHD&#10;g5ReBKJKirWFdLp07uKZLeZstnfM1g3vy2D/UIVmjcGkl1ArFhg5uOaPULrhDjzIMOCgM5Cy4SL1&#10;gN0M89+62dbMitQLguPtBSb//8Lyd8dHR5qqpMXkhhLDNA7p55dvP75/JfEG8Wmtn6Hb1j66XvMo&#10;xmZP0un4xTbIKWF6vmAqToFwvCzy6fh2TAlH081kOB0nzLPnx9b58EaAJlEoqcORJSTZceMDJkTX&#10;J5eYy8C6USqNTRnSlnQ0LnKcLGfIHqlYQFFb7MebPSVM7ZGWPLgU8uptDLliviZHhszwoJoq9orJ&#10;lIlpROJOX0FEoOs5SuG0O/VA7KA6I3wOOl55y9cNBt4wHx6ZQyJhYbgc4QEPqQCrhV6ipAb3+W/3&#10;0R/ni1ZKWiQmVvfpwJygRL01OPnpsCgik5NSjG9HqLhry+7aYg76HrDDIa6h5UmM/kE9idKB/og7&#10;tIxZ0cQMx9wdZr1yH7qFwS3kYrlMbshey8LGbC2PwbvJLA8BZJOGFoHq0EFQo4L8TfD2uxYX5FpP&#10;Xs9/hM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ltO1NoAAAANAQAADwAAAAAAAAABACAAAAAi&#10;AAAAZHJzL2Rvd25yZXYueG1sUEsBAhQAFAAAAAgAh07iQG3LtehBAgAAWQQAAA4AAAAAAAAAAQAg&#10;AAAAKQEAAGRycy9lMm9Eb2MueG1sUEsFBgAAAAAGAAYAWQEAANwFAAAAAA==&#10;">
                <v:fill on="f" focussize="0,0"/>
                <v:stroke on="f" weight="2pt"/>
                <v:imagedata o:title=""/>
                <o:lock v:ext="edit" aspectratio="f"/>
                <v:textbox>
                  <w:txbxContent>
                    <w:p>
                      <w:pPr>
                        <w:jc w:val="center"/>
                        <w:rPr>
                          <w:b/>
                          <w:color w:val="FFFF00"/>
                        </w:rPr>
                      </w:pPr>
                      <w:r>
                        <w:rPr>
                          <w:rFonts w:hint="eastAsia"/>
                          <w:b/>
                          <w:color w:val="FFFF00"/>
                        </w:rPr>
                        <w:t>2</w:t>
                      </w:r>
                    </w:p>
                  </w:txbxContent>
                </v:textbox>
              </v:rect>
            </w:pict>
          </mc:Fallback>
        </mc:AlternateContent>
      </w:r>
      <w:r>
        <mc:AlternateContent>
          <mc:Choice Requires="wps">
            <w:drawing>
              <wp:anchor distT="0" distB="0" distL="114300" distR="114300" simplePos="0" relativeHeight="251552768" behindDoc="0" locked="0" layoutInCell="1" allowOverlap="1">
                <wp:simplePos x="0" y="0"/>
                <wp:positionH relativeFrom="column">
                  <wp:posOffset>7778115</wp:posOffset>
                </wp:positionH>
                <wp:positionV relativeFrom="paragraph">
                  <wp:posOffset>3569970</wp:posOffset>
                </wp:positionV>
                <wp:extent cx="78740" cy="86360"/>
                <wp:effectExtent l="0" t="0" r="16510" b="27940"/>
                <wp:wrapNone/>
                <wp:docPr id="460" name="椭圆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2.45pt;margin-top:281.1pt;height:6.8pt;width:6.2pt;z-index:251552768;v-text-anchor:middle;mso-width-relative:page;mso-height-relative:page;" fillcolor="#FFFF00" filled="t" stroked="t" coordsize="21600,21600" o:gfxdata="UEsDBAoAAAAAAIdO4kAAAAAAAAAAAAAAAAAEAAAAZHJzL1BLAwQUAAAACACHTuJAdKv6R90AAAAN&#10;AQAADwAAAGRycy9kb3ducmV2LnhtbE2Py07DMBBF95X4B2uQ2LVOXdqmIU5VIVWwYEEfiK0bD3FE&#10;PI5ip234etwVLO/M0Z0z+fpqG3bGzteOJEwnCTCk0umaKgnHw3acAvNBkVaNI5QwoId1cTfKVabd&#10;hXZ43oeKxRLymZJgQmgzzn1p0Co/cS1S3H25zqoQY1dx3alLLLcNF0my4FbVFC8Y1eKzwfJ731sJ&#10;m83Haziu+nb4efk07weeDtvdm5QP99PkCVjAa/iD4aYf1aGITifXk/asiVmIx1VkJcwXQgC7IWK2&#10;nAE7xdFyngIvcv7/i+IXUEsDBBQAAAAIAIdO4kBEqk0tYAIAAM0EAAAOAAAAZHJzL2Uyb0RvYy54&#10;bWytVM1uEzEQviPxDpbvdJOQ/rDqpopSBSFFtFJBnCde766F7TG2k015AJ6CY688FjwHY2fbpsAB&#10;IfZgzf/PNzN7frEzmm2lDwptxcdHI86kFVgr21b8/bvlizPOQgRbg0YrK34rA7+YPX923rtSTrBD&#10;XUvPKIgNZe8q3sXoyqIIopMGwhE6aUnZoDcQifVtUXvoKbrRxWQ0Oil69LXzKGQIJL3cK/ksx28a&#10;KeJV0wQZma441Rbz6/O7Tm8xO4ey9eA6JYYy4B+qMKAsJX0IdQkR2Mar30IZJTwGbOKRQFNg0ygh&#10;cw/UzXj0Szc3HTiZeyFwgnuAKfy/sOLt9tozVVd8ekL4WDA0pB93375//cKShPDpXSjJ7MZd+9Rh&#10;cCsUHwOzuOjAtnIeHKFMs0+2xRPjxITBbdd4k9ypZbbL+N8+4C93kQkSnp6dTqkIQZqzk5f77AWU&#10;967Oh/haomGJqLjUWrmQ8IEStqsQU34o761yrahVvVRaZ8a364X2bAu0C0v6Rrk9cgmHZtqyvuKT&#10;4ympmQDayUZDJNI4QinYljPQLS27iD7nfuId/i5JKvISQrcvJkfI8EGpbapV5tUdenqEMVFrrG9p&#10;ZB4JAqowOLFUFG0FIV6Dp+UlIR1kvKKn0Ui94EBx1qH//Cd5sqedIi1nPR0D9flpA15ypt9Y2rZX&#10;42kaTMzM9Ph0Qow/1KwPNXZjFkgYj3N1mUz2Ud+TjUfzge52nrKSCqyg3HtEB2YR90dKly/kfJ7N&#10;6GIcxJW9cSIFTzhZnG8iNirP/hGdYRHpZvJKDPedjvKQz1aPf6HZ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Sr+kfdAAAADQEAAA8AAAAAAAAAAQAgAAAAIgAAAGRycy9kb3ducmV2LnhtbFBLAQIU&#10;ABQAAAAIAIdO4kBEqk0tYAIAAM0EAAAOAAAAAAAAAAEAIAAAACwBAABkcnMvZTJvRG9jLnhtbFBL&#10;BQYAAAAABgAGAFkBAAD+BQAAAAA=&#10;">
                <v:fill on="t" focussize="0,0"/>
                <v:stroke weight="2pt" color="#FFFF00" joinstyle="round"/>
                <v:imagedata o:title=""/>
                <o:lock v:ext="edit" aspectratio="t"/>
              </v:shape>
            </w:pict>
          </mc:Fallback>
        </mc:AlternateContent>
      </w:r>
      <w:r>
        <w:rPr>
          <w:b/>
        </w:rPr>
        <mc:AlternateContent>
          <mc:Choice Requires="wps">
            <w:drawing>
              <wp:anchor distT="0" distB="0" distL="114300" distR="114300" simplePos="0" relativeHeight="251649024" behindDoc="0" locked="0" layoutInCell="1" allowOverlap="1">
                <wp:simplePos x="0" y="0"/>
                <wp:positionH relativeFrom="column">
                  <wp:posOffset>910590</wp:posOffset>
                </wp:positionH>
                <wp:positionV relativeFrom="paragraph">
                  <wp:posOffset>7107555</wp:posOffset>
                </wp:positionV>
                <wp:extent cx="1162050" cy="397510"/>
                <wp:effectExtent l="0" t="0" r="0" b="0"/>
                <wp:wrapNone/>
                <wp:docPr id="137" name="矩形 137"/>
                <wp:cNvGraphicFramePr/>
                <a:graphic xmlns:a="http://schemas.openxmlformats.org/drawingml/2006/main">
                  <a:graphicData uri="http://schemas.microsoft.com/office/word/2010/wordprocessingShape">
                    <wps:wsp>
                      <wps:cNvSpPr/>
                      <wps:spPr>
                        <a:xfrm>
                          <a:off x="0" y="0"/>
                          <a:ext cx="1162050" cy="397510"/>
                        </a:xfrm>
                        <a:prstGeom prst="rect">
                          <a:avLst/>
                        </a:prstGeom>
                        <a:noFill/>
                        <a:ln w="25400" cap="flat" cmpd="sng" algn="ctr">
                          <a:noFill/>
                          <a:prstDash val="solid"/>
                        </a:ln>
                        <a:effectLst/>
                      </wps:spPr>
                      <wps:txbx>
                        <w:txbxContent>
                          <w:p>
                            <w:pPr>
                              <w:jc w:val="center"/>
                              <w:rPr>
                                <w:rFonts w:eastAsiaTheme="minorEastAsia"/>
                                <w:b/>
                                <w:color w:val="FF0000"/>
                                <w:sz w:val="24"/>
                                <w:szCs w:val="24"/>
                              </w:rPr>
                            </w:pPr>
                            <w:r>
                              <w:rPr>
                                <w:rFonts w:eastAsiaTheme="minorEastAsia"/>
                                <w:b/>
                                <w:color w:val="FF0000"/>
                                <w:sz w:val="24"/>
                                <w:szCs w:val="24"/>
                              </w:rPr>
                              <w:t>1km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7pt;margin-top:559.65pt;height:31.3pt;width:91.5pt;z-index:251649024;v-text-anchor:middle;mso-width-relative:page;mso-height-relative:page;" filled="f" stroked="f" coordsize="21600,21600" o:gfxdata="UEsDBAoAAAAAAIdO4kAAAAAAAAAAAAAAAAAEAAAAZHJzL1BLAwQUAAAACACHTuJA2ru4GdkAAAAN&#10;AQAADwAAAGRycy9kb3ducmV2LnhtbE2PQU/DMAyF70j8h8hI3FiatZq20nSaECDtyIqEuKWNaQuN&#10;UzVZt/17vBPc/J6fnj8X27MbxIxT6D1pUIsEBFLjbU+thvfq5WENIkRD1gyeUMMFA2zL25vC5Naf&#10;6A3nQ2wFl1DIjYYuxjGXMjQdOhMWfkTi3ZefnIksp1bayZy43A1ymSQr6UxPfKEzIz512Pwcjk5D&#10;qOd9dRl3H9+foal3z+SqbP+q9f2dSh5BRDzHvzBc8RkdSmaq/ZFsEAPrLM04yoNSmxQER9Lliq36&#10;aq3VBmRZyP9flL9QSwMEFAAAAAgAh07iQGCc0UlBAgAAWgQAAA4AAABkcnMvZTJvRG9jLnhtbK1U&#10;zW4TMRC+I/EOlu90s2nS0qibKmpVhBTRSgFxdrx2diX/YTvZhJdB4sZD8DiI1+Czd5tGwAlx8c54&#10;xt/MfDOz1zd7rchO+NBaU9HybESJMNzWrdlU9MP7+1evKQmRmZopa0RFDyLQm/nLF9edm4mxbayq&#10;hScAMWHWuYo2MbpZUQTeCM3CmXXCwCit1yxC9Zui9qwDulbFeDS6KDrra+ctFyHg9q430nnGl1Lw&#10;+CBlEJGoiiK3mE+fz3U6i/k1m208c03LhzTYP2ShWWsQ9Ah1xyIjW9/+AaVb7m2wMp5xqwsrZctF&#10;rgHVlKPfqlk1zIlcC8gJ7khT+H+w/N3u0ZO2Ru/OLykxTKNJP798+/H9K0k34KdzYQa3lXv0gxYg&#10;pmL30uv0RRlknzk9HDkV+0g4LsvyYjyagnoO2/nV5bTMpBfPr50P8Y2wmiShoh49y1Sy3TJERITr&#10;k0sKZux9q1TumzKkq+h4OhklfIbxkYpFiNqhoGA2lDC1wVzy6DPkydsEecdCQ3YMoxGsautULIIp&#10;k8KIPDxDBomCvugkxf16PzCxtvUB/HnbD1Zw/L4F8JKF+Mg8JgmJYTviAw6pLLK1g0RJY/3nv90n&#10;fzQYVko6TCay+7RlXlCi3hq0/qqcTNIoZ2UyvRxD8aeW9anFbPWtRYUl9tDxLCb/qJ5E6a3+iCVa&#10;pKgwMcMRu+dsUG5jvzFYQy4Wi+yG8XUsLs3K8QTed2axjVa2uWmJqJ4dkJoUDHCmd1i2tCGnevZ6&#10;/iXM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u7gZ2QAAAA0BAAAPAAAAAAAAAAEAIAAAACIA&#10;AABkcnMvZG93bnJldi54bWxQSwECFAAUAAAACACHTuJAYJzRSUECAABaBAAADgAAAAAAAAABACAA&#10;AAAoAQAAZHJzL2Uyb0RvYy54bWxQSwUGAAAAAAYABgBZAQAA2wUAAAAA&#10;">
                <v:fill on="f" focussize="0,0"/>
                <v:stroke on="f" weight="2pt"/>
                <v:imagedata o:title=""/>
                <o:lock v:ext="edit" aspectratio="f"/>
                <v:textbox>
                  <w:txbxContent>
                    <w:p>
                      <w:pPr>
                        <w:jc w:val="center"/>
                        <w:rPr>
                          <w:rFonts w:eastAsiaTheme="minorEastAsia"/>
                          <w:b/>
                          <w:color w:val="FF0000"/>
                          <w:sz w:val="24"/>
                          <w:szCs w:val="24"/>
                        </w:rPr>
                      </w:pPr>
                      <w:r>
                        <w:rPr>
                          <w:rFonts w:eastAsiaTheme="minorEastAsia"/>
                          <w:b/>
                          <w:color w:val="FF0000"/>
                          <w:sz w:val="24"/>
                          <w:szCs w:val="24"/>
                        </w:rPr>
                        <w:t>1km</w:t>
                      </w:r>
                    </w:p>
                  </w:txbxContent>
                </v:textbox>
              </v:rect>
            </w:pict>
          </mc:Fallback>
        </mc:AlternateContent>
      </w:r>
      <w:r>
        <w:rPr>
          <w:sz w:val="21"/>
          <w:szCs w:val="24"/>
        </w:rPr>
        <mc:AlternateContent>
          <mc:Choice Requires="wps">
            <w:drawing>
              <wp:anchor distT="0" distB="0" distL="114300" distR="114300" simplePos="0" relativeHeight="251726848" behindDoc="0" locked="0" layoutInCell="1" allowOverlap="1">
                <wp:simplePos x="0" y="0"/>
                <wp:positionH relativeFrom="column">
                  <wp:posOffset>3287395</wp:posOffset>
                </wp:positionH>
                <wp:positionV relativeFrom="paragraph">
                  <wp:posOffset>1064895</wp:posOffset>
                </wp:positionV>
                <wp:extent cx="409575" cy="381000"/>
                <wp:effectExtent l="0" t="0" r="0" b="0"/>
                <wp:wrapNone/>
                <wp:docPr id="508" name="矩形 508"/>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34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85pt;margin-top:83.85pt;height:30pt;width:32.25pt;z-index:251726848;v-text-anchor:middle;mso-width-relative:page;mso-height-relative:page;" filled="f" stroked="f" coordsize="21600,21600" o:gfxdata="UEsDBAoAAAAAAIdO4kAAAAAAAAAAAAAAAAAEAAAAZHJzL1BLAwQUAAAACACHTuJA9G2D8NkAAAAL&#10;AQAADwAAAGRycy9kb3ducmV2LnhtbE2PzU7DMBCE70i8g7VI3KgTi/4oxKkqBEg90iAhbk68TVLi&#10;dRS7afv2bE/0trszmv0mX59dLyYcQ+dJQzpLQCDV3nbUaPgq359WIEI0ZE3vCTVcMMC6uL/LTWb9&#10;iT5x2sVGcAiFzGhoYxwyKUPdojNh5gck1vZ+dCbyOjbSjubE4a6XKkkW0pmO+ENrBnxtsf7dHZ2G&#10;UE3b8jJsvg8/oa42b+TK5+2H1o8PafICIuI5/pvhis/oUDBT5Y9kg+g1zNPlkq0sLK4DO+YrpUBU&#10;GpTiiyxyeduh+ANQSwMEFAAAAAgAh07iQFulkrBAAgAAWQQAAA4AAABkcnMvZTJvRG9jLnhtbK1U&#10;zW4TMRC+I/EOlu90NyGhbdRNFbUqQopopYA4O147u5L/sJ1swssgceMh+jiI1+Czd5tGwAlx8c54&#10;xt/MfDOzV9d7rchO+NBaU9HRWUmJMNzWrdlU9OOHu1cXlITITM2UNaKiBxHo9fzli6vOzcTYNlbV&#10;whOAmDDrXEWbGN2sKAJvhGbhzDphYJTWaxah+k1Re9YBXatiXJZvis762nnLRQi4ve2NdJ7xpRQ8&#10;3ksZRCSqosgt5tPnc53OYn7FZhvPXNPyIQ32D1lo1hoEPULdssjI1rd/QOmWexusjGfc6sJK2XKR&#10;a0A1o/K3alYNcyLXAnKCO9IU/h8sf7978KStKzot0SrDNJr08+v3H4/fSLoBP50LM7it3IMftAAx&#10;FbuXXqcvyiD7zOnhyKnYR8JxOSkvp+dTSjhMry9GZZk5L54fOx/iW2E1SUJFPVqWmWS7ZYgICNcn&#10;lxTL2LtWqdw2ZUhX0fF0AkzCGaZHKhYhaod6gtlQwtQGY8mjz5AnbxPkLQsN2TFMRrCqrVOtCKZM&#10;CiPy7AwZJAb6mpMU9+v9QMTa1gfQ520/V8HxuxbASxbiA/MYJCSG5Yj3OKSyyNYOEiWN9V/+dp/8&#10;0V9YKekwmMju85Z5QYl6Z9D5y9FkkiY5K5Pp+RiKP7WsTy1mq28sKhxhDR3PYvKP6kmU3upP2KFF&#10;igoTMxyxe84G5Sb2C4Mt5GKxyG6YXsfi0qwcT+B9ZxbbaGWbm5aI6tkBqUnB/GZ6h11LC3KqZ6/n&#10;P8L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tg/DZAAAACwEAAA8AAAAAAAAAAQAgAAAAIgAA&#10;AGRycy9kb3ducmV2LnhtbFBLAQIUABQAAAAIAIdO4kBbpZKwQAIAAFkEAAAOAAAAAAAAAAEAIAAA&#10;ACgBAABkcnMvZTJvRG9jLnhtbFBLBQYAAAAABgAGAFkBAADaBQAAAAA=&#10;">
                <v:fill on="f" focussize="0,0"/>
                <v:stroke on="f" weight="2pt"/>
                <v:imagedata o:title=""/>
                <o:lock v:ext="edit" aspectratio="f"/>
                <v:textbox>
                  <w:txbxContent>
                    <w:p>
                      <w:pPr>
                        <w:jc w:val="center"/>
                        <w:rPr>
                          <w:b/>
                          <w:color w:val="FFFF00"/>
                        </w:rPr>
                      </w:pPr>
                      <w:r>
                        <w:rPr>
                          <w:b/>
                          <w:color w:val="FFFF00"/>
                        </w:rPr>
                        <w:t>34</w:t>
                      </w:r>
                    </w:p>
                  </w:txbxContent>
                </v:textbox>
              </v: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3287395</wp:posOffset>
                </wp:positionH>
                <wp:positionV relativeFrom="paragraph">
                  <wp:posOffset>1064260</wp:posOffset>
                </wp:positionV>
                <wp:extent cx="78740" cy="86360"/>
                <wp:effectExtent l="0" t="0" r="16510" b="27940"/>
                <wp:wrapNone/>
                <wp:docPr id="506" name="椭圆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8.85pt;margin-top:83.8pt;height:6.8pt;width:6.2pt;z-index:251724800;v-text-anchor:middle;mso-width-relative:page;mso-height-relative:page;" fillcolor="#FFFF00" filled="t" stroked="t" coordsize="21600,21600" o:gfxdata="UEsDBAoAAAAAAIdO4kAAAAAAAAAAAAAAAAAEAAAAZHJzL1BLAwQUAAAACACHTuJAF8jFbNsAAAAL&#10;AQAADwAAAGRycy9kb3ducmV2LnhtbE2Py07DMBBF90j8gzVI7KjjoiZpiFNVSBUsWNAH6taNhzgi&#10;tqPYaRu+nmEFy5l7dOdMubrajp1xCK13EsQsAYau9rp1jYTDfvOQAwtROa0671DChAFW1e1NqQrt&#10;L26L511sGJW4UCgJJsa+4DzUBq0KM9+jo+zTD1ZFGoeG60FdqNx2fJ4kKbeqdXTBqB6fDdZfu9FK&#10;WK8/XuNhOfbT98vRvO95Pm22b1Le34nkCVjEa/yD4Vef1KEip5MfnQ6sk7AQWUYoBWmWAiNi8ZgI&#10;YCfa5GIOvCr5/x+qH1BLAwQUAAAACACHTuJANLCYyGACAADNBAAADgAAAGRycy9lMm9Eb2MueG1s&#10;rVTNbhMxEL4j8Q6W73STkKZllU0VpQpCimilgjhPvPauhf+wnWzKA/AUHHvlseA5GDubJgUOCLEH&#10;a/5/vpnZ6dVOK7LlPkhrKjo8G1DCDbO1NE1F379bvrikJEQwNShreEXveaBXs+fPpp0r+ci2VtXc&#10;EwxiQtm5irYxurIoAmu5hnBmHTeoFNZriMj6pqg9dBhdq2I0GEyKzvraect4CCi93ivpLMcXgrN4&#10;I0TgkaiKYm0xvz6/6/QWsymUjQfXStaXAf9QhQZpMOljqGuIQDZe/hZKS+ZtsCKeMasLK4RkPPeA&#10;3QwHv3Rz14LjuRcEJ7hHmML/C8vebm89kXVFzwcTSgxoHNKPh2/fv34hSYL4dC6UaHbnbn3qMLiV&#10;ZR8DMXbRgmn4PDhEGWefbIsnxokJvdtOeJ3csWWyy/jfP+LPd5EwFF5cXoxxSAw1l5OXkzydAsqD&#10;q/MhvuZWk0RUlCslXUj4QAnbVYgpP5QHq1yrVbJeSqUy45v1QnmyBdyFJX6DQ4JwaqYM6So6Oh+j&#10;mjDAnRQKIpLaIUrBNJSAanDZWfQ59xPv8HdJUpHXENp9MTlChg9KZVKtPK9u39MRxkStbX2PI/MW&#10;IcAKg2NLidFWEOIteFxeFOJBxht8hLLYi+0pSlrrP/9Jnuxxp1BLSYfHgH1+2oDnlKg3Brft1XCc&#10;BhMzMz6/GCHjTzXrU43Z6IVFjIe5ukwm+6gOpPBWf8C7naesqALDMPce0Z5ZxP2R4uUzPp9nM7wY&#10;B3Fl7hxLwRNOxs430QqZZ39Ep19EvJm8Ev19p6M85bPV8S80+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XyMVs2wAAAAsBAAAPAAAAAAAAAAEAIAAAACIAAABkcnMvZG93bnJldi54bWxQSwECFAAU&#10;AAAACACHTuJANLCYyGACAADNBAAADgAAAAAAAAABACAAAAAqAQAAZHJzL2Uyb0RvYy54bWxQSwUG&#10;AAAAAAYABgBZAQAA/AU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75296" behindDoc="0" locked="0" layoutInCell="1" allowOverlap="1">
                <wp:simplePos x="0" y="0"/>
                <wp:positionH relativeFrom="column">
                  <wp:posOffset>3158490</wp:posOffset>
                </wp:positionH>
                <wp:positionV relativeFrom="paragraph">
                  <wp:posOffset>5160645</wp:posOffset>
                </wp:positionV>
                <wp:extent cx="78740" cy="86360"/>
                <wp:effectExtent l="0" t="0" r="16510" b="27940"/>
                <wp:wrapNone/>
                <wp:docPr id="489" name="椭圆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8.7pt;margin-top:406.35pt;height:6.8pt;width:6.2pt;z-index:251575296;v-text-anchor:middle;mso-width-relative:page;mso-height-relative:page;" fillcolor="#FFFF00" filled="t" stroked="t" coordsize="21600,21600" o:gfxdata="UEsDBAoAAAAAAIdO4kAAAAAAAAAAAAAAAAAEAAAAZHJzL1BLAwQUAAAACACHTuJAa1uTONwAAAAL&#10;AQAADwAAAGRycy9kb3ducmV2LnhtbE2Py07DMBBF90j8gzVI7KidUNokxKkqpAoWLOgDsXVjE0fE&#10;4yh22oavZ1jBcmaO7pxbri6uYyczhNajhGQmgBmsvW6xkXDYb+4yYCEq1KrzaCRMJsCqur4qVaH9&#10;GbfmtIsNoxAMhZJgY+wLzkNtjVNh5nuDdPv0g1ORxqHhelBnCncdT4VYcKdapA9W9ebJmvprNzoJ&#10;6/X7SzzkYz99P3/Ytz3Pps32Vcrbm0Q8AovmEv9g+NUndajI6ehH1IF1Eub5ck6ohCxJl8CIeBA5&#10;lTnSJl3cA69K/r9D9QNQSwMEFAAAAAgAh07iQNaIMkdgAgAAzQQAAA4AAABkcnMvZTJvRG9jLnht&#10;bK1UzW4TMRC+I/EOlu90k5C26SqbKkoUhBTRSgVxnnjtXQv/YTvZlAfgKThy5bHgORg7mzYFDgix&#10;B2v+f76Z2en1Xiuy4z5Iayo6PBtQwg2ztTRNRd+9Xb2YUBIimBqUNbyi9zzQ69nzZ9POlXxkW6tq&#10;7gkGMaHsXEXbGF1ZFIG1XEM4s44bVArrNURkfVPUHjqMrlUxGgwuis762nnLeAgoXR6UdJbjC8FZ&#10;vBEi8EhURbG2mF+f3016i9kUysaDayXry4B/qEKDNJj0IdQSIpCtl7+F0pJ5G6yIZ8zqwgohGc89&#10;YDfDwS/d3LXgeO4FwQnuAabw/8KyN7tbT2Rd0fHkihIDGof04+u3718+kyRBfDoXSjS7c7c+dRjc&#10;2rIPgRi7aME0fB4cooyzT7bFE+PEhN5tL7xO7tgy2Wf87x/w5/tIGAovJ5djHBJDzeTi5UWeTgHl&#10;0dX5EF9xq0kiKsqVki4kfKCE3TrElB/Ko1Wu1SpZr6RSmfHNZqE82QHuwgq/wTFBODVThnQVHZ2P&#10;UU0Y4E4KBRFJ7RClYBpKQDW47Cz6nPuJd/i7JKnIJYT2UEyOkOGDUplUK8+r2/f0CGOiNra+x5F5&#10;ixBghcGxlcRoawjxFjwuLwrxIOMNPkJZ7MX2FCWt9Z/+JE/2uFOopaTDY8A+P27Bc0rUa4PbdjUc&#10;p8HEzIzPL0fI+FPN5lRjtnphEeNhri6TyT6qIym81e/xbucpK6rAMMx9QLRnFvFwpHj5jM/n2Qwv&#10;xkFcmzvHUvCEk7HzbbRC5tk/otMvIt5MXon+vtNRnvLZ6vEvN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1uTONwAAAALAQAADwAAAAAAAAABACAAAAAiAAAAZHJzL2Rvd25yZXYueG1sUEsBAhQA&#10;FAAAAAgAh07iQNaIMkd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24448" behindDoc="0" locked="0" layoutInCell="1" allowOverlap="1">
                <wp:simplePos x="0" y="0"/>
                <wp:positionH relativeFrom="column">
                  <wp:posOffset>2903855</wp:posOffset>
                </wp:positionH>
                <wp:positionV relativeFrom="paragraph">
                  <wp:posOffset>5202555</wp:posOffset>
                </wp:positionV>
                <wp:extent cx="409575" cy="400050"/>
                <wp:effectExtent l="0" t="0" r="0" b="0"/>
                <wp:wrapNone/>
                <wp:docPr id="83" name="矩形 83"/>
                <wp:cNvGraphicFramePr/>
                <a:graphic xmlns:a="http://schemas.openxmlformats.org/drawingml/2006/main">
                  <a:graphicData uri="http://schemas.microsoft.com/office/word/2010/wordprocessingShape">
                    <wps:wsp>
                      <wps:cNvSpPr/>
                      <wps:spPr>
                        <a:xfrm>
                          <a:off x="0" y="0"/>
                          <a:ext cx="409575" cy="400050"/>
                        </a:xfrm>
                        <a:prstGeom prst="rect">
                          <a:avLst/>
                        </a:prstGeom>
                        <a:noFill/>
                        <a:ln w="25400" cap="flat" cmpd="sng" algn="ctr">
                          <a:noFill/>
                          <a:prstDash val="solid"/>
                        </a:ln>
                        <a:effectLst/>
                      </wps:spPr>
                      <wps:txbx>
                        <w:txbxContent>
                          <w:p>
                            <w:pPr>
                              <w:jc w:val="center"/>
                              <w:rPr>
                                <w:b/>
                                <w:color w:val="FFFF00"/>
                              </w:rPr>
                            </w:pPr>
                            <w:r>
                              <w:rPr>
                                <w:b/>
                                <w:color w:val="FFFF00"/>
                              </w:rPr>
                              <w:t>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65pt;margin-top:409.65pt;height:31.5pt;width:32.25pt;z-index:251624448;v-text-anchor:middle;mso-width-relative:page;mso-height-relative:page;" filled="f" stroked="f" coordsize="21600,21600" o:gfxdata="UEsDBAoAAAAAAIdO4kAAAAAAAAAAAAAAAAAEAAAAZHJzL1BLAwQUAAAACACHTuJAAonsd9oAAAAL&#10;AQAADwAAAGRycy9kb3ducmV2LnhtbE2PQU/DMAyF70j7D5EncWNpuw1KaTpNCJB2ZEVC3NLGtN0a&#10;p2qybvv3mBPcbL+n5+/lm4vtxYSj7xwpiBcRCKTamY4aBR/l610KwgdNRveOUMEVPWyK2U2uM+PO&#10;9I7TPjSCQ8hnWkEbwpBJ6esWrfYLNyCx9u1GqwOvYyPNqM8cbnuZRNG9tLoj/tDqAZ9brI/7k1Xg&#10;q2lXXoft5+HL19X2hWy52r0pdTuPoycQAS/hzwy/+IwOBTNV7kTGi17Bav2wZKuCNH7kgR3rJOYy&#10;FV/SZAmyyOX/DsUPUEsDBBQAAAAIAIdO4kDQwYDSPwIAAFcEAAAOAAAAZHJzL2Uyb0RvYy54bWyt&#10;VM1uEzEQviPxDpbvdDchoW3UTRW1KkKKaKWAODteO7uS/7CdbMLLIHHjIfo4iNfgs3ebRsAJcfHO&#10;eMbfzHwzs1fXe63ITvjQWlPR0VlJiTDc1q3ZVPTjh7tXF5SEyEzNlDWiogcR6PX85Yurzs3E2DZW&#10;1cITgJgw61xFmxjdrCgCb4Rm4cw6YWCU1msWofpNUXvWAV2rYlyWb4rO+tp5y0UIuL3tjXSe8aUU&#10;PN5LGUQkqqLILebT53OdzmJ+xWYbz1zT8iEN9g9ZaNYaBD1C3bLIyNa3f0DplnsbrIxn3OrCStly&#10;kWtANaPyt2pWDXMi1wJygjvSFP4fLH+/e/CkrSt68ZoSwzR69PPr9x+P3wguwE7nwgxOK/fgBy1A&#10;TKXupdfpiyLIPjN6ODIq9pFwXE7Ky+n5lBIO06Qsy2lmvHh+7HyIb4XVJAkV9WhY5pHtliEiIFyf&#10;XFIsY+9apXLTlCFdRcdTwAKfYXakYhGidqgmmA0lTG0wlDz6DHnyNkHestCQHcNcBKvaOtWKYMqk&#10;MCJPzpBBYqCvOUlxv94PRKxtfQB53vZTFRy/awG8ZCE+MI8xQmJYjXiPQyqLbO0gUdJY/+Vv98kf&#10;3YWVkg5jiew+b5kXlKh3Bn2/HE0maY6zMpmej6H4U8v61GK2+saiwhGW0PEsJv+onkTprf6EDVqk&#10;qDAxwxG752xQbmK/LthBLhaL7IbZdSwuzcrxBN53ZrGNVra5aYmonh2QmhRMb6Z32LS0Hqd69nr+&#10;H8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KJ7HfaAAAACwEAAA8AAAAAAAAAAQAgAAAAIgAA&#10;AGRycy9kb3ducmV2LnhtbFBLAQIUABQAAAAIAIdO4kDQwYDSPwIAAFcEAAAOAAAAAAAAAAEAIAAA&#10;ACkBAABkcnMvZTJvRG9jLnhtbFBLBQYAAAAABgAGAFkBAADaBQAAAAA=&#10;">
                <v:fill on="f" focussize="0,0"/>
                <v:stroke on="f" weight="2pt"/>
                <v:imagedata o:title=""/>
                <o:lock v:ext="edit" aspectratio="f"/>
                <v:textbox>
                  <w:txbxContent>
                    <w:p>
                      <w:pPr>
                        <w:jc w:val="center"/>
                        <w:rPr>
                          <w:b/>
                          <w:color w:val="FFFF00"/>
                        </w:rPr>
                      </w:pPr>
                      <w:r>
                        <w:rPr>
                          <w:b/>
                          <w:color w:val="FFFF00"/>
                        </w:rPr>
                        <w:t>24</w:t>
                      </w:r>
                    </w:p>
                  </w:txbxContent>
                </v:textbox>
              </v:rect>
            </w:pict>
          </mc:Fallback>
        </mc:AlternateContent>
      </w:r>
      <w:r>
        <mc:AlternateContent>
          <mc:Choice Requires="wps">
            <w:drawing>
              <wp:anchor distT="0" distB="0" distL="114300" distR="114300" simplePos="0" relativeHeight="251573248" behindDoc="0" locked="0" layoutInCell="1" allowOverlap="1">
                <wp:simplePos x="0" y="0"/>
                <wp:positionH relativeFrom="column">
                  <wp:posOffset>3384550</wp:posOffset>
                </wp:positionH>
                <wp:positionV relativeFrom="paragraph">
                  <wp:posOffset>5946775</wp:posOffset>
                </wp:positionV>
                <wp:extent cx="78740" cy="86360"/>
                <wp:effectExtent l="0" t="0" r="16510" b="27940"/>
                <wp:wrapNone/>
                <wp:docPr id="488" name="椭圆 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5pt;margin-top:468.25pt;height:6.8pt;width:6.2pt;z-index:251573248;v-text-anchor:middle;mso-width-relative:page;mso-height-relative:page;" fillcolor="#FFFF00" filled="t" stroked="t" coordsize="21600,21600" o:gfxdata="UEsDBAoAAAAAAIdO4kAAAAAAAAAAAAAAAAAEAAAAZHJzL1BLAwQUAAAACACHTuJA65DyntwAAAAL&#10;AQAADwAAAGRycy9kb3ducmV2LnhtbE2PzU7DMBCE70i8g7VI3Kgd0lRtGqeqkCo4cKA/iKsbu3FE&#10;vI5ip214erYnOM7OaPabYnV1LTubPjQeJSQTAcxg5XWDtYTDfvM0BxaiQq1aj0bCaAKsyvu7QuXa&#10;X3BrzrtYMyrBkCsJNsYu5zxU1jgVJr4zSN7J905Fkn3Nda8uVO5a/izEjDvVIH2wqjMv1lTfu8FJ&#10;WK8/3+JhMXTjz+uX/djz+bjZvkv5+JCIJbBorvEvDDd8QoeSmI5+QB1YKyFLU9oSJSzSWQaMEtk0&#10;mwI70iUTCfCy4P83lL9QSwMEFAAAAAgAh07iQIbcmn9gAgAAzQQAAA4AAABkcnMvZTJvRG9jLnht&#10;bK1UzW4TMRC+I/EOlu90k5C2YZVNFSUKQopopYI4T7z2roX/sJ1sygPwFBx75bHgORg7mzYFDgix&#10;B2v+f76Z2enVXiuy4z5Iayo6PBtQwg2ztTRNRd+/W72YUBIimBqUNbyidzzQq9nzZ9POlXxkW6tq&#10;7gkGMaHsXEXbGF1ZFIG1XEM4s44bVArrNURkfVPUHjqMrlUxGgwuis762nnLeAgoXR6UdJbjC8FZ&#10;vBYi8EhURbG2mF+f3016i9kUysaDayXry4B/qEKDNJj0IdQSIpCtl7+F0pJ5G6yIZ8zqwgohGc89&#10;YDfDwS/d3LbgeO4FwQnuAabw/8Kyt7sbT2Rd0fEER2VA45B+3H/7/vULSRLEp3OhRLNbd+NTh8Gt&#10;LfsYiLGLFkzD58Ehyjj7ZFs8MU5M6N32wuvkji2Tfcb/7gF/vo+EofBycjnGITHUTC5eXuTpFFAe&#10;XZ0P8TW3miSiolwp6ULCB0rYrUNM+aE8WuVarZL1SiqVGd9sFsqTHeAurPAbHBOEUzNlSFfR0fkY&#10;1YQB7qRQEJHUDlEKpqEEVIPLzqLPuZ94h79LkopcQmgPxeQIGT4olUm18ry6fU+PMCZqY+s7HJm3&#10;CAFWGBxbSYy2hhBvwOPyohAPMl7jI5TFXmxPUdJa//lP8mSPO4VaSjo8Buzz0xY8p0S9Mbhtr4bj&#10;NJiYmfH55QgZf6rZnGrMVi8sYjzM1WUy2Ud1JIW3+gPe7TxlRRUYhrkPiPbMIh6OFC+f8fk8m+HF&#10;OIhrc+tYCp5wMna+jVbIPPtHdPpFxJvJK9HfdzrKUz5bPf6FZ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65DyntwAAAALAQAADwAAAAAAAAABACAAAAAiAAAAZHJzL2Rvd25yZXYueG1sUEsBAhQA&#10;FAAAAAgAh07iQIbcmn9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26496" behindDoc="0" locked="0" layoutInCell="1" allowOverlap="1">
                <wp:simplePos x="0" y="0"/>
                <wp:positionH relativeFrom="column">
                  <wp:posOffset>3110865</wp:posOffset>
                </wp:positionH>
                <wp:positionV relativeFrom="paragraph">
                  <wp:posOffset>6007735</wp:posOffset>
                </wp:positionV>
                <wp:extent cx="409575" cy="408940"/>
                <wp:effectExtent l="0" t="0" r="0" b="0"/>
                <wp:wrapNone/>
                <wp:docPr id="84" name="矩形 84"/>
                <wp:cNvGraphicFramePr/>
                <a:graphic xmlns:a="http://schemas.openxmlformats.org/drawingml/2006/main">
                  <a:graphicData uri="http://schemas.microsoft.com/office/word/2010/wordprocessingShape">
                    <wps:wsp>
                      <wps:cNvSpPr/>
                      <wps:spPr>
                        <a:xfrm>
                          <a:off x="0" y="0"/>
                          <a:ext cx="409575" cy="408940"/>
                        </a:xfrm>
                        <a:prstGeom prst="rect">
                          <a:avLst/>
                        </a:prstGeom>
                        <a:noFill/>
                        <a:ln w="25400" cap="flat" cmpd="sng" algn="ctr">
                          <a:noFill/>
                          <a:prstDash val="solid"/>
                        </a:ln>
                        <a:effectLst/>
                      </wps:spPr>
                      <wps:txbx>
                        <w:txbxContent>
                          <w:p>
                            <w:pPr>
                              <w:jc w:val="center"/>
                              <w:rPr>
                                <w:b/>
                                <w:color w:val="FFFF00"/>
                              </w:rPr>
                            </w:pPr>
                            <w:r>
                              <w:rPr>
                                <w:b/>
                                <w:color w:val="FFFF00"/>
                              </w:rPr>
                              <w:t>27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95pt;margin-top:473.05pt;height:32.2pt;width:32.25pt;z-index:251626496;v-text-anchor:middle;mso-width-relative:page;mso-height-relative:page;" filled="f" stroked="f" coordsize="21600,21600" o:gfxdata="UEsDBAoAAAAAAIdO4kAAAAAAAAAAAAAAAAAEAAAAZHJzL1BLAwQUAAAACACHTuJAiIAdtNoAAAAM&#10;AQAADwAAAGRycy9kb3ducmV2LnhtbE2PQUvDQBCF74L/YRnBm92NJKWJ2ZQiKvRoI4i3TXZMotnZ&#10;kN2m7b93POlxeB/vfVNuz24UC85h8KQhWSkQSK23A3Ua3urnuw2IEA1ZM3pCDRcMsK2ur0pTWH+i&#10;V1wOsRNcQqEwGvoYp0LK0PboTFj5CYmzTz87E/mcO2lnc+JyN8p7pdbSmYF4oTcTPvbYfh+OTkNo&#10;ln19mXbvXx+hbXZP5Op0/6L17U2iHkBEPMc/GH71WR0qdmr8kWwQo4Z0k+eMasjTdQKCiSxLUxAN&#10;oypRGciqlP+fqH4AUEsDBBQAAAAIAIdO4kCUms2MQAIAAFcEAAAOAAAAZHJzL2Uyb0RvYy54bWyt&#10;VM1uEzEQviPxDpbvdDfRhjZRN1XUKAipopUK4ux47exK/sN2sikvg8SNh+BxEK/BZ++2jYAT4uKd&#10;8Yy/mflmZi+vjlqRg/Chs6amk7OSEmG4bTqzq+mH95tXF5SEyEzDlDWipg8i0KvlyxeXvVuIqW2t&#10;aoQnADFh0buatjG6RVEE3grNwpl1wsAordcsQvW7ovGsB7pWxbQsXxe99Y3zlosQcLsejHSZ8aUU&#10;PN5KGUQkqqbILebT53ObzmJ5yRY7z1zb8TEN9g9ZaNYZBH2CWrPIyN53f0DpjnsbrIxn3OrCStlx&#10;kWtANZPyt2ruW+ZErgXkBPdEU/h/sPzd4c6TrqnpRUWJYRo9+vnl24/vXwkuwE7vwgJO9+7Oj1qA&#10;mEo9Sq/TF0WQY2b04YlRcYyE47Iq57PzGSUcpqq8mFeZ8eL5sfMhvhFWkyTU1KNhmUd2uAkRAeH6&#10;6JJiGbvplMpNU4b0NZ3OqhJ95QyzIxWLELVDNcHsKGFqh6Hk0WfIk7cJcs1CSw4McxGs6ppUK4Ip&#10;k8KIPDljBomBoeYkxeP2OBKxtc0DyPN2mKrg+KYD8A0L8Y55jBESw2rEWxxSWWRrR4mS1vrPf7tP&#10;/ugurJT0GEtk92nPvKBEvTXo+3xSgUMSs1LNzqdQ/Klle2oxe31tUeEES+h4FpN/VI+i9FZ/xAat&#10;UlSYmOGIPXA2KtdxWBfsIBerVXbD7DoWb8y94wl86MxqH63sctMSUQM7IDUpmN5M77hpaT1O9ez1&#10;/D9Y/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gB202gAAAAwBAAAPAAAAAAAAAAEAIAAAACIA&#10;AABkcnMvZG93bnJldi54bWxQSwECFAAUAAAACACHTuJAlJrNjEACAABXBAAADgAAAAAAAAABACAA&#10;AAApAQAAZHJzL2Uyb0RvYy54bWxQSwUGAAAAAAYABgBZAQAA2wUAAAAA&#10;">
                <v:fill on="f" focussize="0,0"/>
                <v:stroke on="f" weight="2pt"/>
                <v:imagedata o:title=""/>
                <o:lock v:ext="edit" aspectratio="f"/>
                <v:textbox>
                  <w:txbxContent>
                    <w:p>
                      <w:pPr>
                        <w:jc w:val="center"/>
                        <w:rPr>
                          <w:b/>
                          <w:color w:val="FFFF00"/>
                        </w:rPr>
                      </w:pPr>
                      <w:r>
                        <w:rPr>
                          <w:b/>
                          <w:color w:val="FFFF00"/>
                        </w:rPr>
                        <w:t>27</w:t>
                      </w:r>
                    </w:p>
                  </w:txbxContent>
                </v:textbox>
              </v:rect>
            </w:pict>
          </mc:Fallback>
        </mc:AlternateContent>
      </w:r>
      <w:r>
        <mc:AlternateContent>
          <mc:Choice Requires="wps">
            <w:drawing>
              <wp:anchor distT="0" distB="0" distL="114300" distR="114300" simplePos="0" relativeHeight="251571200" behindDoc="0" locked="0" layoutInCell="1" allowOverlap="1">
                <wp:simplePos x="0" y="0"/>
                <wp:positionH relativeFrom="column">
                  <wp:posOffset>4241800</wp:posOffset>
                </wp:positionH>
                <wp:positionV relativeFrom="paragraph">
                  <wp:posOffset>5779770</wp:posOffset>
                </wp:positionV>
                <wp:extent cx="78740" cy="86360"/>
                <wp:effectExtent l="0" t="0" r="16510" b="27940"/>
                <wp:wrapNone/>
                <wp:docPr id="487" name="椭圆 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4pt;margin-top:455.1pt;height:6.8pt;width:6.2pt;z-index:251571200;v-text-anchor:middle;mso-width-relative:page;mso-height-relative:page;" fillcolor="#FFFF00" filled="t" stroked="t" coordsize="21600,21600" o:gfxdata="UEsDBAoAAAAAAIdO4kAAAAAAAAAAAAAAAAAEAAAAZHJzL1BLAwQUAAAACACHTuJAncr1ndoAAAAL&#10;AQAADwAAAGRycy9kb3ducmV2LnhtbE2PzU7DMBCE70i8g7VI3KiTgKI0xKkqpAoOHOgP4urGSxwR&#10;r6PYaRuenuUEx50dzXxTrS6uFyccQ+dJQbpIQCA13nTUKjjsN3cFiBA1Gd17QgUzBljV11eVLo0/&#10;0xZPu9gKDqFQagU2xqGUMjQWnQ4LPyDx79OPTkc+x1aaUZ853PUyS5JcOt0RN1g94JPF5ms3OQXr&#10;9ftLPCynYf5+/rBve1nMm+2rUrc3afIIIuIl/pnhF5/RoWamo5/IBNEryPOCt0QFyzTJQLCDhQcQ&#10;R1ay+wJkXcn/G+ofUEsDBBQAAAAIAIdO4kD31fDKYAIAAM0EAAAOAAAAZHJzL2Uyb0RvYy54bWyt&#10;VM1uEzEQviPxDpbvdJOQNmHVTRWlCkKKaKSCOE+89q6F/7CdbMoD8BQce+Wx4DkYO5s2BQ4IsQdr&#10;/n++mdnLq71WZMd9kNZUdHg2oIQbZmtpmoq+f7d8MaUkRDA1KGt4Re94oFez588uO1fykW2tqrkn&#10;GMSEsnMVbWN0ZVEE1nIN4cw6blAprNcQkfVNUXvoMLpWxWgwuCg662vnLeMhoPT6oKSzHF8IzuKN&#10;EIFHoiqKtcX8+vxu0lvMLqFsPLhWsr4M+IcqNEiDSR9CXUMEsvXyt1BaMm+DFfGMWV1YISTjuQfs&#10;Zjj4pZvbFhzPvSA4wT3AFP5fWPZ2t/ZE1hUdTyeUGNA4pB/3375//UKSBPHpXCjR7NatfeowuJVl&#10;HwMxdtGCafg8OEQZZ59siyfGiQm92154ndyxZbLP+N894M/3kTAUTqaTMQ6JoWZ68fIiT6eA8ujq&#10;fIivudUkERXlSkkXEj5Qwm4VYsoP5dEq12qVrJdSqcz4ZrNQnuwAd2GJ3+CYIJyaKUO6io7Ox6gm&#10;DHAnhYKIpHaIUjANJaAaXHYWfc79xDv8XZJU5DWE9lBMjpDhg1KZVCvPq9v39Ahjoja2vsOReYsQ&#10;YIXBsaXEaCsIcQ0elxeFeJDxBh+hLPZie4qS1vrPf5Ine9wp1FLS4TFgn5+24Dkl6o3BbXs1HKfB&#10;xMyMzycjZPypZnOqMVu9sIjxMFeXyWQf1ZEU3uoPeLfzlBVVYBjmPiDaM4t4OFK8fMbn82yGF+Mg&#10;rsytYyl4wsnY+TZaIfPsH9HpFxFvJq9Ef9/pKE/5bPX4F5r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3K9Z3aAAAACwEAAA8AAAAAAAAAAQAgAAAAIgAAAGRycy9kb3ducmV2LnhtbFBLAQIUABQA&#10;AAAIAIdO4kD31fDKYAIAAM0EAAAOAAAAAAAAAAEAIAAAACkBAABkcnMvZTJvRG9jLnhtbFBLBQYA&#10;AAAABgAGAFkBAAD7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77344" behindDoc="0" locked="0" layoutInCell="1" allowOverlap="1">
                <wp:simplePos x="0" y="0"/>
                <wp:positionH relativeFrom="column">
                  <wp:posOffset>4808855</wp:posOffset>
                </wp:positionH>
                <wp:positionV relativeFrom="paragraph">
                  <wp:posOffset>4754880</wp:posOffset>
                </wp:positionV>
                <wp:extent cx="78740" cy="86360"/>
                <wp:effectExtent l="0" t="0" r="16510" b="27940"/>
                <wp:wrapNone/>
                <wp:docPr id="490" name="椭圆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8.65pt;margin-top:374.4pt;height:6.8pt;width:6.2pt;z-index:251577344;v-text-anchor:middle;mso-width-relative:page;mso-height-relative:page;" fillcolor="#FFFF00" filled="t" stroked="t" coordsize="21600,21600" o:gfxdata="UEsDBAoAAAAAAIdO4kAAAAAAAAAAAAAAAAAEAAAAZHJzL1BLAwQUAAAACACHTuJA4FWi8dsAAAAL&#10;AQAADwAAAGRycy9kb3ducmV2LnhtbE2PzU7DMBCE70i8g7VI3KjTUpo0jVNVSBUcOPQPcXXjbRIR&#10;r6PYaRuenu0JbjPaT7Mz2fJqG3HGzteOFIxHEQikwpmaSgWH/fopAeGDJqMbR6hgQA/L/P4u06lx&#10;F9rieRdKwSHkU62gCqFNpfRFhVb7kWuR+HZyndWBbVdK0+kLh9tGTqJoJq2uiT9UusXXCovvXW8V&#10;rFaf7+Ew79vh5+2r2uxlMqy3H0o9PoyjBYiA1/AHw60+V4ecOx1dT8aLRkH8Ej8zymKa8AYm4tk8&#10;BnG8ickUZJ7J/xvyX1BLAwQUAAAACACHTuJA54H6CmACAADNBAAADgAAAGRycy9lMm9Eb2MueG1s&#10;rVRLjhMxEN0jcQfLe6aTkPm10hlFGQUhRUykAbGuuO1uC/+wnXSGA3AKlmw5FpyDstOZZIAFQvTC&#10;qp+rXj1X9eRmpxXZch+kNRUdng0o4YbZWpqmou/eLl5cURIimBqUNbyiDzzQm+nzZ5POlXxkW6tq&#10;7gkmMaHsXEXbGF1ZFIG1XEM4s44bdArrNURUfVPUHjrMrlUxGgwuis762nnLeAhovd076TTnF4Kz&#10;eCdE4JGoiiK2mE+fz3U6i+kEysaDayXrYcA/oNAgDRZ9THULEcjGy99Sacm8DVbEM2Z1YYWQjOce&#10;sJvh4Jdu7ltwPPeC5AT3SFP4f2nZm+3KE1lXdHyN/BjQ+Eg/vn77/uUzSRbkp3OhxLB7t/Kpw+CW&#10;ln0IxNh5C6bhs+CQZXz7FFs8CU5K6K/thNfpOrZMdpn/h0f++S4ShsbLq8sxgmDoubp4eZGrF1Ae&#10;rjof4ituNUlCRblS0oXED5SwXYaY6kN5iMpYrZL1QiqVFd+s58qTLeAsLPAbHAqE0zBlSFfR0fkY&#10;3YQBzqRQEFHUDlkKpqEEVIPDzqLPtZ/cDn9XJIG8hdDuweQMmT4olUlYeR7dvqcjjUla2/oBn8xb&#10;pAARBscWErMtIcQVeBxeNOJCxjs8hLLYi+0lSlrrP/3JnuJxptBLSYfLgH1+3IDnlKjXBqftejhO&#10;DxOzMj6/HKHiTz3rU4/Z6LlFjocZXRZTfFQHUXir3+PezlJVdIFhWHvPaK/M435JcfMZn81yGG6M&#10;g7g0946l5IknY2ebaIXMb39kpx9E3Jk8Ev1+p6U81XPU8S80/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VaLx2wAAAAsBAAAPAAAAAAAAAAEAIAAAACIAAABkcnMvZG93bnJldi54bWxQSwECFAAU&#10;AAAACACHTuJA54H6CmACAADNBAAADgAAAAAAAAABACAAAAAqAQAAZHJzL2Uyb0RvYy54bWxQSwUG&#10;AAAAAAYABgBZAQAA/AU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16256" behindDoc="0" locked="0" layoutInCell="1" allowOverlap="1">
                <wp:simplePos x="0" y="0"/>
                <wp:positionH relativeFrom="column">
                  <wp:posOffset>4563745</wp:posOffset>
                </wp:positionH>
                <wp:positionV relativeFrom="paragraph">
                  <wp:posOffset>4754880</wp:posOffset>
                </wp:positionV>
                <wp:extent cx="409575" cy="371475"/>
                <wp:effectExtent l="0" t="0" r="0" b="0"/>
                <wp:wrapNone/>
                <wp:docPr id="79" name="矩形 79"/>
                <wp:cNvGraphicFramePr/>
                <a:graphic xmlns:a="http://schemas.openxmlformats.org/drawingml/2006/main">
                  <a:graphicData uri="http://schemas.microsoft.com/office/word/2010/wordprocessingShape">
                    <wps:wsp>
                      <wps:cNvSpPr/>
                      <wps:spPr>
                        <a:xfrm>
                          <a:off x="0" y="0"/>
                          <a:ext cx="409575" cy="371475"/>
                        </a:xfrm>
                        <a:prstGeom prst="rect">
                          <a:avLst/>
                        </a:prstGeom>
                        <a:noFill/>
                        <a:ln w="25400" cap="flat" cmpd="sng" algn="ctr">
                          <a:noFill/>
                          <a:prstDash val="solid"/>
                        </a:ln>
                        <a:effectLst/>
                      </wps:spPr>
                      <wps:txbx>
                        <w:txbxContent>
                          <w:p>
                            <w:pPr>
                              <w:jc w:val="center"/>
                              <w:rPr>
                                <w:b/>
                                <w:color w:val="FFFF00"/>
                              </w:rPr>
                            </w:pPr>
                            <w:r>
                              <w:rPr>
                                <w:b/>
                                <w:color w:val="FFFF00"/>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35pt;margin-top:374.4pt;height:29.25pt;width:32.25pt;z-index:251616256;v-text-anchor:middle;mso-width-relative:page;mso-height-relative:page;" filled="f" stroked="f" coordsize="21600,21600" o:gfxdata="UEsDBAoAAAAAAIdO4kAAAAAAAAAAAAAAAAAEAAAAZHJzL1BLAwQUAAAACACHTuJAgwrHaNkAAAAL&#10;AQAADwAAAGRycy9kb3ducmV2LnhtbE2PwU7DMAyG70i8Q2QkbiztNtGoazpNCJB2ZEVC3NLGawuN&#10;UzVZt7095gQ3W/70+/uL7cUNYsYp9J40pIsEBFLjbU+thvfq5UGBCNGQNYMn1HDFANvy9qYwufVn&#10;esP5EFvBIRRyo6GLccylDE2HzoSFH5H4dvSTM5HXqZV2MmcOd4NcJsmjdKYn/tCZEZ86bL4PJ6ch&#10;1PO+uo67j6/P0NS7Z3LVev+q9f1dmmxARLzEPxh+9VkdSnaq/YlsEIOGLFUZozysFXdgIlOrJYha&#10;g0qyFciykP87lD9QSwMEFAAAAAgAh07iQG6yweE9AgAAVwQAAA4AAABkcnMvZTJvRG9jLnhtbK1U&#10;3a4SMRC+N/Edmt7LAi4ihOWEHIIxIR4SNF4P3ZbdpH+2hV18GRPvfAgfx/gaTrt7OES9Mt6Umc7s&#10;15lvvmFx1ypJztz52uiCjgZDSrhmpqz1saAf3m9evKbEB9AlSKN5QS/c07vl82eLxs752FRGltwR&#10;BNF+3tiCViHYeZZ5VnEFfmAs1xgUxikI6LpjVjpoEF3JbDwcvsoa40rrDOPe4+26C9JlwheCs/Ag&#10;hOeByIJibSGdLp2HeGbLBcyPDmxVs74M+IcqFNQaH71CrSEAObn6DyhVM2e8EWHAjMqMEDXjqQfs&#10;ZjT8rZt9BZanXpAcb680+f8Hy96dd47UZUGnM0o0KJzRzy/ffnz/SvAC2Wmsn2PS3u5c73k0Y6ut&#10;cCr+YhOkTYxerozyNhCGl/lwNplOKGEYejkd5WgjSvb0sXU+vOFGkWgU1OHAEo9w3vrQpT6mxLe0&#10;2dRS4j3MpSZNQceTfIhzZYDaERICmspiN14fKQF5RFGy4BLkzbcRcg2+ImdAXXgj67KvS+qIzZNy&#10;+goiA13P0Qrtoe2JOJjyguQ506nKW7apEXgLPuzAoYywMFyN8ICHkAarNb1FSWXc57/dx3ycLkYp&#10;aVCWWN2nEzhOiXyrce6zUZ5HHScnn0zH6LjbyOE2ok/q3mCHI1xCy5IZ84N8NIUz6iNu0Cq+iiHQ&#10;DN/uOOud+9CtC+4g46tVSkPtWghbvbcsgneTWZ2CEXUaWiSqYweHHR1Ubxp7v2lxPW79lPX0f7D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Kx2jZAAAACwEAAA8AAAAAAAAAAQAgAAAAIgAAAGRy&#10;cy9kb3ducmV2LnhtbFBLAQIUABQAAAAIAIdO4kBussHhPQIAAFcEAAAOAAAAAAAAAAEAIAAAACgB&#10;AABkcnMvZTJvRG9jLnhtbFBLBQYAAAAABgAGAFkBAADXBQAAAAA=&#10;">
                <v:fill on="f" focussize="0,0"/>
                <v:stroke on="f" weight="2pt"/>
                <v:imagedata o:title=""/>
                <o:lock v:ext="edit" aspectratio="f"/>
                <v:textbox>
                  <w:txbxContent>
                    <w:p>
                      <w:pPr>
                        <w:jc w:val="center"/>
                        <w:rPr>
                          <w:b/>
                          <w:color w:val="FFFF00"/>
                        </w:rPr>
                      </w:pPr>
                      <w:r>
                        <w:rPr>
                          <w:b/>
                          <w:color w:val="FFFF00"/>
                        </w:rPr>
                        <w:t>20</w:t>
                      </w:r>
                    </w:p>
                  </w:txbxContent>
                </v:textbox>
              </v:rect>
            </w:pict>
          </mc:Fallback>
        </mc:AlternateContent>
      </w:r>
      <w:r>
        <w:rPr>
          <w:sz w:val="21"/>
          <w:szCs w:val="24"/>
        </w:rPr>
        <mc:AlternateContent>
          <mc:Choice Requires="wps">
            <w:drawing>
              <wp:anchor distT="0" distB="0" distL="114300" distR="114300" simplePos="0" relativeHeight="251622400" behindDoc="0" locked="0" layoutInCell="1" allowOverlap="1">
                <wp:simplePos x="0" y="0"/>
                <wp:positionH relativeFrom="column">
                  <wp:posOffset>2877820</wp:posOffset>
                </wp:positionH>
                <wp:positionV relativeFrom="paragraph">
                  <wp:posOffset>4474845</wp:posOffset>
                </wp:positionV>
                <wp:extent cx="409575" cy="390525"/>
                <wp:effectExtent l="0" t="0" r="0" b="0"/>
                <wp:wrapNone/>
                <wp:docPr id="82" name="矩形 82"/>
                <wp:cNvGraphicFramePr/>
                <a:graphic xmlns:a="http://schemas.openxmlformats.org/drawingml/2006/main">
                  <a:graphicData uri="http://schemas.microsoft.com/office/word/2010/wordprocessingShape">
                    <wps:wsp>
                      <wps:cNvSpPr/>
                      <wps:spPr>
                        <a:xfrm>
                          <a:off x="0" y="0"/>
                          <a:ext cx="409575" cy="390525"/>
                        </a:xfrm>
                        <a:prstGeom prst="rect">
                          <a:avLst/>
                        </a:prstGeom>
                        <a:noFill/>
                        <a:ln w="25400" cap="flat" cmpd="sng" algn="ctr">
                          <a:noFill/>
                          <a:prstDash val="solid"/>
                        </a:ln>
                        <a:effectLst/>
                      </wps:spPr>
                      <wps:txbx>
                        <w:txbxContent>
                          <w:p>
                            <w:pPr>
                              <w:jc w:val="center"/>
                              <w:rPr>
                                <w:b/>
                                <w:color w:val="FFFF00"/>
                              </w:rPr>
                            </w:pPr>
                            <w:r>
                              <w:rPr>
                                <w:b/>
                                <w:color w:val="FFFF00"/>
                              </w:rPr>
                              <w:t>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6.6pt;margin-top:352.35pt;height:30.75pt;width:32.25pt;z-index:251622400;v-text-anchor:middle;mso-width-relative:page;mso-height-relative:page;" filled="f" stroked="f" coordsize="21600,21600" o:gfxdata="UEsDBAoAAAAAAIdO4kAAAAAAAAAAAAAAAAAEAAAAZHJzL1BLAwQUAAAACACHTuJADn1B/dkAAAAL&#10;AQAADwAAAGRycy9kb3ducmV2LnhtbE2PTU+DQBCG7yb+h82YeLMLSMEgS9MYNenRYmK8LewIKDtL&#10;2C1t/73jqd7m48k7z5Sbkx3FgrMfHCmIVxEIpNaZgToF7/XL3QMIHzQZPTpCBWf0sKmur0pdGHek&#10;N1z2oRMcQr7QCvoQpkJK3/ZotV+5CYl3X262OnA7d9LM+sjhdpRJFGXS6oH4Qq8nfOqx/dkfrALf&#10;LLv6PG0/vj9922yfydbp7lWp25s4egQR8BQuMPzpszpU7NS4AxkvRgXp+j5hVEEepTkIJtZxzkXD&#10;kyxLQFal/P9D9QtQSwMEFAAAAAgAh07iQIRc0YA/AgAAVwQAAA4AAABkcnMvZTJvRG9jLnhtbK1U&#10;zY7aMBC+V+o7WL6XBArdJSKs0CKqSqiLRKueB8cmkfxX2xDoy1TqrQ+xj1P1NTp2sixqe6p6MTOe&#10;yeeZb75hdndSkhy5843RJR0Ockq4ZqZq9L6kHz+sXt1S4gPoCqTRvKRn7und/OWLWWsLPjK1kRV3&#10;BEG0L1pb0joEW2SZZzVX4AfGco1BYZyCgK7bZ5WDFtGVzEZ5/iZrjausM4x7j7fLLkjnCV8IzsKD&#10;EJ4HIkuKtYV0unTu4pnNZ1DsHdi6YX0Z8A9VKGg0PnqBWkIAcnDNH1CqYc54I8KAGZUZIRrGUw/Y&#10;zTD/rZttDZanXpAcby80+f8Hy94fN440VUlvR5RoUDijn1+//3j8RvAC2WmtLzBpazeu9zyasdWT&#10;cCr+YhPklBg9Xxjlp0AYXo7z6eRmQgnD0OtpPhlNImb2/LF1PrzlRpFolNThwBKPcFz70KU+pcS3&#10;tFk1UuI9FFKTtqSjyTjHuTJA7QgJAU1lsRuv95SA3KMoWXAJ8urbCLkEX5MjoC68kU3V1yV1xOZJ&#10;OX0FkYGu52iF0+7UE7Ez1RnJc6ZTlbds1SDwGnzYgEMZYWG4GuEBDyENVmt6i5LauC9/u4/5OF2M&#10;UtKiLLG6zwdwnBL5TuPcp8PxOOo4OePJzQgddx3ZXUf0Qd0b7HCIS2hZMmN+kE+mcEZ9wg1axFcx&#10;BJrh2x1nvXMfunXBHWR8sUhpqF0LYa23lkXwbjKLQzCiSUOLRHXs4LCjg+pNY+83La7HtZ+ynv8P&#10;5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n1B/dkAAAALAQAADwAAAAAAAAABACAAAAAiAAAA&#10;ZHJzL2Rvd25yZXYueG1sUEsBAhQAFAAAAAgAh07iQIRc0YA/AgAAVwQAAA4AAAAAAAAAAQAgAAAA&#10;KAEAAGRycy9lMm9Eb2MueG1sUEsFBgAAAAAGAAYAWQEAANkFAAAAAA==&#10;">
                <v:fill on="f" focussize="0,0"/>
                <v:stroke on="f" weight="2pt"/>
                <v:imagedata o:title=""/>
                <o:lock v:ext="edit" aspectratio="f"/>
                <v:textbox>
                  <w:txbxContent>
                    <w:p>
                      <w:pPr>
                        <w:jc w:val="center"/>
                        <w:rPr>
                          <w:b/>
                          <w:color w:val="FFFF00"/>
                        </w:rPr>
                      </w:pPr>
                      <w:r>
                        <w:rPr>
                          <w:b/>
                          <w:color w:val="FFFF00"/>
                        </w:rPr>
                        <w:t>23</w:t>
                      </w:r>
                    </w:p>
                  </w:txbxContent>
                </v:textbox>
              </v:rect>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3344545</wp:posOffset>
                </wp:positionH>
                <wp:positionV relativeFrom="paragraph">
                  <wp:posOffset>4714240</wp:posOffset>
                </wp:positionV>
                <wp:extent cx="78740" cy="86360"/>
                <wp:effectExtent l="0" t="0" r="16510" b="27940"/>
                <wp:wrapNone/>
                <wp:docPr id="81" name="椭圆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35pt;margin-top:371.2pt;height:6.8pt;width:6.2pt;z-index:251620352;v-text-anchor:middle;mso-width-relative:page;mso-height-relative:page;" fillcolor="#FFFF00" filled="t" stroked="t" coordsize="21600,21600" o:gfxdata="UEsDBAoAAAAAAIdO4kAAAAAAAAAAAAAAAAAEAAAAZHJzL1BLAwQUAAAACACHTuJAtcCnBd0AAAAL&#10;AQAADwAAAGRycy9kb3ducmV2LnhtbE2Py07DMBBF90j8gzVI7Kid0KRtGqeqkCpYsOgLsXWTaRwR&#10;j6PYaRu+HrOC5cwc3Tk3X91Myy7Yu8aShGgigCGVtmqolnA8bJ7mwJxXVKnWEkoY0cGquL/LVVbZ&#10;K+3wsvc1CyHkMiVBe99lnLtSo1FuYjukcDvb3igfxr7mVa+uIdy0PBYi5UY1FD5o1eGLxvJrPxgJ&#10;6/XHmz8uhm78fv3U2wOfj5vdu5SPD5FYAvN4838w/OoHdSiC08kOVDnWSkjidBZQCbNpPAUWiOR5&#10;EQE7hU2SCuBFzv93KH4AUEsDBBQAAAAIAIdO4kCQ5dqrYgIAAMsEAAAOAAAAZHJzL2Uyb0RvYy54&#10;bWytVM1uEzEQviPxDpbvdJOQtmGVTRUlCkKKaKWCOE+89q6F/7CdbMoD8BQce+Wx4DkYO5s2BQ4I&#10;sQdrxjOen2++2enVXiuy4z5Iayo6PBtQwg2ztTRNRd+/W72YUBIimBqUNbyidzzQq9nzZ9POlXxk&#10;W6tq7gkGMaHsXEXbGF1ZFIG1XEM4s44bNArrNURUfVPUHjqMrlUxGgwuis762nnLeAh4uzwY6SzH&#10;F4KzeC1E4JGoimJtMZ8+n5t0FrMplI0H10rWlwH/UIUGaTDpQ6glRCBbL38LpSXzNlgRz5jVhRVC&#10;Mp57wG6Gg1+6uW3B8dwLghPcA0zh/4Vlb3c3nsi6opMhJQY0zujH/bfvX78QvEB0OhdKdLp1Nz71&#10;F9zaso+BGLtowTR8HhxijJNPvsUT56SE/tleeJ2eY8Nkn9G/e0Cf7yNheHk5uRzjiBhaJhcvL/Js&#10;CiiPT50P8TW3miSholwp6UJCB0rYrUNM+aE8euVarZL1SiqVFd9sFsqTHSATVvgNjgnCqZsypKvo&#10;6HyMZsIAGSkURBS1Q4yCaSgB1SDVWfQ595PX4e+SpCKXENpDMTlChg9KZVKtPBO37+kRxiRtbH2H&#10;A/MWIcAKg2MridHWEOINeKQuXuI6xms8hLLYi+0lSlrrP//pPvkjo9BKSYergH1+2oLnlKg3Brn2&#10;ajhOg4lZGZ9fjlDxp5bNqcVs9cIixkgnrC6LyT+qoyi81R9wa+cpK5rAMMx9QLRXFvGworj3jM/n&#10;2Q33xUFcm1vHUvCEk7HzbbRC5tk/otMTETcmU6Lf7rSSp3r2evwHzX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cCnBd0AAAALAQAADwAAAAAAAAABACAAAAAiAAAAZHJzL2Rvd25yZXYueG1sUEsB&#10;AhQAFAAAAAgAh07iQJDl2qtiAgAAywQAAA4AAAAAAAAAAQAgAAAALAEAAGRycy9lMm9Eb2MueG1s&#10;UEsFBgAAAAAGAAYAWQEAAAAGA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67104" behindDoc="0" locked="0" layoutInCell="1" allowOverlap="1">
                <wp:simplePos x="0" y="0"/>
                <wp:positionH relativeFrom="column">
                  <wp:posOffset>3794125</wp:posOffset>
                </wp:positionH>
                <wp:positionV relativeFrom="paragraph">
                  <wp:posOffset>4388485</wp:posOffset>
                </wp:positionV>
                <wp:extent cx="78740" cy="86360"/>
                <wp:effectExtent l="0" t="0" r="16510" b="27940"/>
                <wp:wrapNone/>
                <wp:docPr id="475" name="椭圆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8.75pt;margin-top:345.55pt;height:6.8pt;width:6.2pt;z-index:251567104;v-text-anchor:middle;mso-width-relative:page;mso-height-relative:page;" fillcolor="#FFFF00" filled="t" stroked="t" coordsize="21600,21600" o:gfxdata="UEsDBAoAAAAAAIdO4kAAAAAAAAAAAAAAAAAEAAAAZHJzL1BLAwQUAAAACACHTuJAFYCcDtwAAAAL&#10;AQAADwAAAGRycy9kb3ducmV2LnhtbE2Py07DMBBF90j8gzVI7KgdRJM6zaSqkCpYsKAP1K2bmDgi&#10;Hkex0zZ8PWYFy9E9uvdMsbrajp314FtHCMlMANNUubqlBuGw3zwsgPmgqFadI40waQ+r8vamUHnt&#10;LrTV511oWCwhnysEE0Kfc+4ro63yM9dritmnG6wK8RwaXg/qEsttxx+FSLlVLcUFo3r9bHT1tRst&#10;wnr98RoOcuyn75ejed/zxbTZviHe3yViCSzoa/iD4Vc/qkMZnU5upNqzDmEus3lEEVKZJMAikQop&#10;gZ0QMvGUAS8L/v+H8gdQSwMEFAAAAAgAh07iQPRWF5xgAgAAzQQAAA4AAABkcnMvZTJvRG9jLnht&#10;bK1UzW4TMRC+I/EOlu90k5A2ZZVNFaUKQopopYI4T7z2roX/sJ1sygPwFBx75bHgORg7myYFDgix&#10;B2v+f76Z2enVTiuy5T5Iayo6PBtQwg2ztTRNRd+/W764pCREMDUoa3hF73mgV7Pnz6adK/nItlbV&#10;3BMMYkLZuYq2MbqyKAJruYZwZh03qBTWa4jI+qaoPXQYXatiNBhcFJ31tfOW8RBQer1X0lmOLwRn&#10;8UaIwCNRFcXaYn59ftfpLWZTKBsPrpWsLwP+oQoN0mDSx1DXEIFsvPwtlJbM22BFPGNWF1YIyXju&#10;AbsZDn7p5q4Fx3MvCE5wjzCF/xeWvd3eeiLrio4n55QY0DikHw/fvn/9QpIE8elcKNHszt361GFw&#10;K8s+BmLsogXT8HlwiDLOPtkWT4wTE3q3nfA6uWPLZJfxv3/En+8iYSicXE7GOCSGmsuLlxd5OgWU&#10;B1fnQ3zNrSaJqChXSrqQ8IEStqsQU34oD1a5VqtkvZRKZcY364XyZAu4C0v8BocE4dRMGdJVdHQ+&#10;RjVhgDspFEQktUOUgmkoAdXgsrPoc+4n3uHvkqQiryG0+2JyhAwflMqkWnle3b6nI4yJWtv6Hkfm&#10;LUKAFQbHlhKjrSDEW/C4vCjEg4w3+AhlsRfbU5S01n/+kzzZ406hlpIOjwH7/LQBzylRbwxu26vh&#10;OA0mZmZ8Phkh408161ON2eiFRYyHubpMJvuoDqTwVn/Au52nrKgCwzD3HtGeWcT9keLlMz6fZzO8&#10;GAdxZe4cS8ETTsbON9EKmWd/RKdfRLyZvBL9faejPOWz1fEvN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YCcDtwAAAALAQAADwAAAAAAAAABACAAAAAiAAAAZHJzL2Rvd25yZXYueG1sUEsBAhQA&#10;FAAAAAgAh07iQPRWF5x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18304" behindDoc="0" locked="0" layoutInCell="1" allowOverlap="1">
                <wp:simplePos x="0" y="0"/>
                <wp:positionH relativeFrom="column">
                  <wp:posOffset>3382645</wp:posOffset>
                </wp:positionH>
                <wp:positionV relativeFrom="paragraph">
                  <wp:posOffset>4197985</wp:posOffset>
                </wp:positionV>
                <wp:extent cx="409575" cy="381635"/>
                <wp:effectExtent l="0" t="0" r="0" b="0"/>
                <wp:wrapNone/>
                <wp:docPr id="80" name="矩形 80"/>
                <wp:cNvGraphicFramePr/>
                <a:graphic xmlns:a="http://schemas.openxmlformats.org/drawingml/2006/main">
                  <a:graphicData uri="http://schemas.microsoft.com/office/word/2010/wordprocessingShape">
                    <wps:wsp>
                      <wps:cNvSpPr/>
                      <wps:spPr>
                        <a:xfrm>
                          <a:off x="0" y="0"/>
                          <a:ext cx="409575" cy="381635"/>
                        </a:xfrm>
                        <a:prstGeom prst="rect">
                          <a:avLst/>
                        </a:prstGeom>
                        <a:noFill/>
                        <a:ln w="25400" cap="flat" cmpd="sng" algn="ctr">
                          <a:noFill/>
                          <a:prstDash val="solid"/>
                        </a:ln>
                        <a:effectLst/>
                      </wps:spPr>
                      <wps:txbx>
                        <w:txbxContent>
                          <w:p>
                            <w:pPr>
                              <w:jc w:val="center"/>
                              <w:rPr>
                                <w:b/>
                                <w:color w:val="FFFF00"/>
                              </w:rPr>
                            </w:pPr>
                            <w:r>
                              <w:rPr>
                                <w:b/>
                                <w:color w:val="FFFF00"/>
                              </w:rPr>
                              <w:t>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35pt;margin-top:330.55pt;height:30.05pt;width:32.25pt;z-index:251618304;v-text-anchor:middle;mso-width-relative:page;mso-height-relative:page;" filled="f" stroked="f" coordsize="21600,21600" o:gfxdata="UEsDBAoAAAAAAIdO4kAAAAAAAAAAAAAAAAAEAAAAZHJzL1BLAwQUAAAACACHTuJA96YKsNoAAAAL&#10;AQAADwAAAGRycy9kb3ducmV2LnhtbE2PwU7DMBBE70j8g7VI3KhjQ5M2xKkqBEg9tkFC3Jx4SQLx&#10;OordtP17zAmOq3maeVtsznZgM06+d6RALBJgSI0zPbUK3qqXuxUwHzQZPThCBRf0sCmvrwqdG3ei&#10;Pc6H0LJYQj7XCroQxpxz33RotV+4ESlmn26yOsRzarmZ9CmW24HLJEm51T3FhU6P+NRh8304WgW+&#10;nnfVZdy+f334pt4+k60edq9K3d6I5BFYwHP4g+FXP6pDGZ1qdyTj2aBgeS+ziCpIUyGARWK5ziSw&#10;WkEmhQReFvz/D+UPUEsDBBQAAAAIAIdO4kCyTfM3PwIAAFcEAAAOAAAAZHJzL2Uyb0RvYy54bWyt&#10;VM2O2jAQvlfqO1i+lwQWdllEWKFFVJVQdyVa9Tw4Nonkv9qGhL5Mpd76EPs4VV+jYyfLoranqhcz&#10;45l8nvnmG+Z3rZLkyJ2vjS7ocJBTwjUzZa33Bf34Yf1mSokPoEuQRvOCnrind4vXr+aNnfGRqYws&#10;uSMIov2ssQWtQrCzLPOs4gr8wFiuMSiMUxDQdfusdNAgupLZKM+vs8a40jrDuPd4u+qCdJHwheAs&#10;PAjheSCyoFhbSKdL5y6e2WIOs70DW9WsLwP+oQoFtcZHz1ArCEAOrv4DStXMGW9EGDCjMiNEzXjq&#10;AbsZ5r91s63A8tQLkuPtmSb//2DZ++OjI3VZ0CnSo0HhjH5+/f7j6RvBC2SnsX6GSVv76HrPoxlb&#10;bYVT8RebIG1i9HRmlLeBMLwc57eTmwklDENX0+H11SRiZi8fW+fDW24UiUZBHQ4s8QjHjQ9d6nNK&#10;fEubdS0l3sNMatIUdDQZ51g4A9SOkBDQVBa78XpPCcg9ipIFlyAvvo2QK/AVOQLqwhtZl31dUkds&#10;npTTVxAZ6HqOVmh3bU/EzpQnJM+ZTlXesnWNwBvw4REcyggLw9UID3gIabBa01uUVMZ9+dt9zMfp&#10;YpSSBmWJ1X0+gOOUyHca5347HI+jjpMzntyM0HGXkd1lRB/UvcEOh7iEliUz5gf5bApn1CfcoGV8&#10;FUOgGb7dcdY796FbF9xBxpfLlIbatRA2emtZBO8mszwEI+o0tEhUxw4OOzqo3jT2ftPielz6Kevl&#10;/2D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emCrDaAAAACwEAAA8AAAAAAAAAAQAgAAAAIgAA&#10;AGRycy9kb3ducmV2LnhtbFBLAQIUABQAAAAIAIdO4kCyTfM3PwIAAFcEAAAOAAAAAAAAAAEAIAAA&#10;ACkBAABkcnMvZTJvRG9jLnhtbFBLBQYAAAAABgAGAFkBAADaBQAAAAA=&#10;">
                <v:fill on="f" focussize="0,0"/>
                <v:stroke on="f" weight="2pt"/>
                <v:imagedata o:title=""/>
                <o:lock v:ext="edit" aspectratio="f"/>
                <v:textbox>
                  <w:txbxContent>
                    <w:p>
                      <w:pPr>
                        <w:jc w:val="center"/>
                        <w:rPr>
                          <w:b/>
                          <w:color w:val="FFFF00"/>
                        </w:rPr>
                      </w:pPr>
                      <w:r>
                        <w:rPr>
                          <w:b/>
                          <w:color w:val="FFFF00"/>
                        </w:rPr>
                        <w:t>21</w:t>
                      </w:r>
                    </w:p>
                  </w:txbxContent>
                </v:textbox>
              </v:rect>
            </w:pict>
          </mc:Fallback>
        </mc:AlternateContent>
      </w:r>
      <w:r>
        <mc:AlternateContent>
          <mc:Choice Requires="wps">
            <w:drawing>
              <wp:anchor distT="0" distB="0" distL="114300" distR="114300" simplePos="0" relativeHeight="251569152" behindDoc="0" locked="0" layoutInCell="1" allowOverlap="1">
                <wp:simplePos x="0" y="0"/>
                <wp:positionH relativeFrom="column">
                  <wp:posOffset>4644390</wp:posOffset>
                </wp:positionH>
                <wp:positionV relativeFrom="paragraph">
                  <wp:posOffset>3798570</wp:posOffset>
                </wp:positionV>
                <wp:extent cx="78740" cy="86360"/>
                <wp:effectExtent l="0" t="0" r="16510" b="27940"/>
                <wp:wrapNone/>
                <wp:docPr id="486" name="椭圆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5.7pt;margin-top:299.1pt;height:6.8pt;width:6.2pt;z-index:251569152;v-text-anchor:middle;mso-width-relative:page;mso-height-relative:page;" fillcolor="#FFFF00" filled="t" stroked="t" coordsize="21600,21600" o:gfxdata="UEsDBAoAAAAAAIdO4kAAAAAAAAAAAAAAAAAEAAAAZHJzL1BLAwQUAAAACACHTuJA8gC/ad0AAAAL&#10;AQAADwAAAGRycy9kb3ducmV2LnhtbE2Py07DMBBF90j8gzVI7KjjtrRpmklVIVWwYNEXYuvGbhwR&#10;j6PYaRu+HrOC5WiO7j03X91swy6687UjBDFKgGkqnaqpQjgeNk8pMB8kKdk40giD9rAq7u9ymSl3&#10;pZ2+7EPFYgj5TCKYENqMc18abaUfuVZT/J1dZ2WIZ1dx1clrDLcNHyfJjFtZU2wwstUvRpdf+94i&#10;rNcfb+G46Nvh+/XTbA88HTa7d8THB5EsgQV9C38w/OpHdSii08n1pDxrEOYTMY0owvMiHQOLxHw6&#10;iWNOCDMhUuBFzv9vKH4AUEsDBBQAAAAIAIdO4kCngVjyYAIAAM0EAAAOAAAAZHJzL2Uyb0RvYy54&#10;bWytVM1uEzEQviPxDpbvdJOQpmHVTRWlCkKKaKSCOE+89q6F/7CdbMoD8BQce+Wx4DkYO5s2BQ4I&#10;sQdr/n++mdnLq71WZMd9kNZUdHg2oIQbZmtpmoq+f7d8MaUkRDA1KGt4Re94oFez588uO1fykW2t&#10;qrknGMSEsnMVbWN0ZVEE1nIN4cw6blAprNcQkfVNUXvoMLpWxWgwmBSd9bXzlvEQUHp9UNJZji8E&#10;Z/FGiMAjURXF2mJ+fX436S1ml1A2HlwrWV8G/EMVGqTBpA+hriEC2Xr5WygtmbfBinjGrC6sEJLx&#10;3AN2Mxz80s1tC47nXhCc4B5gCv8vLHu7W3si64qOpxNKDGgc0o/7b9+/fiFJgvh0LpRoduvWPnUY&#10;3Mqyj4EYu2jBNHweHKKMs0+2xRPjxITebS+8Tu7YMtln/O8e8Of7SBgKL6YXYxwSQ8108nKSp1NA&#10;eXR1PsTX3GqSiIpypaQLCR8oYbcKMeWH8miVa7VK1kupVGZ8s1koT3aAu7DEb3BMEE7NlCFdRUfn&#10;Y1QTBriTQkFEUjtEKZiGElANLjuLPud+4h3+Lkkq8hpCeygmR8jwQalMqpXn1e17eoQxURtb3+HI&#10;vEUIsMLg2FJitBWEuAaPy4tCPMh4g49QFnuxPUVJa/3nP8mTPe4Uainp8Biwz09b8JwS9cbgtr0a&#10;jtNgYmbG5xcjZPypZnOqMVu9sIjxMFeXyWQf1ZEU3uoPeLfzlBVVYBjmPiDaM4t4OFK8fMbn82yG&#10;F+MgrsytYyl4wsnY+TZaIfPsH9HpFxFvJq9Ef9/pKE/5bPX4F5r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Av2ndAAAACwEAAA8AAAAAAAAAAQAgAAAAIgAAAGRycy9kb3ducmV2LnhtbFBLAQIU&#10;ABQAAAAIAIdO4kCngVjyYAIAAM0EAAAOAAAAAAAAAAEAIAAAACwBAABkcnMvZTJvRG9jLnhtbFBL&#10;BQYAAAAABgAGAFkBAAD+BQ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14208" behindDoc="0" locked="0" layoutInCell="1" allowOverlap="1">
                <wp:simplePos x="0" y="0"/>
                <wp:positionH relativeFrom="column">
                  <wp:posOffset>4239895</wp:posOffset>
                </wp:positionH>
                <wp:positionV relativeFrom="paragraph">
                  <wp:posOffset>3521710</wp:posOffset>
                </wp:positionV>
                <wp:extent cx="409575" cy="419100"/>
                <wp:effectExtent l="0" t="0" r="0" b="0"/>
                <wp:wrapNone/>
                <wp:docPr id="78" name="矩形 78"/>
                <wp:cNvGraphicFramePr/>
                <a:graphic xmlns:a="http://schemas.openxmlformats.org/drawingml/2006/main">
                  <a:graphicData uri="http://schemas.microsoft.com/office/word/2010/wordprocessingShape">
                    <wps:wsp>
                      <wps:cNvSpPr/>
                      <wps:spPr>
                        <a:xfrm>
                          <a:off x="0" y="0"/>
                          <a:ext cx="409575" cy="419100"/>
                        </a:xfrm>
                        <a:prstGeom prst="rect">
                          <a:avLst/>
                        </a:prstGeom>
                        <a:noFill/>
                        <a:ln w="25400" cap="flat" cmpd="sng" algn="ctr">
                          <a:noFill/>
                          <a:prstDash val="solid"/>
                        </a:ln>
                        <a:effectLst/>
                      </wps:spPr>
                      <wps:txbx>
                        <w:txbxContent>
                          <w:p>
                            <w:pPr>
                              <w:jc w:val="center"/>
                              <w:rPr>
                                <w:b/>
                                <w:color w:val="FFFF00"/>
                              </w:rPr>
                            </w:pPr>
                            <w:r>
                              <w:rPr>
                                <w:rFonts w:hint="eastAsia"/>
                                <w:b/>
                                <w:color w:val="FFFF00"/>
                              </w:rPr>
                              <w:t>1</w:t>
                            </w:r>
                            <w:r>
                              <w:rPr>
                                <w:b/>
                                <w:color w:val="FFFF00"/>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85pt;margin-top:277.3pt;height:33pt;width:32.25pt;z-index:251614208;v-text-anchor:middle;mso-width-relative:page;mso-height-relative:page;" filled="f" stroked="f" coordsize="21600,21600" o:gfxdata="UEsDBAoAAAAAAIdO4kAAAAAAAAAAAAAAAAAEAAAAZHJzL1BLAwQUAAAACACHTuJAuIsSz9kAAAAL&#10;AQAADwAAAGRycy9kb3ducmV2LnhtbE2PwU7DMBBE70j8g7VI3Kjd0CYoxKkqBEg90iAhbk68JIF4&#10;HcVu2v49y6kcV/M087bYnNwgZpxC70nDcqFAIDXe9tRqeK9e7h5AhGjImsETajhjgE15fVWY3Poj&#10;veG8j63gEgq50dDFOOZShqZDZ8LCj0icffnJmcjn1Eo7mSOXu0EmSqXSmZ54oTMjPnXY/OwPTkOo&#10;5111Hrcf35+hqbfP5KrV7lXr25ulegQR8RQvMPzpszqU7FT7A9kgBg1pmmWMalivVykIJrL7JAFR&#10;c5SoFGRZyP8/lL9QSwMEFAAAAAgAh07iQKumjIs/AgAAVwQAAA4AAABkcnMvZTJvRG9jLnhtbK1U&#10;zY7TMBC+I/EOlu9s2qqltNp0VW1VhLRiKxXE2XXsJpL/sN2m5WWQuPEQPM6K1+Czk92tgBPi4sx4&#10;xt/MfDOT65uTVuQofGisKenwakCJMNxWjdmX9OOH9as3lITITMWUNaKkZxHozeLli+vWzcXI1lZV&#10;whOAmDBvXUnrGN28KAKvhWbhyjphYJTWaxah+n1RedYCXatiNBi8LlrrK+ctFyHgdtUZ6SLjSyl4&#10;vJcyiEhUSZFbzKfP5y6dxeKazfeeubrhfRrsH7LQrDEI+gS1YpGRg2/+gNIN9zZYGa+41YWVsuEi&#10;14BqhoPfqtnWzIlcC8gJ7omm8P9g+fvjxpOmKukUnTJMo0c/v35/+PGN4ALstC7M4bR1G99rAWIq&#10;9SS9Tl8UQU6Z0fMTo+IUCcfleDCbTCeUcJjGw9lwkBkvnh87H+JbYTVJQkk9GpZ5ZMe7EBEQro8u&#10;KZax60ap3DRlSFvS0WQMTMIZZkcqFiFqh2qC2VPC1B5DyaPPkBdvE+SKhZocGeYiWNVUqVYEUyaF&#10;EXly+gwSA13NSYqn3aknYmerM8jztpuq4Pi6AfAdC3HDPMYIiWE14j0OqSyytb1ESW39l7/dJ390&#10;F1ZKWowlsvt8YF5Qot4Z9H02HI/THGdlPJmOoPhLy+7SYg761qLCIZbQ8Swm/6geRemt/oQNWqao&#10;MDHDEbvjrFduY7cu2EEulsvshtl1LN6ZreMJvOvM8hCtbHLTElEdOyA1KZjeTG+/aWk9LvXs9fw/&#10;W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IsSz9kAAAALAQAADwAAAAAAAAABACAAAAAiAAAA&#10;ZHJzL2Rvd25yZXYueG1sUEsBAhQAFAAAAAgAh07iQKumjIs/AgAAVwQAAA4AAAAAAAAAAQAgAAAA&#10;KAEAAGRycy9lMm9Eb2MueG1sUEsFBgAAAAAGAAYAWQEAANkFAAAAAA==&#10;">
                <v:fill on="f" focussize="0,0"/>
                <v:stroke on="f" weight="2pt"/>
                <v:imagedata o:title=""/>
                <o:lock v:ext="edit" aspectratio="f"/>
                <v:textbox>
                  <w:txbxContent>
                    <w:p>
                      <w:pPr>
                        <w:jc w:val="center"/>
                        <w:rPr>
                          <w:b/>
                          <w:color w:val="FFFF00"/>
                        </w:rPr>
                      </w:pPr>
                      <w:r>
                        <w:rPr>
                          <w:rFonts w:hint="eastAsia"/>
                          <w:b/>
                          <w:color w:val="FFFF00"/>
                        </w:rPr>
                        <w:t>1</w:t>
                      </w:r>
                      <w:r>
                        <w:rPr>
                          <w:b/>
                          <w:color w:val="FFFF00"/>
                        </w:rPr>
                        <w:t>9</w:t>
                      </w:r>
                    </w:p>
                  </w:txbxContent>
                </v:textbox>
              </v:rect>
            </w:pict>
          </mc:Fallback>
        </mc:AlternateContent>
      </w:r>
      <w:r>
        <w:rPr>
          <w:sz w:val="21"/>
          <w:szCs w:val="24"/>
        </w:rPr>
        <mc:AlternateContent>
          <mc:Choice Requires="wps">
            <w:drawing>
              <wp:anchor distT="0" distB="0" distL="114300" distR="114300" simplePos="0" relativeHeight="251630592" behindDoc="0" locked="0" layoutInCell="1" allowOverlap="1">
                <wp:simplePos x="0" y="0"/>
                <wp:positionH relativeFrom="column">
                  <wp:posOffset>2934970</wp:posOffset>
                </wp:positionH>
                <wp:positionV relativeFrom="paragraph">
                  <wp:posOffset>3459480</wp:posOffset>
                </wp:positionV>
                <wp:extent cx="409575" cy="409575"/>
                <wp:effectExtent l="0" t="0" r="0" b="0"/>
                <wp:wrapNone/>
                <wp:docPr id="87" name="矩形 87"/>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22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1pt;margin-top:272.4pt;height:32.25pt;width:32.25pt;z-index:251630592;v-text-anchor:middle;mso-width-relative:page;mso-height-relative:page;" filled="f" stroked="f" coordsize="21600,21600" o:gfxdata="UEsDBAoAAAAAAIdO4kAAAAAAAAAAAAAAAAAEAAAAZHJzL1BLAwQUAAAACACHTuJAx+AdM9oAAAAL&#10;AQAADwAAAGRycy9kb3ducmV2LnhtbE2PwU7DMBBE70j8g7VI3KjdkAYIcaoKAVKPbZAQNydekkC8&#10;jmI3bf+e5QTH1T7NvCnWJzeIGafQe9KwXCgQSI23PbUa3qqXm3sQIRqyZvCEGs4YYF1eXhQmt/5I&#10;O5z3sRUcQiE3GroYx1zK0HToTFj4EYl/n35yJvI5tdJO5sjhbpCJUpl0pidu6MyITx023/uD0xDq&#10;eVudx83710do6s0zuSrdvmp9fbVUjyAinuIfDL/6rA4lO9X+QDaIQUOaJQmjGlZpyhuYWCXZHYha&#10;Q6YebkGWhfy/ofwBUEsDBBQAAAAIAIdO4kBaomAfOwIAAFcEAAAOAAAAZHJzL2Uyb0RvYy54bWyt&#10;VEuOEzEQ3SNxB8t7ppMoITNROqNooiCkETPSgFg7bjvdkn/YTjrhMkjsOATHQVyDZ3dPEgErxMap&#10;clU/V716lfntQSuyFz401pR0eDWgRBhuq8ZsS/rh/frVNSUhMlMxZY0o6VEEert4+WLeupkY2dqq&#10;SngCEBNmrStpHaObFUXgtdAsXFknDILSes0iXL8tKs9aoGtVjAaD10VrfeW85SIE3K66IF1kfCkF&#10;jw9SBhGJKilqi/n0+dyks1jM2Wzrmasb3pfB/qEKzRqDR09QKxYZ2fnmDyjdcG+DlfGKW11YKRsu&#10;cg/oZjj4rZunmjmRewE5wZ1oCv8Plr/bP3rSVCW9nlJimMaMfn759uP7V4ILsNO6MEPSk3v0vRdg&#10;plYP0uv0iybIITN6PDEqDpFwXI4HN5PphBKOUG8DpTh/7HyIb4TVJBkl9RhY5pHt70PsUp9T0lvG&#10;rhulcM9mypC2pKPJeIC5cgbtSMUiTO3QTTBbSpjaQpQ8+gx58W2CXLFQkz2DLoJVTZV6RV3KJGyR&#10;ldNXkBjoek5WPGwOSE3mxlZHkOdtp6rg+LoB8D0L8ZF5yAiFYTXiAw6pLKq1vUVJbf3nv92nfEwX&#10;UUpayBLVfdoxLyhRbw3mfjMcj5OOszOeTEdw/GVkcxkxO31n0eEQS+h4NlN+VM+m9FZ/xAYt06sI&#10;McPxdsdZ79zFbl2wg1wslzkN2nUs3psnxxN4N5nlLlrZ5KGd2QGpyYF6M739pqX1uPRz1vn/Y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AdM9oAAAALAQAADwAAAAAAAAABACAAAAAiAAAAZHJz&#10;L2Rvd25yZXYueG1sUEsBAhQAFAAAAAgAh07iQFqiYB87AgAAVwQAAA4AAAAAAAAAAQAgAAAAKQEA&#10;AGRycy9lMm9Eb2MueG1sUEsFBgAAAAAGAAYAWQEAANYFAAAAAA==&#10;">
                <v:fill on="f" focussize="0,0"/>
                <v:stroke on="f" weight="2pt"/>
                <v:imagedata o:title=""/>
                <o:lock v:ext="edit" aspectratio="f"/>
                <v:textbox>
                  <w:txbxContent>
                    <w:p>
                      <w:pPr>
                        <w:jc w:val="center"/>
                        <w:rPr>
                          <w:b/>
                          <w:color w:val="FFFF00"/>
                        </w:rPr>
                      </w:pPr>
                      <w:r>
                        <w:rPr>
                          <w:b/>
                          <w:color w:val="FFFF00"/>
                        </w:rPr>
                        <w:t>22</w:t>
                      </w:r>
                    </w:p>
                  </w:txbxContent>
                </v:textbox>
              </v:rect>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3237230</wp:posOffset>
                </wp:positionH>
                <wp:positionV relativeFrom="paragraph">
                  <wp:posOffset>3742055</wp:posOffset>
                </wp:positionV>
                <wp:extent cx="78740" cy="86360"/>
                <wp:effectExtent l="0" t="0" r="16510" b="27940"/>
                <wp:wrapNone/>
                <wp:docPr id="498" name="椭圆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4.9pt;margin-top:294.65pt;height:6.8pt;width:6.2pt;z-index:251591680;v-text-anchor:middle;mso-width-relative:page;mso-height-relative:page;" fillcolor="#FFFF00" filled="t" stroked="t" coordsize="21600,21600" o:gfxdata="UEsDBAoAAAAAAIdO4kAAAAAAAAAAAAAAAAAEAAAAZHJzL1BLAwQUAAAACACHTuJAcH1RJtwAAAAL&#10;AQAADwAAAGRycy9kb3ducmV2LnhtbE2PzU7DMBCE70i8g7VI3Khdo1ZJiFNVSBUcONAfxNWNTRwR&#10;r6PYaRuenuVUbjva0cw35eriO3ayQ2wDKpjPBDCLdTAtNgoO+81DBiwmjUZ3Aa2CyUZYVbc3pS5M&#10;OOPWnnapYRSCsdAKXEp9wXmsnfU6zkJvkX5fYfA6kRwabgZ9pnDfcSnEknvdIjU43dtnZ+vv3egV&#10;rNcfr+mQj/308/Lp3vc8mzbbN6Xu7+biCViyl3Q1wx8+oUNFTMcwoomsU7AQOaEnOrL8ERg5FlJK&#10;YEcFSyFz4FXJ/2+ofgFQSwMEFAAAAAgAh07iQCYlyRRfAgAAzQQAAA4AAABkcnMvZTJvRG9jLnht&#10;bK1US44TMRDdI3EHy3umk5D5tdIZRRkFIUVMpAGxrrjtbgv/sJ10hgNwCpZsORacg7LTmWSABUL0&#10;wqr/51VVT252WpEt90FaU9Hh2YASbpitpWkq+u7t4sUVJSGCqUFZwyv6wAO9mT5/NulcyUe2tarm&#10;nmAQE8rOVbSN0ZVFEVjLNYQz67hBpbBeQ0TWN0XtocPoWhWjweCi6KyvnbeMh4DS272STnN8ITiL&#10;d0IEHomqKNYW8+vzu05vMZ1A2XhwrWR9GfAPVWiQBpM+hrqFCGTj5W+htGTeBiviGbO6sEJIxnMP&#10;2M1w8Es39y04nntBcIJ7hCn8v7DszXbliawrOr7GURnQOKQfX799//KZJAni07lQotm9W/nUYXBL&#10;yz4EYuy8BdPwWXCIMs4+2RZPjBMTered8Dq5Y8tkl/F/eMSf7yJhKLy8uhzjkBhqri5eXuTpFFAe&#10;XJ0P8RW3miSiolwp6ULCB0rYLkNM+aE8WOVarZL1QiqVGd+s58qTLeAuLPAbHBKEUzNlSFfR0fkY&#10;1YQB7qRQEJHUDlEKpqEEVIPLzqLPuZ94h79Lkoq8hdDui8kRMnxQKpNq5Xl1+56OMCZqbesHHJm3&#10;CAFWGBxbSIy2hBBX4HF5UYgHGe/wEcpiL7anKGmt//QnebLHnUItJR0eA/b5cQOeU6JeG9y26+E4&#10;DSZmZnx+OULGn2rWpxqz0XOLGA9zdZlM9lEdSOGtfo93O0tZUQWGYe49oj0zj/sjxctnfDbLZngx&#10;DuLS3DuWgiecjJ1tohUyz/6ITr+IeDN5Jfr7Tkd5ymer419o+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fVEm3AAAAAsBAAAPAAAAAAAAAAEAIAAAACIAAABkcnMvZG93bnJldi54bWxQSwECFAAU&#10;AAAACACHTuJAJiXJFF8CAADNBAAADgAAAAAAAAABACAAAAArAQAAZHJzL2Uyb0RvYy54bWxQSwUG&#10;AAAAAAYABgBZAQAA/AU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6268720</wp:posOffset>
                </wp:positionH>
                <wp:positionV relativeFrom="paragraph">
                  <wp:posOffset>6675755</wp:posOffset>
                </wp:positionV>
                <wp:extent cx="78740" cy="86360"/>
                <wp:effectExtent l="0" t="0" r="16510" b="27940"/>
                <wp:wrapNone/>
                <wp:docPr id="505" name="椭圆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3.6pt;margin-top:525.65pt;height:6.8pt;width:6.2pt;z-index:251722752;v-text-anchor:middle;mso-width-relative:page;mso-height-relative:page;" fillcolor="#FFFF00" filled="t" stroked="t" coordsize="21600,21600" o:gfxdata="UEsDBAoAAAAAAIdO4kAAAAAAAAAAAAAAAAAEAAAAZHJzL1BLAwQUAAAACACHTuJArGAJOtwAAAAN&#10;AQAADwAAAGRycy9kb3ducmV2LnhtbE2Py07DMBBF90j8gzVI7KidAiEOcaoKqYIFi74QWzcekojY&#10;jmKnbfh6pitYztyjO2eKxdl27IhDaL1TkMwEMHSVN62rFex3q7sMWIjaGd15hwomDLAor68KnRt/&#10;chs8bmPNqMSFXCtoYuxzzkPVoNVh5nt0lH35wepI41BzM+gTlduOz4VIudWtowuN7vGlwep7O1oF&#10;y+XHW9zLsZ9+Xj+b9Y5n02rzrtTtTSKegUU8xz8YLvqkDiU5HfzoTGCdApk9zQmlQDwm98AIkVKm&#10;wA6XVfoggZcF//9F+QtQSwMEFAAAAAgAh07iQMRMYIFgAgAAzQQAAA4AAABkcnMvZTJvRG9jLnht&#10;bK1UzW4TMRC+I/EOlu90k5C0ZZVNFaUKQopopYI4T7z2roX/sJ1sygPwFBx75bHgORg7myYFDgix&#10;B2v+f76Z2enVTiuy5T5Iayo6PBtQwg2ztTRNRd+/W764pCREMDUoa3hF73mgV7Pnz6adK/nItlbV&#10;3BMMYkLZuYq2MbqyKAJruYZwZh03qBTWa4jI+qaoPXQYXatiNBicF531tfOW8RBQer1X0lmOLwRn&#10;8UaIwCNRFcXaYn59ftfpLWZTKBsPrpWsLwP+oQoN0mDSx1DXEIFsvPwtlJbM22BFPGNWF1YIyXju&#10;AbsZDn7p5q4Fx3MvCE5wjzCF/xeWvd3eeiLrik4GE0oMaBzSj4dv379+IUmC+HQulGh252596jC4&#10;lWUfAzF20YJp+Dw4RBlnn2yLJ8aJCb3bTnid3LFlssv43z/iz3eRMBReXF6McUgMNZfnL8/zdAoo&#10;D67Oh/iaW00SUVGulHQh4QMlbFchpvxQHqxyrVbJeimVyoxv1gvlyRZwF5b4DQ4JwqmZMqSr6Ggy&#10;RjVhgDspFEQktUOUgmkoAdXgsrPoc+4n3uHvkqQiryG0+2JyhAwflMqkWnle3b6nI4yJWtv6Hkfm&#10;LUKAFQbHlhKjrSDEW/C4vCjEg4w3+AhlsRfbU5S01n/+kzzZ406hlpIOjwH7/LQBzylRbwxu26vh&#10;OA0mZmY8uRgh408161ON2eiFRYyHubpMJvuoDqTwVn/Au52nrKgCwzD3HtGeWcT9keLlMz6fZzO8&#10;GAdxZe4cS8ETTsbON9EKmWd/RKdfRLyZvBL9faejPOWz1fEvN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GAJOtwAAAANAQAADwAAAAAAAAABACAAAAAiAAAAZHJzL2Rvd25yZXYueG1sUEsBAhQA&#10;FAAAAAgAh07iQMRMYIF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34688" behindDoc="0" locked="0" layoutInCell="1" allowOverlap="1">
                <wp:simplePos x="0" y="0"/>
                <wp:positionH relativeFrom="column">
                  <wp:posOffset>6054090</wp:posOffset>
                </wp:positionH>
                <wp:positionV relativeFrom="paragraph">
                  <wp:posOffset>1345565</wp:posOffset>
                </wp:positionV>
                <wp:extent cx="409575" cy="400685"/>
                <wp:effectExtent l="0" t="0" r="0" b="0"/>
                <wp:wrapNone/>
                <wp:docPr id="89" name="矩形 89"/>
                <wp:cNvGraphicFramePr/>
                <a:graphic xmlns:a="http://schemas.openxmlformats.org/drawingml/2006/main">
                  <a:graphicData uri="http://schemas.microsoft.com/office/word/2010/wordprocessingShape">
                    <wps:wsp>
                      <wps:cNvSpPr/>
                      <wps:spPr>
                        <a:xfrm>
                          <a:off x="0" y="0"/>
                          <a:ext cx="409575" cy="400685"/>
                        </a:xfrm>
                        <a:prstGeom prst="rect">
                          <a:avLst/>
                        </a:prstGeom>
                        <a:noFill/>
                        <a:ln w="25400" cap="flat" cmpd="sng" algn="ctr">
                          <a:noFill/>
                          <a:prstDash val="solid"/>
                        </a:ln>
                        <a:effectLst/>
                      </wps:spPr>
                      <wps:txbx>
                        <w:txbxContent>
                          <w:p>
                            <w:pPr>
                              <w:jc w:val="center"/>
                              <w:rPr>
                                <w:b/>
                                <w:color w:val="FFFF00"/>
                              </w:rPr>
                            </w:pPr>
                            <w:r>
                              <w:rPr>
                                <w:b/>
                                <w:color w:val="FFFF00"/>
                              </w:rPr>
                              <w:t>3</w:t>
                            </w:r>
                            <w:r>
                              <w:rPr>
                                <w:rFonts w:hint="eastAsia"/>
                                <w:b/>
                                <w:color w:val="FFFF00"/>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6.7pt;margin-top:105.95pt;height:31.55pt;width:32.25pt;z-index:251634688;v-text-anchor:middle;mso-width-relative:page;mso-height-relative:page;" filled="f" stroked="f" coordsize="21600,21600" o:gfxdata="UEsDBAoAAAAAAIdO4kAAAAAAAAAAAAAAAAAEAAAAZHJzL1BLAwQUAAAACACHTuJAi9jDSdoAAAAM&#10;AQAADwAAAGRycy9kb3ducmV2LnhtbE2PTU/CQBCG7yb+h82YeJPdIgjUbgkxasIRamK4bbtjW+3O&#10;Nt2lwL93OOltPp6880y2PrtOjDiE1pOGZKJAIFXetlRr+CjeHpYgQjRkTecJNVwwwDq/vclMav2J&#10;djjuYy04hEJqNDQx9qmUoWrQmTDxPRLvvvzgTOR2qKUdzInDXSenSj1JZ1riC43p8aXB6md/dBpC&#10;OW6LS7/5/D6Eqty8kitm23et7+8S9Qwi4jn+wXDVZ3XI2an0R7JBdBpW88cZoxqmSbICcSVUsuCq&#10;5NFirkDmmfz/RP4LUEsDBBQAAAAIAIdO4kC9Q0DvPAIAAFcEAAAOAAAAZHJzL2Uyb0RvYy54bWyt&#10;VN2uEjEQvjfxHZreywIBD2xYTsghGBPiIUHj9dBt2U36Z1vYxZcx8c6H8HGMr+G0u4dD1CvjTZnp&#10;zH6d+eYbFvetkuTMna+NLuhoMKSEa2bKWh8L+uH95tWMEh9AlyCN5gW9cE/vly9fLBqb87GpjCy5&#10;Iwiifd7YglYh2DzLPKu4Aj8wlmsMCuMUBHTdMSsdNIiuZDYeDl9njXGldYZx7/F23QXpMuELwVl4&#10;FMLzQGRBsbaQTpfOQzyz5QLyowNb1awvA/6hCgW1xkevUGsIQE6u/gNK1cwZb0QYMKMyI0TNeOoB&#10;uxkNf+tmX4HlqRckx9srTf7/wbJ3550jdVnQ2ZwSDQpn9PPLtx/fvxK8QHYa63NM2tud6z2PZmy1&#10;FU7FX2yCtInRy5VR3gbC8HIynE/vppQwDE1wXLNpxMyeP7bOhzfcKBKNgjocWOIRzlsfutSnlPiW&#10;NptaSryHXGrSFHQ8RVjEB9SOkBDQVBa78fpICcgjipIFlyBvvo2Qa/AVOQPqwhtZl31dUkdsnpTT&#10;VxAZ6HqOVmgPbU/EwZQXJM+ZTlXesk2NwFvwYQcOZYSF4WqERzyENFit6S1KKuM+/+0+5uN0MUpJ&#10;g7LE6j6dwHFK5FuNc5+PJpOo4+RMpndjdNxt5HAb0Sf1YLDDES6hZcmM+UE+mcIZ9RE3aBVfxRBo&#10;hm93nPXOQ+jWBXeQ8dUqpaF2LYSt3lsWwbvJrE7BiDoNLRLVsYPDjg6qN42937S4Hrd+ynr+P1j+&#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vYw0naAAAADAEAAA8AAAAAAAAAAQAgAAAAIgAAAGRy&#10;cy9kb3ducmV2LnhtbFBLAQIUABQAAAAIAIdO4kC9Q0DvPAIAAFcEAAAOAAAAAAAAAAEAIAAAACkB&#10;AABkcnMvZTJvRG9jLnhtbFBLBQYAAAAABgAGAFkBAADXBQAAAAA=&#10;">
                <v:fill on="f" focussize="0,0"/>
                <v:stroke on="f" weight="2pt"/>
                <v:imagedata o:title=""/>
                <o:lock v:ext="edit" aspectratio="f"/>
                <v:textbox>
                  <w:txbxContent>
                    <w:p>
                      <w:pPr>
                        <w:jc w:val="center"/>
                        <w:rPr>
                          <w:b/>
                          <w:color w:val="FFFF00"/>
                        </w:rPr>
                      </w:pPr>
                      <w:r>
                        <w:rPr>
                          <w:b/>
                          <w:color w:val="FFFF00"/>
                        </w:rPr>
                        <w:t>3</w:t>
                      </w:r>
                      <w:r>
                        <w:rPr>
                          <w:rFonts w:hint="eastAsia"/>
                          <w:b/>
                          <w:color w:val="FFFF00"/>
                        </w:rPr>
                        <w:t>0</w:t>
                      </w:r>
                    </w:p>
                  </w:txbxContent>
                </v:textbox>
              </v:rect>
            </w:pict>
          </mc:Fallback>
        </mc:AlternateContent>
      </w:r>
      <w:r>
        <mc:AlternateContent>
          <mc:Choice Requires="wps">
            <w:drawing>
              <wp:anchor distT="0" distB="0" distL="114300" distR="114300" simplePos="0" relativeHeight="251585536" behindDoc="0" locked="0" layoutInCell="1" allowOverlap="1">
                <wp:simplePos x="0" y="0"/>
                <wp:positionH relativeFrom="column">
                  <wp:posOffset>6342380</wp:posOffset>
                </wp:positionH>
                <wp:positionV relativeFrom="paragraph">
                  <wp:posOffset>1313815</wp:posOffset>
                </wp:positionV>
                <wp:extent cx="78740" cy="86360"/>
                <wp:effectExtent l="0" t="0" r="16510" b="27940"/>
                <wp:wrapNone/>
                <wp:docPr id="494" name="椭圆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99.4pt;margin-top:103.45pt;height:6.8pt;width:6.2pt;z-index:251585536;v-text-anchor:middle;mso-width-relative:page;mso-height-relative:page;" fillcolor="#FFFF00" filled="t" stroked="t" coordsize="21600,21600" o:gfxdata="UEsDBAoAAAAAAIdO4kAAAAAAAAAAAAAAAAAEAAAAZHJzL1BLAwQUAAAACACHTuJASbB14dsAAAAM&#10;AQAADwAAAGRycy9kb3ducmV2LnhtbE2PzWrDMBCE74W8g9hAb41kQ4PtWg4hENJDD81P6VWxtpap&#10;tTKWnMR9+iqn9rizw8w35epmO3bBwbeOJCQLAQypdrqlRsLpuH3KgPmgSKvOEUqY0MOqmj2UqtDu&#10;Snu8HELDYgj5QkkwIfQF5742aJVfuB4p/r7cYFWI59BwPahrDLcdT4VYcqtaig1G9bgxWH8fRith&#10;vf54Dad87Kef3ad5P/Js2u7fpHycJ+IFWMBb+DPDHT+iQxWZzm4k7VknIc+ziB4kpGKZA7s7RJKk&#10;wM5RSsUz8Krk/0dUv1BLAwQUAAAACACHTuJAp9Bb6F8CAADNBAAADgAAAGRycy9lMm9Eb2MueG1s&#10;rVRLjhMxEN0jcQfLe6aTkPm10hlFGQUhRUykAbGuuO1uC/+wnXSGA3AKlmw5FpyDstOZZIAFQvTC&#10;qv/nVVVPbnZakS33QVpT0eHZgBJumK2laSr67u3ixRUlIYKpQVnDK/rAA72ZPn826VzJR7a1quae&#10;YBATys5VtI3RlUURWMs1hDPruEGlsF5DRNY3Re2hw+haFaPB4KLorK+dt4yHgNLbvZJOc3whOIt3&#10;QgQeiaoo1hbz6/O7Tm8xnUDZeHCtZH0Z8A9VaJAGkz6GuoUIZOPlb6G0ZN4GK+IZs7qwQkjGcw/Y&#10;zXDwSzf3LTiee0FwgnuEKfy/sOzNduWJrCs6vh5TYkDjkH58/fb9y2eSJIhP50KJZvdu5VOHwS0t&#10;+xCIsfMWTMNnwSHKOPtkWzwxTkzo3XbC6+SOLZNdxv/hEX++i4Sh8PLqcoxDYqi5unh5kadTQHlw&#10;dT7EV9xqkoiKcqWkCwkfKGG7DDHlh/JglWu1StYLqVRmfLOeK0+2gLuwwG9wSBBOzZQhXUVH52NU&#10;Ewa4k0JBRFI7RCmYhhJQDS47iz7nfuId/i5JKvIWQrsvJkfI8EGpTKqV59XtezrCmKi1rR9wZN4i&#10;BFhhcGwhMdoSQlyBx+VFIR5kvMNHKIu92J6ipLX+05/kyR53CrWUdHgM2OfHDXhOiXptcNuuh+M0&#10;mJiZ8fnlCBl/qlmfasxGzy1iPMzVZTLZR3Ughbf6Pd7tLGVFFRiGufeI9sw87o8UL5/x2Syb4cU4&#10;iEtz71gKnnAydraJVsg8+yM6/SLizeSV6O87HeUpn62Of6Hp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mwdeHbAAAADAEAAA8AAAAAAAAAAQAgAAAAIgAAAGRycy9kb3ducmV2LnhtbFBLAQIUABQA&#10;AAAIAIdO4kCn0FvoXwIAAM0EAAAOAAAAAAAAAAEAIAAAACoBAABkcnMvZTJvRG9jLnhtbFBLBQYA&#10;AAAABgAGAFkBAAD7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6213475</wp:posOffset>
                </wp:positionH>
                <wp:positionV relativeFrom="paragraph">
                  <wp:posOffset>1205230</wp:posOffset>
                </wp:positionV>
                <wp:extent cx="78740" cy="86360"/>
                <wp:effectExtent l="0" t="0" r="16510" b="27940"/>
                <wp:wrapNone/>
                <wp:docPr id="500" name="椭圆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9.25pt;margin-top:94.9pt;height:6.8pt;width:6.2pt;z-index:251595776;v-text-anchor:middle;mso-width-relative:page;mso-height-relative:page;" fillcolor="#FFFF00" filled="t" stroked="t" coordsize="21600,21600" o:gfxdata="UEsDBAoAAAAAAIdO4kAAAAAAAAAAAAAAAAAEAAAAZHJzL1BLAwQUAAAACACHTuJA/mK7vNoAAAAL&#10;AQAADwAAAGRycy9kb3ducmV2LnhtbE2Py07DMBBF90j8gzVI7Kjd8orTOFWFVMGCRV+oWzce4ojY&#10;jmKnbfh6hhUsR/fozrnF4uJadsI+NsErmE4EMPRVMI2vFex3q7sMWEzaG90GjwpGjLAor68KnZtw&#10;9hs8bVPNqMTHXCuwKXU557Gy6HSchA49ZZ+hdzrR2dfc9PpM5a7lMyGeuNONpw9Wd/hisfraDk7B&#10;cvnxlvZy6Mbv14Nd73g2rjbvSt3eTMUcWMJL+oPhV5/UoSSnYxi8iaxVIJ+zR0IpyCRtIEJKIYEd&#10;FczE/QPwsuD/N5Q/UEsDBBQAAAAIAIdO4kDUSWlbYAIAAM0EAAAOAAAAZHJzL2Uyb0RvYy54bWyt&#10;VM1uEzEQviPxDpbvdJOQ/rDqpopSBSFFtFJBnCdee3eF7TG2k015AJ6CY688FjwHY2fbpsABIfZg&#10;zf/PNzN7frEzmm2lDx3aio+PRpxJK7DubFPx9++WL844CxFsDRqtrPitDPxi9vzZee9KOcEWdS09&#10;oyA2lL2reBujK4siiFYaCEfopCWlQm8gEuubovbQU3Sji8lodFL06GvnUcgQSHq5V/JZjq+UFPFK&#10;qSAj0xWn2mJ+fX7X6S1m51A2HlzbiaEM+IcqDHSWkj6EuoQIbOO730KZTngMqOKRQFOgUp2QuQfq&#10;Zjz6pZubFpzMvRA4wT3AFP5fWPF2e+1ZV1f8eET4WDA0pB93375//cKShPDpXSjJ7MZd+9RhcCsU&#10;HwOzuGjBNnIeHKFMs0+2xRPjxITBbae8Se7UMttl/G8f8Je7yAQJT89Op1SEIM3ZycuTnL2A8t7V&#10;+RBfSzQsERWXWncuJHyghO0qxJQfynurXCvqrl52WmfGN+uF9mwLtAtL+vbtkUs4NNOW9RWfHE8T&#10;HgJoJ5WGSKRxhFKwDWegG1p2EX3O/cQ7/F2SVOQlhHZfTI6Q4YNS21SrzKs79PQIY6LWWN/SyDwS&#10;BFRhcGLZUbQVhHgNnpaXhHSQ8YoepZF6wYHirEX/+U/yZE87RVrOejoG6vPTBrzkTL+xtG2vxtM0&#10;mJiZ6fHphBh/qFkfauzGLJAwHufqMpnso74nlUfzge52nrKSCqyg3HtEB2YR90dKly/kfJ7N6GIc&#10;xJW9cSIFTzhZnG8iqi7P/hGdYRHpZvJKDPedjvKQz1aPf6HZ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5iu7zaAAAACwEAAA8AAAAAAAAAAQAgAAAAIgAAAGRycy9kb3ducmV2LnhtbFBLAQIUABQA&#10;AAAIAIdO4kDUSWlbYAIAAM0EAAAOAAAAAAAAAAEAIAAAACkBAABkcnMvZTJvRG9jLnhtbFBLBQYA&#10;AAAABgAGAFkBAAD7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93728" behindDoc="0" locked="0" layoutInCell="1" allowOverlap="1">
                <wp:simplePos x="0" y="0"/>
                <wp:positionH relativeFrom="column">
                  <wp:posOffset>6055995</wp:posOffset>
                </wp:positionH>
                <wp:positionV relativeFrom="paragraph">
                  <wp:posOffset>1051560</wp:posOffset>
                </wp:positionV>
                <wp:extent cx="78740" cy="86360"/>
                <wp:effectExtent l="0" t="0" r="16510" b="27940"/>
                <wp:wrapNone/>
                <wp:docPr id="499" name="椭圆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6.85pt;margin-top:82.8pt;height:6.8pt;width:6.2pt;z-index:251593728;v-text-anchor:middle;mso-width-relative:page;mso-height-relative:page;" fillcolor="#FFFF00" filled="t" stroked="t" coordsize="21600,21600" o:gfxdata="UEsDBAoAAAAAAIdO4kAAAAAAAAAAAAAAAAAEAAAAZHJzL1BLAwQUAAAACACHTuJAR3UPFNwAAAAL&#10;AQAADwAAAGRycy9kb3ducmV2LnhtbE2Py07DMBBF90j8gzVI7KiTorpNGqeqkCpYsKAPxNaN3Tgi&#10;Hkex0zZ8PdMVLGfu0Z0zxerqWnY2fWg8SkgnCTCDldcN1hIO+83TAliICrVqPRoJowmwKu/vCpVr&#10;f8GtOe9izagEQ64k2Bi7nPNQWeNUmPjOIGUn3zsVaexrrnt1oXLX8mmSCO5Ug3TBqs68WFN97wYn&#10;Yb3+fIuHbOjGn9cv+7Hni3GzfZfy8SFNlsCiucY/GG76pA4lOR39gDqwVkI2e54TSoGYCWBEZEKk&#10;wI60mWdT4GXB//9Q/gJQSwMEFAAAAAgAh07iQHZxYSxgAgAAzQQAAA4AAABkcnMvZTJvRG9jLnht&#10;bK1UzW4TMRC+I/EOlu90k5C26SqbKkoVhBTRSAVxnnjtXQv/YTvZlAfgKThy5bHgORg7mzYFDgix&#10;B2v+f76Z2en1Xiuy4z5Iayo6PBtQwg2ztTRNRd+9Xb6YUBIimBqUNbyi9zzQ69nzZ9POlXxkW6tq&#10;7gkGMaHsXEXbGF1ZFIG1XEM4s44bVArrNURkfVPUHjqMrlUxGgwuis762nnLeAgovTko6SzHF4Kz&#10;eCtE4JGoimJtMb8+v5v0FrMplI0H10rWlwH/UIUGaTDpQ6gbiEC2Xv4WSkvmbbAinjGrCyuEZDz3&#10;gN0MB790c9eC47kXBCe4B5jC/wvL3uzWnsi6ouOrK0oMaBzSj6/fvn/5TJIE8elcKNHszq196jC4&#10;lWUfAjF20YJp+Dw4RBlnn2yLJ8aJCb3bXnid3LFlss/43z/gz/eRMBReTi7HOCSGmsnFy4s8nQLK&#10;o6vzIb7iVpNEVJQrJV1I+EAJu1WIKT+UR6tcq1WyXkqlMuObzUJ5sgPchSV+g2OCcGqmDOkqOjof&#10;o5owwJ0UCiKS2iFKwTSUgGpw2Vn0OfcT7/B3SVKRNxDaQzE5QoYPSmVSrTyvbt/TI4yJ2tj6Hkfm&#10;LUKAFQbHlhKjrSDENXhcXhTiQcZbfISy2IvtKUpa6z/9SZ7scadQS0mHx4B9ftyC55So1wa37Wo4&#10;ToOJmRmfX46Q8aeazanGbPXCIsbDXF0mk31UR1J4q9/j3c5TVlSBYZj7gGjPLOLhSPHyGZ/Psxle&#10;jIO4MneOpeAJJ2Pn22iFzLN/RKdfRLyZvBL9faejPOWz1eNfaPY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3UPFNwAAAALAQAADwAAAAAAAAABACAAAAAiAAAAZHJzL2Rvd25yZXYueG1sUEsBAhQA&#10;FAAAAAgAh07iQHZxYSx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38784" behindDoc="0" locked="0" layoutInCell="1" allowOverlap="1">
                <wp:simplePos x="0" y="0"/>
                <wp:positionH relativeFrom="column">
                  <wp:posOffset>5725795</wp:posOffset>
                </wp:positionH>
                <wp:positionV relativeFrom="paragraph">
                  <wp:posOffset>930910</wp:posOffset>
                </wp:positionV>
                <wp:extent cx="409575" cy="409575"/>
                <wp:effectExtent l="0" t="0" r="0" b="0"/>
                <wp:wrapNone/>
                <wp:docPr id="91" name="矩形 91"/>
                <wp:cNvGraphicFramePr/>
                <a:graphic xmlns:a="http://schemas.openxmlformats.org/drawingml/2006/main">
                  <a:graphicData uri="http://schemas.microsoft.com/office/word/2010/wordprocessingShape">
                    <wps:wsp>
                      <wps:cNvSpPr/>
                      <wps:spPr>
                        <a:xfrm>
                          <a:off x="0" y="0"/>
                          <a:ext cx="409575" cy="409575"/>
                        </a:xfrm>
                        <a:prstGeom prst="rect">
                          <a:avLst/>
                        </a:prstGeom>
                        <a:noFill/>
                        <a:ln w="25400" cap="flat" cmpd="sng" algn="ctr">
                          <a:noFill/>
                          <a:prstDash val="solid"/>
                        </a:ln>
                        <a:effectLst/>
                      </wps:spPr>
                      <wps:txbx>
                        <w:txbxContent>
                          <w:p>
                            <w:pPr>
                              <w:jc w:val="center"/>
                              <w:rPr>
                                <w:b/>
                                <w:color w:val="FFFF00"/>
                              </w:rPr>
                            </w:pPr>
                            <w:r>
                              <w:rPr>
                                <w:b/>
                                <w:color w:val="FFFF00"/>
                              </w:rPr>
                              <w:t>3</w:t>
                            </w:r>
                            <w:r>
                              <w:rPr>
                                <w:rFonts w:hint="eastAsia"/>
                                <w:b/>
                                <w:color w:val="FFFF0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0.85pt;margin-top:73.3pt;height:32.25pt;width:32.25pt;z-index:251638784;v-text-anchor:middle;mso-width-relative:page;mso-height-relative:page;" filled="f" stroked="f" coordsize="21600,21600" o:gfxdata="UEsDBAoAAAAAAIdO4kAAAAAAAAAAAAAAAAAEAAAAZHJzL1BLAwQUAAAACACHTuJAAF0wyNkAAAAL&#10;AQAADwAAAGRycy9kb3ducmV2LnhtbE2PwU7DMBBE70j8g7VI3KjtqDI0jVNVCJB6pEFC3Jx4mwTi&#10;dRS7afv3mBM9ruZp5m2xObuBzTiF3pMGuRDAkBpve2o1fFSvD0/AQjRkzeAJNVwwwKa8vSlMbv2J&#10;3nHex5alEgq50dDFOOach6ZDZ8LCj0gpO/jJmZjOqeV2MqdU7gaeCaG4Mz2lhc6M+Nxh87M/Og2h&#10;nnfVZdx+fn+Fpt6+kKuWuzet7++kWAOLeI7/MPzpJ3Uok1Ptj2QDGzSshHxMaAqWSgFLxEqpDFit&#10;IZNSAi8Lfv1D+QtQSwMEFAAAAAgAh07iQIxyQac6AgAAVwQAAA4AAABkcnMvZTJvRG9jLnhtbK1U&#10;zW4TMRC+I/EOlu90kyihNOqmiloVIVVQqSDOE6+dXcl/2E425WWQuPEQPA7iNfjs3bYRcEJcnBnP&#10;7OeZb77J+cXBaLaXIXbO1nx6MuFMWuGazm5r/uH99YtXnMVEtiHtrKz5vYz8YvX82Xnvl3LmWqcb&#10;GRhAbFz2vuZtSn5ZVVG00lA8cV5aBJULhhLcsK2aQD3Qja5mk8nLqneh8cEJGSNur4YgXxV8paRI&#10;75SKMjFdc9SWyhnKuclntTqn5TaQbzsxlkH/UIWhzuLRR6grSsR2ofsDynQiuOhUOhHOVE6pTsjS&#10;A7qZTn7r5q4lL0svICf6R5ri/4MVb/e3gXVNzc+mnFkymNHPL99+fP/KcAF2eh+XSLrzt2H0Iszc&#10;6kEFk3/RBDsURu8fGZWHxAQu55OzxemCM4HQaAOlevrYh5heS2dYNmoeMLDCI+1vYhpSH1LyW9Zd&#10;d1rjnpbasr7ms8V8grkKgnaUpgTTeHQT7ZYz0luIUqRQII++zZBXFFu2J+giOt01uVfUpW3GlkU5&#10;YwWZgaHnbKXD5oDUbG5ccw/yghtUFb247gB8QzHdUoCMUBhWI73DobRDtW60OGtd+Py3+5yP6SLK&#10;WQ9ZorpPOwqSM/3GYu5n0/k867g488XpDE44jmyOI3ZnLh06xGhRXTFzftIPpgrOfMQGrfOrCJEV&#10;eHvgbHQu07Au2EEh1+uSBu16Sjf2zosMPkxmvUtOdWVoT+yA1OxAvYXecdPyehz7Jevp/2D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BdMMjZAAAACwEAAA8AAAAAAAAAAQAgAAAAIgAAAGRycy9k&#10;b3ducmV2LnhtbFBLAQIUABQAAAAIAIdO4kCMckGnOgIAAFcEAAAOAAAAAAAAAAEAIAAAACgBAABk&#10;cnMvZTJvRG9jLnhtbFBLBQYAAAAABgAGAFkBAADUBQAAAAA=&#10;">
                <v:fill on="f" focussize="0,0"/>
                <v:stroke on="f" weight="2pt"/>
                <v:imagedata o:title=""/>
                <o:lock v:ext="edit" aspectratio="f"/>
                <v:textbox>
                  <w:txbxContent>
                    <w:p>
                      <w:pPr>
                        <w:jc w:val="center"/>
                        <w:rPr>
                          <w:b/>
                          <w:color w:val="FFFF00"/>
                        </w:rPr>
                      </w:pPr>
                      <w:r>
                        <w:rPr>
                          <w:b/>
                          <w:color w:val="FFFF00"/>
                        </w:rPr>
                        <w:t>3</w:t>
                      </w:r>
                      <w:r>
                        <w:rPr>
                          <w:rFonts w:hint="eastAsia"/>
                          <w:b/>
                          <w:color w:val="FFFF00"/>
                        </w:rPr>
                        <w:t>1</w:t>
                      </w:r>
                    </w:p>
                  </w:txbxContent>
                </v:textbox>
              </v:rect>
            </w:pict>
          </mc:Fallback>
        </mc:AlternateContent>
      </w:r>
      <w:r>
        <mc:AlternateContent>
          <mc:Choice Requires="wps">
            <w:drawing>
              <wp:anchor distT="0" distB="0" distL="114300" distR="114300" simplePos="0" relativeHeight="251579392" behindDoc="0" locked="0" layoutInCell="1" allowOverlap="1">
                <wp:simplePos x="0" y="0"/>
                <wp:positionH relativeFrom="column">
                  <wp:posOffset>5815965</wp:posOffset>
                </wp:positionH>
                <wp:positionV relativeFrom="paragraph">
                  <wp:posOffset>1556385</wp:posOffset>
                </wp:positionV>
                <wp:extent cx="78740" cy="86360"/>
                <wp:effectExtent l="0" t="0" r="16510" b="27940"/>
                <wp:wrapNone/>
                <wp:docPr id="491" name="椭圆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7.95pt;margin-top:122.55pt;height:6.8pt;width:6.2pt;z-index:251579392;v-text-anchor:middle;mso-width-relative:page;mso-height-relative:page;" fillcolor="#FFFF00" filled="t" stroked="t" coordsize="21600,21600" o:gfxdata="UEsDBAoAAAAAAIdO4kAAAAAAAAAAAAAAAAAEAAAAZHJzL1BLAwQUAAAACACHTuJA/MNdFdwAAAAL&#10;AQAADwAAAGRycy9kb3ducmV2LnhtbE2PTU+EMBCG7yb+h2ZMvLkFFAWkbDYmGz14cD+M1y4dgUin&#10;hJbdxV/veNLjzDx553nL5dn24oij7xwpiBcRCKTamY4aBfvd+iYD4YMmo3tHqGBGD8vq8qLUhXEn&#10;2uBxGxrBIeQLraANYSik9HWLVvuFG5D49ulGqwOPYyPNqE8cbnuZRNG9tLoj/tDqAZ9arL+2k1Ww&#10;Wr2/hH0+DfP380f7tpPZvN68KnV9FUePIAKewx8Mv/qsDhU7HdxExoteQR6nOaMKkrs0BsFEnmS3&#10;IA68SbMHkFUp/3eofgBQSwMEFAAAAAgAh07iQLfVUjJiAgAAzQQAAA4AAABkcnMvZTJvRG9jLnht&#10;bK1US44TMRDdI3EHy3umk5D5tdIZRRkFIUVMpAGxrrjtbgv/sJ10hgNwCpZsORacg7LTmWSABUL0&#10;wqpylevz6lVPbnZakS33QVpT0eHZgBJumK2laSr67u3ixRUlIYKpQVnDK/rAA72ZPn826VzJR7a1&#10;quaeYBATys5VtI3RlUURWMs1hDPruEGjsF5DRNU3Re2hw+haFaPB4KLorK+dt4yHgLe3eyOd5vhC&#10;cBbvhAg8ElVRrC3m0+dznc5iOoGy8eBayfoy4B+q0CANJn0MdQsRyMbL30JpybwNVsQzZnVhhZCM&#10;5x6wm+Hgl27uW3A894LgBPcIU/h/Ydmb7coTWVd0fD2kxIDGIf34+u37l88k3SA+nQslut27lU8d&#10;Bre07EMgxs5bMA2fBYco4+yTb/HEOSmhf7YTXqfn2DLZZfwfHvHnu0gYXl5eXY5xSAwtVxcvL/J0&#10;CigPT50P8RW3miSholwp6ULCB0rYLkNM+aE8eOVarZL1QiqVFd+s58qTLSAXFvgNDgnCqZsypKvo&#10;6HyMZsIAOSkURBS1Q5SCaSgB1SDZWfQ595PX4e+SpCJvIbT7YnKEDB+UyqRaeaZu39MRxiStbf2A&#10;I/MWIcAKg2MLidGWEOIKPJIXL3Eh4x0eQlnsxfYSJa31n/50n/yRU2ilpMNlwD4/bsBzStRrg2y7&#10;Ho7TYGJWxueXI1T8qWV9ajEbPbeIMfIJq8ti8o/qIApv9Xvc21nKiiYwDHPvEe2VedwvKW4+47NZ&#10;dsONcRCX5t6xFDzhZOxsE62QefZHdHoi4s5kSvT7nZbyVM9ex7/Q9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8w10V3AAAAAsBAAAPAAAAAAAAAAEAIAAAACIAAABkcnMvZG93bnJldi54bWxQSwEC&#10;FAAUAAAACACHTuJAt9VSMmICAADNBAAADgAAAAAAAAABACAAAAArAQAAZHJzL2Uyb0RvYy54bWxQ&#10;SwUGAAAAAAYABgBZAQAA/wU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32640" behindDoc="0" locked="0" layoutInCell="1" allowOverlap="1">
                <wp:simplePos x="0" y="0"/>
                <wp:positionH relativeFrom="column">
                  <wp:posOffset>5358765</wp:posOffset>
                </wp:positionH>
                <wp:positionV relativeFrom="paragraph">
                  <wp:posOffset>1378585</wp:posOffset>
                </wp:positionV>
                <wp:extent cx="409575" cy="381000"/>
                <wp:effectExtent l="0" t="0" r="0" b="0"/>
                <wp:wrapNone/>
                <wp:docPr id="88" name="矩形 88"/>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2</w:t>
                            </w:r>
                            <w:r>
                              <w:rPr>
                                <w:rFonts w:hint="eastAsia"/>
                                <w:b/>
                                <w:color w:val="FFFF00"/>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95pt;margin-top:108.55pt;height:30pt;width:32.25pt;z-index:251632640;v-text-anchor:middle;mso-width-relative:page;mso-height-relative:page;" filled="f" stroked="f" coordsize="21600,21600" o:gfxdata="UEsDBAoAAAAAAIdO4kAAAAAAAAAAAAAAAAAEAAAAZHJzL1BLAwQUAAAACACHTuJAN5awDdkAAAAL&#10;AQAADwAAAGRycy9kb3ducmV2LnhtbE2PwU7DMAyG70i8Q2QkbizpqFhXmk4TAqQdWZEQt7QxbaFx&#10;qibrtrfHnMbRvz/9/lxsTm4QM06h96QhWSgQSI23PbUa3quXuwxEiIasGTyhhjMG2JTXV4XJrT/S&#10;G8772AouoZAbDV2MYy5laDp0Jiz8iMS7Lz85E3mcWmknc+RyN8ilUg/SmZ74QmdGfOqw+dkfnIZQ&#10;z7vqPG4/vj9DU2+fyVXp7lXr25tEPYKIeIoXGP70WR1Kdqr9gWwQg4YsvV8zqmGZrBIQTKxVloKo&#10;OVlxIstC/v+h/AVQSwMEFAAAAAgAh07iQIXVpIE/AgAAVwQAAA4AAABkcnMvZTJvRG9jLnhtbK1U&#10;zW4TMRC+I/EOlu90NyGhaZRNFTUKQqpopYI4O147u5L/sJ1syssgceMh+jiI1+Czd9tGwAlx8c54&#10;xt/MfDOzi8ujVuQgfGitqejorKREGG7r1uwq+vHD5tWMkhCZqZmyRlT0XgR6uXz5YtG5uRjbxqpa&#10;eAIQE+adq2gTo5sXReCN0CycWScMjNJ6zSJUvytqzzqga1WMy/JN0VlfO2+5CAG3695IlxlfSsHj&#10;jZRBRKIqitxiPn0+t+kslgs233nmmpYPabB/yEKz1iDoE9SaRUb2vv0DSrfc22BlPONWF1bKlotc&#10;A6oZlb9Vc9cwJ3ItICe4J5rC/4Pl7w+3nrR1RWfolGEaPfr59fuPh28EF2Cnc2EOpzt36wctQEyl&#10;HqXX6YsiyDEzev/EqDhGwnE5KS+m51NKOEyvZ6OyzIwXz4+dD/GtsJokoaIeDcs8ssN1iAgI10eX&#10;FMvYTatUbpoypKvoeDoBJuEMsyMVixC1QzXB7Chhaoeh5NFnyJO3CXLNQkMODHMRrGrrVCuCKZPC&#10;iDw5QwaJgb7mJMXj9jgQsbX1Pcjztp+q4PimBfA1C/GWeYwREsNqxBscUllkaweJksb6L3+7T/7o&#10;LqyUdBhLZPd5z7ygRL0z6PvFaDJJc5yVyfR8DMWfWranFrPXVxYVjrCEjmcx+Uf1KEpv9Sds0CpF&#10;hYkZjtg9Z4NyFft1wQ5ysVplN8yuY/Ha3DmewPvOrPbRyjY3LRHVswNSk4LpzfQOm5bW41TPXs//&#10;g+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5awDdkAAAALAQAADwAAAAAAAAABACAAAAAiAAAA&#10;ZHJzL2Rvd25yZXYueG1sUEsBAhQAFAAAAAgAh07iQIXVpIE/AgAAVwQAAA4AAAAAAAAAAQAgAAAA&#10;KAEAAGRycy9lMm9Eb2MueG1sUEsFBgAAAAAGAAYAWQEAANkFAAAAAA==&#10;">
                <v:fill on="f" focussize="0,0"/>
                <v:stroke on="f" weight="2pt"/>
                <v:imagedata o:title=""/>
                <o:lock v:ext="edit" aspectratio="f"/>
                <v:textbox>
                  <w:txbxContent>
                    <w:p>
                      <w:pPr>
                        <w:jc w:val="center"/>
                        <w:rPr>
                          <w:b/>
                          <w:color w:val="FFFF00"/>
                        </w:rPr>
                      </w:pPr>
                      <w:r>
                        <w:rPr>
                          <w:b/>
                          <w:color w:val="FFFF00"/>
                        </w:rPr>
                        <w:t>2</w:t>
                      </w:r>
                      <w:r>
                        <w:rPr>
                          <w:rFonts w:hint="eastAsia"/>
                          <w:b/>
                          <w:color w:val="FFFF00"/>
                        </w:rPr>
                        <w:t>9</w:t>
                      </w:r>
                    </w:p>
                  </w:txbxContent>
                </v:textbox>
              </v:rect>
            </w:pict>
          </mc:Fallback>
        </mc:AlternateContent>
      </w:r>
      <w:r>
        <w:rPr>
          <w:sz w:val="21"/>
          <w:szCs w:val="24"/>
        </w:rPr>
        <mc:AlternateContent>
          <mc:Choice Requires="wps">
            <w:drawing>
              <wp:anchor distT="0" distB="0" distL="114300" distR="114300" simplePos="0" relativeHeight="251640832" behindDoc="0" locked="0" layoutInCell="1" allowOverlap="1">
                <wp:simplePos x="0" y="0"/>
                <wp:positionH relativeFrom="column">
                  <wp:posOffset>5087620</wp:posOffset>
                </wp:positionH>
                <wp:positionV relativeFrom="paragraph">
                  <wp:posOffset>1973580</wp:posOffset>
                </wp:positionV>
                <wp:extent cx="409575" cy="381000"/>
                <wp:effectExtent l="0" t="0" r="0" b="0"/>
                <wp:wrapNone/>
                <wp:docPr id="92" name="矩形 92"/>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3</w:t>
                            </w:r>
                            <w:r>
                              <w:rPr>
                                <w:rFonts w:hint="eastAsia"/>
                                <w:b/>
                                <w:color w:val="FFFF00"/>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6pt;margin-top:155.4pt;height:30pt;width:32.25pt;z-index:251640832;v-text-anchor:middle;mso-width-relative:page;mso-height-relative:page;" filled="f" stroked="f" coordsize="21600,21600" o:gfxdata="UEsDBAoAAAAAAIdO4kAAAAAAAAAAAAAAAAAEAAAAZHJzL1BLAwQUAAAACACHTuJANx7aM9gAAAAL&#10;AQAADwAAAGRycy9kb3ducmV2LnhtbE2Py07DMBBF90j8gzWV2FE7hbZRiFNVCJC6bIOE2DnxkITG&#10;4yh20/bvGVawnDtH95FvLq4XE46h86QhmSsQSLW3HTUa3svX+xREiIas6T2hhisG2BS3N7nJrD/T&#10;HqdDbASbUMiMhjbGIZMy1C06E+Z+QOLflx+diXyOjbSjObO56+VCqZV0piNOaM2Azy3Wx8PJaQjV&#10;tCuvw/bj+zPU1faFXPm4e9P6bpaoJxARL/EPht/6XB0K7lT5E9kgeg2pShaManhIFG9gIl0t1yAq&#10;VtasyCKX/zcUP1BLAwQUAAAACACHTuJAF/jTM0ACAABXBAAADgAAAGRycy9lMm9Eb2MueG1srVTN&#10;bhMxEL4j8Q6W72Q3IaFt1E0VtSpCimikgjg7Xju7kv+wnWzCyyBx4yH6OIjX4LN320bACXHxznjG&#10;38x8M7OXVwetyF740FpT0fGopEQYbuvWbCv68cPtq3NKQmSmZsoaUdGjCPRq8fLFZefmYmIbq2rh&#10;CUBMmHeuok2Mbl4UgTdCszCyThgYpfWaRah+W9SedUDXqpiU5Zuis7523nIRAm5veiNdZHwpBY93&#10;UgYRiaoocov59PncpLNYXLL51jPXtHxIg/1DFpq1BkGfoG5YZGTn2z+gdMu9DVbGEbe6sFK2XOQa&#10;UM24/K2a+4Y5kWsBOcE90RT+Hyx/v1970tYVvZhQYphGj35+/f7j4RvBBdjpXJjD6d6t/aAFiKnU&#10;g/Q6fVEEOWRGj0+MikMkHJfT8mJ2NqOEw/T6fFyWmfHi+bHzIb4VVpMkVNSjYZlHtl+FiIBwfXRJ&#10;sYy9bZXKTVOGdBWdzKbAJJxhdqRiEaJ2qCaYLSVMbTGUPPoMefI2Qd6w0JA9w1wEq9o61YpgyqQw&#10;Ik/OkEFioK85SfGwOQxEbGx9BHne9lMVHL9tAbxiIa6ZxxghMaxGvMMhlUW2dpAoaaz/8rf75I/u&#10;wkpJh7FEdp93zAtK1DuDvl+Mp9M0x1mZzs4mUPypZXNqMTt9bVHhGEvoeBaTf1SPovRWf8IGLVNU&#10;mJjhiN1zNijXsV8X7CAXy2V2w+w6Flfm3vEE3ndmuYtWtrlpiaieHZCaFExvpnfYtLQep3r2ev4f&#10;L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x7aM9gAAAALAQAADwAAAAAAAAABACAAAAAiAAAA&#10;ZHJzL2Rvd25yZXYueG1sUEsBAhQAFAAAAAgAh07iQBf40zNAAgAAVwQAAA4AAAAAAAAAAQAgAAAA&#10;JwEAAGRycy9lMm9Eb2MueG1sUEsFBgAAAAAGAAYAWQEAANkFAAAAAA==&#10;">
                <v:fill on="f" focussize="0,0"/>
                <v:stroke on="f" weight="2pt"/>
                <v:imagedata o:title=""/>
                <o:lock v:ext="edit" aspectratio="f"/>
                <v:textbox>
                  <w:txbxContent>
                    <w:p>
                      <w:pPr>
                        <w:jc w:val="center"/>
                        <w:rPr>
                          <w:b/>
                          <w:color w:val="FFFF00"/>
                        </w:rPr>
                      </w:pPr>
                      <w:r>
                        <w:rPr>
                          <w:b/>
                          <w:color w:val="FFFF00"/>
                        </w:rPr>
                        <w:t>3</w:t>
                      </w:r>
                      <w:r>
                        <w:rPr>
                          <w:rFonts w:hint="eastAsia"/>
                          <w:b/>
                          <w:color w:val="FFFF00"/>
                        </w:rPr>
                        <w:t>3</w:t>
                      </w:r>
                    </w:p>
                  </w:txbxContent>
                </v:textbox>
              </v:rect>
            </w:pict>
          </mc:Fallback>
        </mc:AlternateContent>
      </w:r>
      <w:r>
        <mc:AlternateContent>
          <mc:Choice Requires="wps">
            <w:drawing>
              <wp:anchor distT="0" distB="0" distL="114300" distR="114300" simplePos="0" relativeHeight="251583488" behindDoc="0" locked="0" layoutInCell="1" allowOverlap="1">
                <wp:simplePos x="0" y="0"/>
                <wp:positionH relativeFrom="column">
                  <wp:posOffset>5365750</wp:posOffset>
                </wp:positionH>
                <wp:positionV relativeFrom="paragraph">
                  <wp:posOffset>1988185</wp:posOffset>
                </wp:positionV>
                <wp:extent cx="78740" cy="86360"/>
                <wp:effectExtent l="0" t="0" r="16510" b="27940"/>
                <wp:wrapNone/>
                <wp:docPr id="493" name="椭圆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5pt;margin-top:156.55pt;height:6.8pt;width:6.2pt;z-index:251583488;v-text-anchor:middle;mso-width-relative:page;mso-height-relative:page;" fillcolor="#FFFF00" filled="t" stroked="t" coordsize="21600,21600" o:gfxdata="UEsDBAoAAAAAAIdO4kAAAAAAAAAAAAAAAAAEAAAAZHJzL1BLAwQUAAAACACHTuJAVZ4dedwAAAAL&#10;AQAADwAAAGRycy9kb3ducmV2LnhtbE2PS0/DMBCE70j8B2uRuFEnfaZpnKpCquDAoS/E1Y2XJCJe&#10;R7HTNvx6lhMcZ2c0+022vtlGXLDztSMF8SgCgVQ4U1Op4HTcPiUgfNBkdOMIFQzoYZ3f32U6Ne5K&#10;e7wcQim4hHyqFVQhtKmUvqjQaj9yLRJ7n66zOrDsSmk6feVy28hxFM2l1TXxh0q3+Fxh8XXorYLN&#10;5v01nJZ9O3y/fFS7o0yG7f5NqceHOFqBCHgLf2H4xWd0yJnp7HoyXjQKkumMtwQFk3gSg+BEMltM&#10;QZz5Mp4vQOaZ/L8h/wFQSwMEFAAAAAgAh07iQBd9AkNgAgAAzQQAAA4AAABkcnMvZTJvRG9jLnht&#10;bK1UzW4TMRC+I/EOlu90kzRt01U2VZQqCCmilQriPPHauxb+w3ayKQ/AU3DslceC52DsbNoUOCDE&#10;Hqz5//lmZqdXO63Ilvsgrano8GRACTfM1tI0FX3/bvlqQkmIYGpQ1vCK3vNAr2YvX0w7V/KRba2q&#10;uScYxISycxVtY3RlUQTWcg3hxDpuUCms1xCR9U1Re+gwulbFaDA4Lzrra+ct4yGg9HqvpLMcXwjO&#10;4o0QgUeiKoq1xfz6/K7TW8ymUDYeXCtZXwb8QxUapMGkj6GuIQLZePlbKC2Zt8GKeMKsLqwQkvHc&#10;A3YzHPzSzV0LjudeEJzgHmEK/y8se7u99UTWFR1fnlJiQOOQfjx8+/71C0kSxKdzoUSzO3frU4fB&#10;rSz7GIixixZMw+fBIco4+2RbPDNOTOjddsLr5I4tk13G//4Rf76LhKHwYnIxxiEx1EzOT8/zdAoo&#10;D67Oh/iaW00SUVGulHQh4QMlbFchpvxQHqxyrVbJeimVyoxv1gvlyRZwF5b4DQ4JwrGZMqSr6Ohs&#10;jGrCAHdSKIhIaocoBdNQAqrBZWfR59zPvMPfJUlFXkNo98XkCBk+KJVJtfK8un1PTzAmam3rexyZ&#10;twgBVhgcW0qMtoIQb8Hj8qIQDzLe4COUxV5sT1HSWv/5T/JkjzuFWko6PAbs89MGPKdEvTG4bZfD&#10;cRpMzMz47GKEjD/WrI81ZqMXFjEe5uoymeyjOpDCW/0B73aesqIKDMPce0R7ZhH3R4qXz/h8ns3w&#10;YhzElblzLAVPOBk730QrZJ79Ezr9IuLN5JXo7zsd5TGfrZ7+Qr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Z4dedwAAAALAQAADwAAAAAAAAABACAAAAAiAAAAZHJzL2Rvd25yZXYueG1sUEsBAhQA&#10;FAAAAAgAh07iQBd9AkNgAgAAzQQAAA4AAAAAAAAAAQAgAAAAKwEAAGRycy9lMm9Eb2MueG1sUEsF&#10;BgAAAAAGAAYAWQEAAP0FA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81792" behindDoc="0" locked="0" layoutInCell="1" allowOverlap="1">
                <wp:simplePos x="0" y="0"/>
                <wp:positionH relativeFrom="column">
                  <wp:posOffset>4337685</wp:posOffset>
                </wp:positionH>
                <wp:positionV relativeFrom="paragraph">
                  <wp:posOffset>1379855</wp:posOffset>
                </wp:positionV>
                <wp:extent cx="409575" cy="381000"/>
                <wp:effectExtent l="0" t="0" r="0" b="0"/>
                <wp:wrapNone/>
                <wp:docPr id="4" name="矩形 4"/>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3</w:t>
                            </w:r>
                            <w:r>
                              <w:rPr>
                                <w:rFonts w:hint="eastAsia"/>
                                <w:b/>
                                <w:color w:val="FFFF00"/>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55pt;margin-top:108.65pt;height:30pt;width:32.25pt;z-index:251681792;v-text-anchor:middle;mso-width-relative:page;mso-height-relative:page;" filled="f" stroked="f" coordsize="21600,21600" o:gfxdata="UEsDBAoAAAAAAIdO4kAAAAAAAAAAAAAAAAAEAAAAZHJzL1BLAwQUAAAACACHTuJA77bq4NkAAAAL&#10;AQAADwAAAGRycy9kb3ducmV2LnhtbE2PwW7CMAyG75P2DpEn7TbSAmpR1xShCSZxHJ007ZY2Xtut&#10;caomFHj7mRMc/fvT78/5+mx7MeHoO0cK4lkEAql2pqNGwWe5e1mB8EGT0b0jVHBBD+vi8SHXmXEn&#10;+sDpEBrBJeQzraANYcik9HWLVvuZG5B49+NGqwOPYyPNqE9cbns5j6JEWt0RX2j1gG8t1n+Ho1Xg&#10;q2lfXobN1++3r6vNlmy53L8r9fwUR68gAp7DDYarPqtDwU6VO5LxoleQrBYxowrmcboAwUS6TBMQ&#10;FScpJ7LI5f0PxT9QSwMEFAAAAAgAh07iQLiY6Zc+AgAAVQQAAA4AAABkcnMvZTJvRG9jLnhtbK1U&#10;wY7TMBC9I/EPlu80aUnZ3arpqtqqCKliVyqIs+vYTSTbY2y3SfkZJG58xH4O4jcYO9luBZwQF2fG&#10;M34z82Ym89tOK3IUzjdgSjoe5ZQIw6FqzL6kHz+sX11T4gMzFVNgRElPwtPbxcsX89bOxARqUJVw&#10;BEGMn7W2pHUIdpZlntdCMz8CKwwaJTjNAqpun1WOtYiuVTbJ8zdZC66yDrjwHm9XvZEuEr6Ugod7&#10;Kb0IRJUUcwvpdOncxTNbzNls75itGz6kwf4hC80ag0HPUCsWGDm45g8o3XAHHmQYcdAZSNlwkWrA&#10;asb5b9Vsa2ZFqgXJ8fZMk/9/sPz98cGRpippQYlhGlv08+v3H4/fSBG5aa2focvWPrhB8yjGQjvp&#10;dPxiCaRLfJ7OfIouEI6XRX4zvZpSwtH0+nqc54nv7PmxdT68FaBJFErqsF2JRXbc+IAB0fXJJcYy&#10;sG6USi1ThrQlnUwLxCSc4eRIxQKK2mIt3uwpYWqPI8mDS5AXbyPkivmaHBlOhQfVVLFWDKZMDCPS&#10;3AwZRAb6mqMUul03ELGD6oTUOehnylu+bhB4w3x4YA6HCBPDxQj3eEgFmC0MEiU1uC9/u4/+2Fu0&#10;UtLiUGJ2nw/MCUrUO4NdvxkXRZzipBTTqwkq7tKyu7SYg74DrHCMK2h5EqN/UE+idKA/4f4sY1Q0&#10;McMxds/ZoNyFfllwA7lYLpMbTq5lYWO2lkfwvjPLQwDZpKZFonp2kNSo4Owmeoc9i8txqSev57/B&#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turg2QAAAAsBAAAPAAAAAAAAAAEAIAAAACIAAABk&#10;cnMvZG93bnJldi54bWxQSwECFAAUAAAACACHTuJAuJjplz4CAABVBAAADgAAAAAAAAABACAAAAAo&#10;AQAAZHJzL2Uyb0RvYy54bWxQSwUGAAAAAAYABgBZAQAA2AUAAAAA&#10;">
                <v:fill on="f" focussize="0,0"/>
                <v:stroke on="f" weight="2pt"/>
                <v:imagedata o:title=""/>
                <o:lock v:ext="edit" aspectratio="f"/>
                <v:textbox>
                  <w:txbxContent>
                    <w:p>
                      <w:pPr>
                        <w:jc w:val="center"/>
                        <w:rPr>
                          <w:b/>
                          <w:color w:val="FFFF00"/>
                        </w:rPr>
                      </w:pPr>
                      <w:r>
                        <w:rPr>
                          <w:b/>
                          <w:color w:val="FFFF00"/>
                        </w:rPr>
                        <w:t>3</w:t>
                      </w:r>
                      <w:r>
                        <w:rPr>
                          <w:rFonts w:hint="eastAsia"/>
                          <w:b/>
                          <w:color w:val="FFFF00"/>
                        </w:rPr>
                        <w:t>3</w:t>
                      </w:r>
                    </w:p>
                  </w:txbxContent>
                </v:textbox>
              </v:rect>
            </w:pict>
          </mc:Fallback>
        </mc:AlternateContent>
      </w:r>
      <w:r>
        <mc:AlternateContent>
          <mc:Choice Requires="wps">
            <w:drawing>
              <wp:anchor distT="0" distB="0" distL="114300" distR="114300" simplePos="0" relativeHeight="251581440" behindDoc="0" locked="0" layoutInCell="1" allowOverlap="1">
                <wp:simplePos x="0" y="0"/>
                <wp:positionH relativeFrom="column">
                  <wp:posOffset>4720590</wp:posOffset>
                </wp:positionH>
                <wp:positionV relativeFrom="paragraph">
                  <wp:posOffset>1464310</wp:posOffset>
                </wp:positionV>
                <wp:extent cx="78740" cy="86360"/>
                <wp:effectExtent l="0" t="0" r="16510" b="27940"/>
                <wp:wrapNone/>
                <wp:docPr id="492" name="椭圆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1.7pt;margin-top:115.3pt;height:6.8pt;width:6.2pt;z-index:251581440;v-text-anchor:middle;mso-width-relative:page;mso-height-relative:page;" fillcolor="#FFFF00" filled="t" stroked="t" coordsize="21600,21600" o:gfxdata="UEsDBAoAAAAAAIdO4kAAAAAAAAAAAAAAAAAEAAAAZHJzL1BLAwQUAAAACACHTuJAVGOChtwAAAAL&#10;AQAADwAAAGRycy9kb3ducmV2LnhtbE2Py07DMBBF90j8gzVI7KjdNH2lcaoKqYIFi74QWzc2cUQ8&#10;jmKnbfh6hhUsZ+bozrn5+uYadjFdqD1KGI8EMIOl1zVWEk7H7dMCWIgKtWo8GgmDCbAu7u9ylWl/&#10;xb25HGLFKARDpiTYGNuM81Ba41QY+dYg3T5951Sksau47tSVwl3DEyFm3Kka6YNVrXm2pvw69E7C&#10;ZvP+Gk/Lvh2+Xz7s7sgXw3b/JuXjw1isgEVzi38w/OqTOhTkdPY96sAaCfN0khIqIZmIGTAi5tMp&#10;lTnTJk0T4EXO/3cofgBQSwMEFAAAAAgAh07iQEcpqntfAgAAzQQAAA4AAABkcnMvZTJvRG9jLnht&#10;bK1US44TMRDdI3EHy3umk5D5tdIZRRkFIUVMpAGxrrjtbgv/sJ10hgNwCpZsORacg7LTmWSABUL0&#10;wqr/51VVT252WpEt90FaU9Hh2YASbpitpWkq+u7t4sUVJSGCqUFZwyv6wAO9mT5/NulcyUe2tarm&#10;nmAQE8rOVbSN0ZVFEVjLNYQz67hBpbBeQ0TWN0XtocPoWhWjweCi6KyvnbeMh4DS272STnN8ITiL&#10;d0IEHomqKNYW8+vzu05vMZ1A2XhwrWR9GfAPVWiQBpM+hrqFCGTj5W+htGTeBiviGbO6sEJIxnMP&#10;2M1w8Es39y04nntBcIJ7hCn8v7DszXbliawrOr4eUWJA45B+fP32/ctnkiSIT+dCiWb3buVTh8Et&#10;LfsQiLHzFkzDZ8Ehyjj7ZFs8MU5M6N12wuvkji2TXcb/4RF/vouEofDy6nKMQ2Koubp4eZGnU0B5&#10;cHU+xFfcapKIinKlpAsJHyhhuwwx5YfyYJVrtUrWC6lUZnyznitPtoC7sMBvcEgQTs2UIV1FR+dj&#10;VBMGuJNCQURSO0QpmIYSUA0uO4s+537iHf4uSSryFkK7LyZHyPBBqUyqlefV7Xs6wpiota0fcGTe&#10;IgRYYXBsITHaEkJcgcflRSEeZLzDRyiLvdieoqS1/tOf5Mkedwq1lHR4DNjnxw14Tol6bXDbrofj&#10;NJiYmfH55QgZf6pZn2rMRs8tYjzM1WUy2Ud1IIW3+j3e7SxlRRUYhrn3iPbMPO6PFC+f8dksm+HF&#10;OIhLc+9YCp5wMna2iVbIPPsjOv0i4s3klejvOx3lKZ+tjn+h6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Y4KG3AAAAAsBAAAPAAAAAAAAAAEAIAAAACIAAABkcnMvZG93bnJldi54bWxQSwECFAAU&#10;AAAACACHTuJARymqe18CAADNBAAADgAAAAAAAAABACAAAAArAQAAZHJzL2Uyb0RvYy54bWxQSwUG&#10;AAAAAAYABgBZAQAA/AU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12160" behindDoc="0" locked="0" layoutInCell="1" allowOverlap="1">
                <wp:simplePos x="0" y="0"/>
                <wp:positionH relativeFrom="column">
                  <wp:posOffset>5777865</wp:posOffset>
                </wp:positionH>
                <wp:positionV relativeFrom="paragraph">
                  <wp:posOffset>6273800</wp:posOffset>
                </wp:positionV>
                <wp:extent cx="409575" cy="400050"/>
                <wp:effectExtent l="0" t="0" r="0" b="0"/>
                <wp:wrapNone/>
                <wp:docPr id="77" name="矩形 77"/>
                <wp:cNvGraphicFramePr/>
                <a:graphic xmlns:a="http://schemas.openxmlformats.org/drawingml/2006/main">
                  <a:graphicData uri="http://schemas.microsoft.com/office/word/2010/wordprocessingShape">
                    <wps:wsp>
                      <wps:cNvSpPr/>
                      <wps:spPr>
                        <a:xfrm>
                          <a:off x="0" y="0"/>
                          <a:ext cx="409575" cy="400050"/>
                        </a:xfrm>
                        <a:prstGeom prst="rect">
                          <a:avLst/>
                        </a:prstGeom>
                        <a:noFill/>
                        <a:ln w="25400" cap="flat" cmpd="sng" algn="ctr">
                          <a:noFill/>
                          <a:prstDash val="solid"/>
                        </a:ln>
                        <a:effectLst/>
                      </wps:spPr>
                      <wps:txbx>
                        <w:txbxContent>
                          <w:p>
                            <w:pPr>
                              <w:jc w:val="center"/>
                              <w:rPr>
                                <w:b/>
                                <w:color w:val="FFFF00"/>
                              </w:rPr>
                            </w:pPr>
                            <w:r>
                              <w:rPr>
                                <w:b/>
                                <w:color w:val="FFFF00"/>
                              </w:rPr>
                              <w:t>15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95pt;margin-top:494pt;height:31.5pt;width:32.25pt;z-index:251612160;v-text-anchor:middle;mso-width-relative:page;mso-height-relative:page;" filled="f" stroked="f" coordsize="21600,21600" o:gfxdata="UEsDBAoAAAAAAIdO4kAAAAAAAAAAAAAAAAAEAAAAZHJzL1BLAwQUAAAACACHTuJAC1mRktkAAAAM&#10;AQAADwAAAGRycy9kb3ducmV2LnhtbE2PwU7DMAyG70i8Q2QkbiwpKtCWptOEAGlHViTELW1MW2ic&#10;qsm67e0xJ3az5U+/v79cH90oFpzD4ElDslIgkFpvB+o0vNcvNxmIEA1ZM3pCDScMsK4uL0pTWH+g&#10;N1x2sRMcQqEwGvoYp0LK0PboTFj5CYlvX352JvI6d9LO5sDhbpS3St1LZwbiD72Z8KnH9me3dxpC&#10;s2zr07T5+P4MbbN5Jlen21etr68S9Qgi4jH+w/Cnz+pQsVPj92SDGDXkKs8Z5SHLuBQT+UOagmgY&#10;VXeJAlmV8rxE9QtQSwMEFAAAAAgAh07iQHpPtw8+AgAAVwQAAA4AAABkcnMvZTJvRG9jLnhtbK1U&#10;zW4TMRC+I/EOlu9kN1FCaNRNFbUqQopopYA4O147u5L/sJ1swssgceMheJyK1+Czd9tGwAlx8c54&#10;xt/MfDOzl1dHrchB+NBaU9HxqKREGG7r1uwq+vHD7as3lITITM2UNaKiJxHo1fLli8vOLcTENlbV&#10;whOAmLDoXEWbGN2iKAJvhGZhZJ0wMErrNYtQ/a6oPeuArlUxKcvXRWd97bzlIgTc3vRGusz4Ugoe&#10;76QMIhJVUeQW8+nzuU1nsbxki51nrmn5kAb7hyw0aw2CPkHdsMjI3rd/QOmWexusjCNudWGlbLnI&#10;NaCacflbNZuGOZFrATnBPdEU/h8sf3+496StKzqfU2KYRo9+fv3+8OMbwQXY6VxYwGnj7v2gBYip&#10;1KP0On1RBDlmRk9PjIpjJByX0/JiNp9RwmGalmU5y4wXz4+dD/GtsJokoaIeDcs8ssM6RASE66NL&#10;imXsbatUbpoypKvoZAZY4DPMjlQsQtQO1QSzo4SpHYaSR58hz94myBsWGnJgmItgVVunWhFMmRRG&#10;5MkZMkgM9DUnKR63x4GIra1PIM/bfqqC47ctgNcsxHvmMUZIDKsR73BIZZGtHSRKGuu//O0++aO7&#10;sFLSYSyR3ec984IS9c6g7xfj6TTNcVams/kEij+3bM8tZq+vLSocYwkdz2Lyj+pRlN7qT9igVYoK&#10;EzMcsXvOBuU69uuCHeRitcpumF3H4tpsHE/gfWdW+2hlm5uWiOrZAalJwfRmeodNS+txrmev5//B&#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WZGS2QAAAAwBAAAPAAAAAAAAAAEAIAAAACIAAABk&#10;cnMvZG93bnJldi54bWxQSwECFAAUAAAACACHTuJAek+3Dz4CAABXBAAADgAAAAAAAAABACAAAAAo&#10;AQAAZHJzL2Uyb0RvYy54bWxQSwUGAAAAAAYABgBZAQAA2AUAAAAA&#10;">
                <v:fill on="f" focussize="0,0"/>
                <v:stroke on="f" weight="2pt"/>
                <v:imagedata o:title=""/>
                <o:lock v:ext="edit" aspectratio="f"/>
                <v:textbox>
                  <w:txbxContent>
                    <w:p>
                      <w:pPr>
                        <w:jc w:val="center"/>
                        <w:rPr>
                          <w:b/>
                          <w:color w:val="FFFF00"/>
                        </w:rPr>
                      </w:pPr>
                      <w:r>
                        <w:rPr>
                          <w:b/>
                          <w:color w:val="FFFF00"/>
                        </w:rPr>
                        <w:t>15</w:t>
                      </w:r>
                    </w:p>
                  </w:txbxContent>
                </v:textbox>
              </v:rect>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5894705</wp:posOffset>
                </wp:positionH>
                <wp:positionV relativeFrom="paragraph">
                  <wp:posOffset>6303645</wp:posOffset>
                </wp:positionV>
                <wp:extent cx="78740" cy="86360"/>
                <wp:effectExtent l="0" t="0" r="16510" b="27940"/>
                <wp:wrapNone/>
                <wp:docPr id="496" name="椭圆 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4.15pt;margin-top:496.35pt;height:6.8pt;width:6.2pt;z-index:251589632;v-text-anchor:middle;mso-width-relative:page;mso-height-relative:page;" fillcolor="#FFFF00" filled="t" stroked="t" coordsize="21600,21600" o:gfxdata="UEsDBAoAAAAAAIdO4kAAAAAAAAAAAAAAAAAEAAAAZHJzL1BLAwQUAAAACACHTuJAJCP2wdoAAAAM&#10;AQAADwAAAGRycy9kb3ducmV2LnhtbE2Py07DMBBF90j8gzVI7KjdFEES4lQVUgULFvSB2LrxkETE&#10;4yh22oavZ1iV3R3N0X0Uy7PrxBGH0HrSMJ8pEEiVty3VGva79V0KIkRD1nSeUMOEAZbl9VVhcutP&#10;tMHjNtaCTSjkRkMTY59LGaoGnQkz3yPx78sPzkQ+h1rawZzY3HUyUepBOtMSJzSmx+cGq+/t6DSs&#10;Vh+vcZ+N/fTz8tm872Q6rTdvWt/ezNUTiIjneIHhrz5Xh5I7HfxINohOQ5akC0ZZZMkjCCaye8Xi&#10;wCgHL0CWhfw/ovwFUEsDBBQAAAAIAIdO4kAHeAuZYAIAAM0EAAAOAAAAZHJzL2Uyb0RvYy54bWyt&#10;VM1uEzEQviPxDpbvdJOQpukqmypKFYQU0UoFcZ547V0L/2E72ZQH4Ck4cuWx4DkYO5s2BQ4IsQdr&#10;/n++mdnZ1V4rsuM+SGsqOjwbUMINs7U0TUXfvV29mFISIpgalDW8ovc80Kv582ezzpV8ZFurau4J&#10;BjGh7FxF2xhdWRSBtVxDOLOOG1QK6zVEZH1T1B46jK5VMRoMJkVnfe28ZTwElF4flHSe4wvBWbwR&#10;IvBIVEWxtphfn99Neov5DMrGg2sl68uAf6hCgzSY9CHUNUQgWy9/C6Ul8zZYEc+Y1YUVQjKee8Bu&#10;hoNfurlrwfHcC4IT3ANM4f+FZW92t57IuqLjywklBjQO6cfXb9+/fCZJgvh0LpRodudufeowuLVl&#10;HwIxdtmCafgiOEQZZ59siyfGiQm92154ndyxZbLP+N8/4M/3kTAUXkwvxjgkhprp5OUkT6eA8ujq&#10;fIivuNUkERXlSkkXEj5Qwm4dYsoP5dEq12qVrFdSqcz4ZrNUnuwAd2GF3+CYIJyaKUO6io7Ox6gm&#10;DHAnhYKIpHaIUjANJaAaXHYWfc79xDv8XZJU5DWE9lBMjpDhg1KZVCvPq9v39Ahjoja2vseReYsQ&#10;YIXBsZXEaGsI8RY8Li8K8SDjDT5CWezF9hQlrfWf/iRP9rhTqKWkw2PAPj9uwXNK1GuD23Y5HKfB&#10;xMyMzy9GyPhTzeZUY7Z6aRHjYa4uk8k+qiMpvNXv8W4XKSuqwDDMfUC0Z5bxcKR4+YwvFtkML8ZB&#10;XJs7x1LwhJOxi220QubZP6LTLyLeTF6J/r7TUZ7y2erxLzT/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Qj9sHaAAAADAEAAA8AAAAAAAAAAQAgAAAAIgAAAGRycy9kb3ducmV2LnhtbFBLAQIUABQA&#10;AAAIAIdO4kAHeAuZYAIAAM0EAAAOAAAAAAAAAAEAIAAAACkBAABkcnMvZTJvRG9jLnhtbFBLBQYA&#10;AAAABgAGAFkBAAD7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87584" behindDoc="0" locked="0" layoutInCell="1" allowOverlap="1">
                <wp:simplePos x="0" y="0"/>
                <wp:positionH relativeFrom="column">
                  <wp:posOffset>6185535</wp:posOffset>
                </wp:positionH>
                <wp:positionV relativeFrom="paragraph">
                  <wp:posOffset>5774690</wp:posOffset>
                </wp:positionV>
                <wp:extent cx="78740" cy="86360"/>
                <wp:effectExtent l="0" t="0" r="16510" b="27940"/>
                <wp:wrapNone/>
                <wp:docPr id="495" name="椭圆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7.05pt;margin-top:454.7pt;height:6.8pt;width:6.2pt;z-index:251587584;v-text-anchor:middle;mso-width-relative:page;mso-height-relative:page;" fillcolor="#FFFF00" filled="t" stroked="t" coordsize="21600,21600" o:gfxdata="UEsDBAoAAAAAAIdO4kAAAAAAAAAAAAAAAAAEAAAAZHJzL1BLAwQUAAAACACHTuJA6/Pg4dsAAAAL&#10;AQAADwAAAGRycy9kb3ducmV2LnhtbE2Py07DMBBF90j8gzVI7KidUkqSxqkqpAoWLPpC3brxEEfE&#10;dhQ7bcPXM6xgd0dzdOdMsbzalp2xD413EpKJAIau8rpxtYTDfv2QAgtROa1a71DCiAGW5e1NoXLt&#10;L26L512sGZW4kCsJJsYu5zxUBq0KE9+ho92n762KNPY11726ULlt+VSIObeqcXTBqA5fDFZfu8FK&#10;WK0+3uIhG7rx+/VoNnuejuvtu5T3d4lYAIt4jX8w/OqTOpTkdPKD04G1ErLnWUIoBZHNgBGRpfMn&#10;YCcK00cBvCz4/x/KH1BLAwQUAAAACACHTuJA94Tz0F8CAADNBAAADgAAAGRycy9lMm9Eb2MueG1s&#10;rVRLjhMxEN0jcQfLe6aTkPm10hlFGQUhRUykAbGuuO1uC/+wnXSGA3AKlmw5FpyDstOZZIAFQvTC&#10;qv/nVVVPbnZakS33QVpT0eHZgBJumK2laSr67u3ixRUlIYKpQVnDK/rAA72ZPn826VzJR7a1quae&#10;YBATys5VtI3RlUURWMs1hDPruEGlsF5DRNY3Re2hw+haFaPB4KLorK+dt4yHgNLbvZJOc3whOIt3&#10;QgQeiaoo1hbz6/O7Tm8xnUDZeHCtZH0Z8A9VaJAGkz6GuoUIZOPlb6G0ZN4GK+IZs7qwQkjGcw/Y&#10;zXDwSzf3LTiee0FwgnuEKfy/sOzNduWJrCs6vj6nxIDGIf34+u37l88kSRCfzoUSze7dyqcOg1ta&#10;9iEQY+ctmIbPgkOUcfbJtnhinJjQu+2E18kdWya7jP/DI/58FwlD4eXV5RiHxFBzdfHyIk+ngPLg&#10;6nyIr7jVJBEV5UpJFxI+UMJ2GWLKD+XBKtdqlawXUqnM+GY9V55sAXdhgd/gkCCcmilDuoqOzseo&#10;JgxwJ4WCiKR2iFIwDSWgGlx2Fn3O/cQ7/F2SVOQthHZfTI6Q4YNSmVQrz6vb93SEMVFrWz/gyLxF&#10;CLDC4NhCYrQlhLgCj8uLQjzIeIePUBZ7sT1FSWv9pz/Jkz3uFGop6fAYsM+PG/CcEvXa4LZdD8dp&#10;MDEz4/PLETL+VLM+1ZiNnlvEeJiry2Syj+pACm/1e7zbWcqKKjAMc+8R7Zl53B8pXj7js1k2w4tx&#10;EJfm3rEUPOFk7GwTrZB59kd0+kXEm8kr0d93OspTPlsd/0L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vz4OHbAAAACwEAAA8AAAAAAAAAAQAgAAAAIgAAAGRycy9kb3ducmV2LnhtbFBLAQIUABQA&#10;AAAIAIdO4kD3hPPQXwIAAM0EAAAOAAAAAAAAAAEAIAAAACoBAABkcnMvZTJvRG9jLnhtbFBLBQYA&#10;AAAABgAGAFkBAAD7BQ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718656" behindDoc="0" locked="0" layoutInCell="1" allowOverlap="1">
                <wp:simplePos x="0" y="0"/>
                <wp:positionH relativeFrom="column">
                  <wp:posOffset>8587740</wp:posOffset>
                </wp:positionH>
                <wp:positionV relativeFrom="paragraph">
                  <wp:posOffset>6470650</wp:posOffset>
                </wp:positionV>
                <wp:extent cx="409575" cy="381000"/>
                <wp:effectExtent l="0" t="0" r="0" b="0"/>
                <wp:wrapNone/>
                <wp:docPr id="484" name="矩形 484"/>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6.2pt;margin-top:509.5pt;height:30pt;width:32.25pt;z-index:251718656;v-text-anchor:middle;mso-width-relative:page;mso-height-relative:page;" filled="f" stroked="f" coordsize="21600,21600" o:gfxdata="UEsDBAoAAAAAAIdO4kAAAAAAAAAAAAAAAAAEAAAAZHJzL1BLAwQUAAAACACHTuJAwYbX4NkAAAAP&#10;AQAADwAAAGRycy9kb3ducmV2LnhtbE1Py07DMBC8I/EP1iJxo3ZKKDTEqSoESD3SICFuTrwkgXgd&#10;xW7a/j2bE9x2HpqdyTcn14sJx9B50pAsFAik2tuOGg3v5cvNA4gQDVnTe0INZwywKS4vcpNZf6Q3&#10;nPaxERxCITMa2hiHTMpQt+hMWPgBibUvPzoTGY6NtKM5crjr5VKplXSmI/7QmgGfWqx/9genIVTT&#10;rjwP24/vz1BX22dyZbp71fr6KlGPICKe4p8Z5vpcHQruVPkD2SB6xrd3y5S9fKlkzbNmT5qs1iCq&#10;mbtnTha5/L+j+AVQSwMEFAAAAAgAh07iQFBDhBJAAgAAWQQAAA4AAABkcnMvZTJvRG9jLnhtbK1U&#10;wY7TMBC9I/EPlu80aUnZbtV0VW1VhFSxlQri7Dp2E8n2GNttWn4GiRsfsZ+D+A3GTrZbASfExZnx&#10;jN/MvJnJ7O6kFTkK5xswJR0OckqE4VA1Zl/Sjx9WryaU+MBMxRQYUdKz8PRu/vLFrLVTMYIaVCUc&#10;QRDjp60taR2CnWaZ57XQzA/ACoNGCU6zgKrbZ5VjLaJrlY3y/E3WgqusAy68x9tlZ6TzhC+l4OFB&#10;Si8CUSXF3EI6XTp38czmMzbdO2brhvdpsH/IQrPGYNAL1JIFRg6u+QNKN9yBBxkGHHQGUjZcpBqw&#10;mmH+WzXbmlmRakFyvL3Q5P8fLH9/3DjSVCUtJgUlhmls0s+v3388fiPxBvlprZ+i29ZuXK95FGOx&#10;J+l0/GIZ5JQ4PV84FadAOF4W+e34ZkwJR9PryTDPE+fZ82PrfHgrQJMolNRhyxKT7Lj2AQOi65NL&#10;jGVg1SiV2qYMaUs6GheISTjD6ZGKBRS1xXq82VPC1B7HkgeXIK/eRsgl8zU5MpwMD6qpYq0YTJkY&#10;RqTZ6TOIDHQ1RymcdqeeiB1UZ6TPQTdX3vJVg8Br5sOGORwkTAyXIzzgIRVgttBLlNTgvvztPvpj&#10;f9FKSYuDidl9PjAnKFHvDHb+dlgUcZKTUoxvRqi4a8vu2mIO+h6wwiGuoeVJjP5BPYnSgf6EO7SI&#10;UdHEDMfYHWe9ch+6hcEt5GKxSG44vZaFtdlaHsG7ziwOAWSTmhaJ6thBUqOC85vo7XctLsi1nrye&#10;/wj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GG1+DZAAAADwEAAA8AAAAAAAAAAQAgAAAAIgAA&#10;AGRycy9kb3ducmV2LnhtbFBLAQIUABQAAAAIAIdO4kBQQ4QSQAIAAFkEAAAOAAAAAAAAAAEAIAAA&#10;ACgBAABkcnMvZTJvRG9jLnhtbFBLBQYAAAAABgAGAFkBAADaBQAAAAA=&#10;">
                <v:fill on="f" focussize="0,0"/>
                <v:stroke on="f" weight="2pt"/>
                <v:imagedata o:title=""/>
                <o:lock v:ext="edit" aspectratio="f"/>
                <v:textbox>
                  <w:txbxContent>
                    <w:p>
                      <w:pPr>
                        <w:jc w:val="center"/>
                        <w:rPr>
                          <w:b/>
                          <w:color w:val="FFFF00"/>
                        </w:rPr>
                      </w:pPr>
                      <w:r>
                        <w:rPr>
                          <w:b/>
                          <w:color w:val="FFFF00"/>
                        </w:rPr>
                        <w:t>13</w:t>
                      </w:r>
                    </w:p>
                  </w:txbxContent>
                </v:textbox>
              </v:rect>
            </w:pict>
          </mc:Fallback>
        </mc:AlternateContent>
      </w:r>
      <w:r>
        <w:rPr>
          <w:sz w:val="21"/>
          <w:szCs w:val="24"/>
        </w:rPr>
        <mc:AlternateContent>
          <mc:Choice Requires="wps">
            <w:drawing>
              <wp:anchor distT="0" distB="0" distL="114300" distR="114300" simplePos="0" relativeHeight="251716608" behindDoc="0" locked="0" layoutInCell="1" allowOverlap="1">
                <wp:simplePos x="0" y="0"/>
                <wp:positionH relativeFrom="column">
                  <wp:posOffset>8739505</wp:posOffset>
                </wp:positionH>
                <wp:positionV relativeFrom="paragraph">
                  <wp:posOffset>5336540</wp:posOffset>
                </wp:positionV>
                <wp:extent cx="409575" cy="381000"/>
                <wp:effectExtent l="0" t="0" r="0" b="0"/>
                <wp:wrapNone/>
                <wp:docPr id="483" name="矩形 483"/>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8.15pt;margin-top:420.2pt;height:30pt;width:32.25pt;z-index:251716608;v-text-anchor:middle;mso-width-relative:page;mso-height-relative:page;" filled="f" stroked="f" coordsize="21600,21600" o:gfxdata="UEsDBAoAAAAAAIdO4kAAAAAAAAAAAAAAAAAEAAAAZHJzL1BLAwQUAAAACACHTuJAAUbxldkAAAAN&#10;AQAADwAAAGRycy9kb3ducmV2LnhtbE2PwU7DMBBE70j8g7VI3KhdapUS4lQVAqQeaZAQNydekkC8&#10;jmI3bf+e7YkeZ/ZpdiZfH30vJhxjF8jAfKZAINXBddQY+Chf71YgYrLkbB8IDZwwwrq4vspt5sKB&#10;3nHapUZwCMXMGmhTGjIpY92it3EWBiS+fYfR28RybKQb7YHDfS/vlVpKbzviD60d8LnF+ne39wZi&#10;NW3L07D5/PmKdbV5IV/q7Zsxtzdz9QQi4TH9w3Cuz9Wh4E5V2JOLome9eFgumDWw0kqDOCNaK55T&#10;GXhUbMkil5crij9QSwMEFAAAAAgAh07iQE54hKRAAgAAWQQAAA4AAABkcnMvZTJvRG9jLnhtbK1U&#10;zY7TMBC+I/EOlu80abdlu1XTVbVVEVLFViqI89Sxm0j+w3ablJdB4sZD8DiI12DsZLsVcEJcnBnP&#10;+JuZb2Yyv2+VJCfufG10QYeDnBKumSlrfSjoh/frV1NKfABdgjSaF/TMPb1fvHwxb+yMj0xlZMkd&#10;QRDtZ40taBWCnWWZZxVX4AfGco1GYZyCgKo7ZKWDBtGVzEZ5/jprjCutM4x7j7erzkgXCV8IzsKj&#10;EJ4HIguKuYV0unTu45kt5jA7OLBVzfo04B+yUFBrDHqBWkEAcnT1H1CqZs54I8KAGZUZIWrGUw1Y&#10;zTD/rZpdBZanWpAcby80+f8Hy96dto7UZUHH0xtKNChs0s8v3358/0riDfLTWD9Dt53dul7zKMZi&#10;W+FU/GIZpE2cni+c8jYQhpfj/G5yO6GEoelmOszzxHn2/Ng6H95wo0gUCuqwZYlJOG18wIDo+uQS&#10;Y2mzrqVMbZOaNAUdTcaISRjg9AgJAUVlsR6vD5SAPOBYsuAS5NXbCLkCX5ET4GR4I+sy1orBpI5h&#10;eJqdPoPIQFdzlEK7b3si9qY8I33OdHPlLVvXCLwBH7bgcJAwMVyO8IiHkAazNb1ESWXc57/dR3/s&#10;L1opaXAwMbtPR3CcEvlWY+fvhuNxnOSkjCe3I1TctWV/bdFH9WCwwiGuoWVJjP5BPonCGfURd2gZ&#10;o6IJNMPYHWe98hC6hcEtZHy5TG44vRbCRu8si+BdZ5bHYESdmhaJ6thBUqOC85vo7XctLsi1nrye&#10;/wi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FG8ZXZAAAADQEAAA8AAAAAAAAAAQAgAAAAIgAA&#10;AGRycy9kb3ducmV2LnhtbFBLAQIUABQAAAAIAIdO4kBOeISkQAIAAFkEAAAOAAAAAAAAAAEAIAAA&#10;ACgBAABkcnMvZTJvRG9jLnhtbFBLBQYAAAAABgAGAFkBAADaBQAAAAA=&#10;">
                <v:fill on="f" focussize="0,0"/>
                <v:stroke on="f" weight="2pt"/>
                <v:imagedata o:title=""/>
                <o:lock v:ext="edit" aspectratio="f"/>
                <v:textbox>
                  <w:txbxContent>
                    <w:p>
                      <w:pPr>
                        <w:jc w:val="center"/>
                        <w:rPr>
                          <w:b/>
                          <w:color w:val="FFFF00"/>
                        </w:rPr>
                      </w:pPr>
                      <w:r>
                        <w:rPr>
                          <w:b/>
                          <w:color w:val="FFFF00"/>
                        </w:rPr>
                        <w:t>11</w:t>
                      </w:r>
                    </w:p>
                  </w:txbxContent>
                </v:textbox>
              </v:rect>
            </w:pict>
          </mc:Fallback>
        </mc:AlternateContent>
      </w:r>
      <w:r>
        <w:rPr>
          <w:sz w:val="21"/>
          <w:szCs w:val="24"/>
        </w:rPr>
        <mc:AlternateContent>
          <mc:Choice Requires="wps">
            <w:drawing>
              <wp:anchor distT="0" distB="0" distL="114300" distR="114300" simplePos="0" relativeHeight="251714560" behindDoc="0" locked="0" layoutInCell="1" allowOverlap="1">
                <wp:simplePos x="0" y="0"/>
                <wp:positionH relativeFrom="column">
                  <wp:posOffset>9530715</wp:posOffset>
                </wp:positionH>
                <wp:positionV relativeFrom="paragraph">
                  <wp:posOffset>5127625</wp:posOffset>
                </wp:positionV>
                <wp:extent cx="409575" cy="381000"/>
                <wp:effectExtent l="0" t="0" r="0" b="0"/>
                <wp:wrapNone/>
                <wp:docPr id="482" name="矩形 482"/>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0.45pt;margin-top:403.75pt;height:30pt;width:32.25pt;z-index:251714560;v-text-anchor:middle;mso-width-relative:page;mso-height-relative:page;" filled="f" stroked="f" coordsize="21600,21600" o:gfxdata="UEsDBAoAAAAAAIdO4kAAAAAAAAAAAAAAAAAEAAAAZHJzL1BLAwQUAAAACACHTuJAsLDgctkAAAAN&#10;AQAADwAAAGRycy9kb3ducmV2LnhtbE2PwU7DMBBE70j8g7VI3Khd1IQ2jVNVCJB6pEFC3Jx4SQLx&#10;OordtP17tid6nNmn2Zl8c3K9mHAMnScN85kCgVR721Gj4aN8fViCCNGQNb0n1HDGAJvi9iY3mfVH&#10;esdpHxvBIRQyo6GNccikDHWLzoSZH5D49u1HZyLLsZF2NEcOd718VCqVznTEH1oz4HOL9e/+4DSE&#10;atqV52H7+fMV6mr7Qq5c7N60vr+bqzWIiKf4D8OlPleHgjtV/kA2iJ51otSKWQ1L9ZSAuCBJmixA&#10;VGylbMkil9crij9QSwMEFAAAAAgAh07iQMrEfxJBAgAAWQQAAA4AAABkcnMvZTJvRG9jLnhtbK1U&#10;wY7TMBC9I/EPlu80aUnZbtV0VW1VhFSxlQri7Dp2E8n2GNttWn4GiRsfsZ+D+A3GTrZbASfExZnx&#10;jN/MvJnJ7O6kFTkK5xswJR0OckqE4VA1Zl/Sjx9WryaU+MBMxRQYUdKz8PRu/vLFrLVTMYIaVCUc&#10;QRDjp60taR2CnWaZ57XQzA/ACoNGCU6zgKrbZ5VjLaJrlY3y/E3WgqusAy68x9tlZ6TzhC+l4OFB&#10;Si8CUSXF3EI6XTp38czmMzbdO2brhvdpsH/IQrPGYNAL1JIFRg6u+QNKN9yBBxkGHHQGUjZcpBqw&#10;mmH+WzXbmlmRakFyvL3Q5P8fLH9/3DjSVCUtJiNKDNPYpJ9fv/94/EbiDfLTWj9Ft63duF7zKMZi&#10;T9Lp+MUyyClxer5wKk6BcLws8tvxzZgSjqbXk2GeJ86z58fW+fBWgCZRKKnDliUm2XHtAwZE1yeX&#10;GMvAqlEqtU0Z0pZ0NC4Qk3CG0yMVCyhqi/V4s6eEqT2OJQ8uQV69jZBL5mtyZDgZHlRTxVoxmDIx&#10;jEiz02cQGehqjlI47U49ETuozkifg26uvOWrBoHXzIcNczhImBguR3jAQyrAbKGXKKnBffnbffTH&#10;/qKVkhYHE7P7fGBOUKLeGez87bAo4iQnpRjfjFBx15bdtcUc9D1ghUNcQ8uTGP2DehKlA/0Jd2gR&#10;o6KJGY6xO8565T50C4NbyMVikdxwei0La7O1PIJ3nVkcAsgmNS0S1bGDpEYF5zfR2+9aXJBrPXk9&#10;/xH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sOBy2QAAAA0BAAAPAAAAAAAAAAEAIAAAACIA&#10;AABkcnMvZG93bnJldi54bWxQSwECFAAUAAAACACHTuJAysR/EkECAABZBAAADgAAAAAAAAABACAA&#10;AAAoAQAAZHJzL2Uyb0RvYy54bWxQSwUGAAAAAAYABgBZAQAA2wUAAAAA&#10;">
                <v:fill on="f" focussize="0,0"/>
                <v:stroke on="f" weight="2pt"/>
                <v:imagedata o:title=""/>
                <o:lock v:ext="edit" aspectratio="f"/>
                <v:textbox>
                  <w:txbxContent>
                    <w:p>
                      <w:pPr>
                        <w:jc w:val="center"/>
                        <w:rPr>
                          <w:b/>
                          <w:color w:val="FFFF00"/>
                        </w:rPr>
                      </w:pPr>
                      <w:r>
                        <w:rPr>
                          <w:b/>
                          <w:color w:val="FFFF00"/>
                        </w:rPr>
                        <w:t>10</w:t>
                      </w:r>
                    </w:p>
                  </w:txbxContent>
                </v:textbox>
              </v:rect>
            </w:pict>
          </mc:Fallback>
        </mc:AlternateContent>
      </w:r>
      <w:r>
        <w:rPr>
          <w:sz w:val="21"/>
          <w:szCs w:val="24"/>
        </w:rPr>
        <mc:AlternateContent>
          <mc:Choice Requires="wps">
            <w:drawing>
              <wp:anchor distT="0" distB="0" distL="114300" distR="114300" simplePos="0" relativeHeight="251712512" behindDoc="0" locked="0" layoutInCell="1" allowOverlap="1">
                <wp:simplePos x="0" y="0"/>
                <wp:positionH relativeFrom="column">
                  <wp:posOffset>9568815</wp:posOffset>
                </wp:positionH>
                <wp:positionV relativeFrom="paragraph">
                  <wp:posOffset>3589655</wp:posOffset>
                </wp:positionV>
                <wp:extent cx="409575" cy="381000"/>
                <wp:effectExtent l="0" t="0" r="0" b="0"/>
                <wp:wrapNone/>
                <wp:docPr id="481" name="矩形 481"/>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3.45pt;margin-top:282.65pt;height:30pt;width:32.25pt;z-index:251712512;v-text-anchor:middle;mso-width-relative:page;mso-height-relative:page;" filled="f" stroked="f" coordsize="21600,21600" o:gfxdata="UEsDBAoAAAAAAIdO4kAAAAAAAAAAAAAAAAAEAAAAZHJzL1BLAwQUAAAACACHTuJAImp7mtoAAAAN&#10;AQAADwAAAGRycy9kb3ducmV2LnhtbE2PwU7DMAyG70i8Q2QkbizpWAuUptOEAGlHViTELW1MW2ic&#10;qsm67e3xTnD87U+/PxfroxvEjFPoPWlIFgoEUuNtT62G9+rl5h5EiIasGTyhhhMGWJeXF4XJrT/Q&#10;G8672AouoZAbDV2MYy5laDp0Jiz8iMS7Lz85EzlOrbSTOXC5G+RSqUw60xNf6MyITx02P7u90xDq&#10;eVudxs3H92do6s0zuWq1fdX6+ipRjyAiHuMfDGd9VoeSnWq/JxvEwDlV2QOzGtIsvQVxRtK7ZAWi&#10;1pAteSTLQv7/ovwFUEsDBBQAAAAIAIdO4kAHBwISQAIAAFkEAAAOAAAAZHJzL2Uyb0RvYy54bWyt&#10;VM1uEzEQviPxDpbvdDchoWmUTRU1CkKqaKWCODteO7uS/7CdbMrLIHHjIfo4iNfgs3fbRsAJcfHO&#10;eMbfzHwzs4vLo1bkIHxorano6KykRBhu69bsKvrxw+bVjJIQmamZskZU9F4Eerl8+WLRubkY28aq&#10;WngCEBPmnatoE6ObF0XgjdAsnFknDIzSes0iVL8ras86oGtVjMvyTdFZXztvuQgBt+veSJcZX0rB&#10;442UQUSiKorcYj59PrfpLJYLNt955pqWD2mwf8hCs9Yg6BPUmkVG9r79A0q33NtgZTzjVhdWypaL&#10;XAOqGZW/VXPXMCdyLSAnuCeawv+D5e8Pt560dUUnsxElhmk06efX7z8evpF0A346F+Zwu3O3ftAC&#10;xFTsUXqdviiDHDOn90+cimMkHJeT8mJ6PqWEw/R6NirLzHnx/Nj5EN8Kq0kSKurRsswkO1yHiIBw&#10;fXRJsYzdtErltilDuoqOpxNgEs4wPVKxCFE71BPMjhKmdhhLHn2GPHmbINcsNOTAMBnBqrZOtSKY&#10;MimMyLMzZJAY6GtOUjxujwMRW1vfgz5v+7kKjm9aAF+zEG+ZxyAhMSxHvMEhlUW2dpAoaaz/8rf7&#10;5I/+wkpJh8FEdp/3zAtK1DuDzl+MJpM0yVmZTM/HUPypZXtqMXt9ZVEheovsspj8o3oUpbf6E3Zo&#10;laLCxAxH7J6zQbmK/cJgC7lYrbIbptexeG3uHE/gfWdW+2hlm5uWiOrZAalJwfxmeoddSwtyqmev&#10;5z/C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anua2gAAAA0BAAAPAAAAAAAAAAEAIAAAACIA&#10;AABkcnMvZG93bnJldi54bWxQSwECFAAUAAAACACHTuJABwcCEkACAABZBAAADgAAAAAAAAABACAA&#10;AAApAQAAZHJzL2Uyb0RvYy54bWxQSwUGAAAAAAYABgBZAQAA2wUAAAAA&#10;">
                <v:fill on="f" focussize="0,0"/>
                <v:stroke on="f" weight="2pt"/>
                <v:imagedata o:title=""/>
                <o:lock v:ext="edit" aspectratio="f"/>
                <v:textbox>
                  <w:txbxContent>
                    <w:p>
                      <w:pPr>
                        <w:jc w:val="center"/>
                        <w:rPr>
                          <w:b/>
                          <w:color w:val="FFFF00"/>
                        </w:rPr>
                      </w:pPr>
                      <w:r>
                        <w:rPr>
                          <w:b/>
                          <w:color w:val="FFFF00"/>
                        </w:rPr>
                        <w:t>9</w:t>
                      </w:r>
                    </w:p>
                  </w:txbxContent>
                </v:textbox>
              </v:rect>
            </w:pict>
          </mc:Fallback>
        </mc:AlternateContent>
      </w:r>
      <w:r>
        <w:rPr>
          <w:sz w:val="21"/>
          <w:szCs w:val="24"/>
        </w:rPr>
        <mc:AlternateContent>
          <mc:Choice Requires="wps">
            <w:drawing>
              <wp:anchor distT="0" distB="0" distL="114300" distR="114300" simplePos="0" relativeHeight="251710464" behindDoc="0" locked="0" layoutInCell="1" allowOverlap="1">
                <wp:simplePos x="0" y="0"/>
                <wp:positionH relativeFrom="column">
                  <wp:posOffset>9364345</wp:posOffset>
                </wp:positionH>
                <wp:positionV relativeFrom="paragraph">
                  <wp:posOffset>2593975</wp:posOffset>
                </wp:positionV>
                <wp:extent cx="409575" cy="381000"/>
                <wp:effectExtent l="0" t="0" r="0" b="0"/>
                <wp:wrapNone/>
                <wp:docPr id="480" name="矩形 480"/>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7.35pt;margin-top:204.25pt;height:30pt;width:32.25pt;z-index:251710464;v-text-anchor:middle;mso-width-relative:page;mso-height-relative:page;" filled="f" stroked="f" coordsize="21600,21600" o:gfxdata="UEsDBAoAAAAAAIdO4kAAAAAAAAAAAAAAAAAEAAAAZHJzL1BLAwQUAAAACACHTuJA1ANw89oAAAAN&#10;AQAADwAAAGRycy9kb3ducmV2LnhtbE2PzU7DMBCE70i8g7VI3Kjdkv6FOFWFAKlHGiTUmxMvSSBe&#10;R7Gbtm/P9gTHmf00O5Ntzq4TIw6h9aRhOlEgkCpvW6o1fBSvDysQIRqypvOEGi4YYJPf3mQmtf5E&#10;7zjuYy04hEJqNDQx9qmUoWrQmTDxPRLfvvzgTGQ51NIO5sThrpMzpRbSmZb4Q2N6fG6w+tkfnYZQ&#10;jrvi0m8/vw+hKrcv5Ipk96b1/d1UPYGIeI5/MFzrc3XIuVPpj2SD6Fgny2TJrIZEreYgrsj8cT0D&#10;UbK1YEvmmfy/Iv8FUEsDBBQAAAAIAIdO4kCDu/mkQAIAAFkEAAAOAAAAZHJzL2Uyb0RvYy54bWyt&#10;VM1uEzEQviPxDpbvdDchoWmUTRU1CkKqaKWCODteO7uS/7CdbMrLIHHjIfo4iNfgs3fbRsAJcfHO&#10;eMbfzHwzs4vLo1bkIHxorano6KykRBhu69bsKvrxw+bVjJIQmamZskZU9F4Eerl8+WLRubkY28aq&#10;WngCEBPmnatoE6ObF0XgjdAsnFknDIzSes0iVL8ras86oGtVjMvyTdFZXztvuQgBt+veSJcZX0rB&#10;442UQUSiKorcYj59PrfpLJYLNt955pqWD2mwf8hCs9Yg6BPUmkVG9r79A0q33NtgZTzjVhdWypaL&#10;XAOqGZW/VXPXMCdyLSAnuCeawv+D5e8Pt560dUUnM/BjmEaTfn79/uPhG0k34KdzYQ63O3frBy1A&#10;TMUepdfpizLIMXN6/8SpOEbCcTkpL6bnU0o4TK9no7LMmMXzY+dDfCusJkmoqEfLMpPscB0iAsL1&#10;0SXFMnbTKpXbpgzpKjqeToBJOMP0SMUiRO1QTzA7SpjaYSx59Bny5G2CXLPQkAPDZASr2jrVimDK&#10;pDAiz86QQWKgrzlJ8bg9DkRsbX0P+rzt5yo4vmkBfM1CvGUeg4TEsBzxBodUFtnaQaKksf7L3+6T&#10;P/oLKyUdBhPZfd4zLyhR7ww6fzGaTNIkZ2UyPR9D8aeW7anF7PWVRYUjrKHjWUz+UT2K0lv9CTu0&#10;SlFhYoYjds/ZoFzFfmGwhVysVtkN0+tYvDZ3jifwvjOrfbSyzU1LRPXsgNSkYH4zvcOupQU51bPX&#10;8x9h+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A3Dz2gAAAA0BAAAPAAAAAAAAAAEAIAAAACIA&#10;AABkcnMvZG93bnJldi54bWxQSwECFAAUAAAACACHTuJAg7v5pEACAABZBAAADgAAAAAAAAABACAA&#10;AAApAQAAZHJzL2Uyb0RvYy54bWxQSwUGAAAAAAYABgBZAQAA2wUAAAAA&#10;">
                <v:fill on="f" focussize="0,0"/>
                <v:stroke on="f" weight="2pt"/>
                <v:imagedata o:title=""/>
                <o:lock v:ext="edit" aspectratio="f"/>
                <v:textbox>
                  <w:txbxContent>
                    <w:p>
                      <w:pPr>
                        <w:jc w:val="center"/>
                        <w:rPr>
                          <w:b/>
                          <w:color w:val="FFFF00"/>
                        </w:rPr>
                      </w:pPr>
                      <w:r>
                        <w:rPr>
                          <w:b/>
                          <w:color w:val="FFFF00"/>
                        </w:rPr>
                        <w:t>8</w:t>
                      </w:r>
                    </w:p>
                  </w:txbxContent>
                </v:textbox>
              </v:rect>
            </w:pict>
          </mc:Fallback>
        </mc:AlternateContent>
      </w:r>
      <w:r>
        <w:rPr>
          <w:sz w:val="21"/>
          <w:szCs w:val="24"/>
        </w:rPr>
        <mc:AlternateContent>
          <mc:Choice Requires="wps">
            <w:drawing>
              <wp:anchor distT="0" distB="0" distL="114300" distR="114300" simplePos="0" relativeHeight="251708416" behindDoc="0" locked="0" layoutInCell="1" allowOverlap="1">
                <wp:simplePos x="0" y="0"/>
                <wp:positionH relativeFrom="column">
                  <wp:posOffset>9051925</wp:posOffset>
                </wp:positionH>
                <wp:positionV relativeFrom="paragraph">
                  <wp:posOffset>3189605</wp:posOffset>
                </wp:positionV>
                <wp:extent cx="409575" cy="381000"/>
                <wp:effectExtent l="0" t="0" r="0" b="0"/>
                <wp:wrapNone/>
                <wp:docPr id="478" name="矩形 478"/>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2.75pt;margin-top:251.15pt;height:30pt;width:32.25pt;z-index:251708416;v-text-anchor:middle;mso-width-relative:page;mso-height-relative:page;" filled="f" stroked="f" coordsize="21600,21600" o:gfxdata="UEsDBAoAAAAAAIdO4kAAAAAAAAAAAAAAAAAEAAAAZHJzL1BLAwQUAAAACACHTuJAeamXadkAAAAN&#10;AQAADwAAAGRycy9kb3ducmV2LnhtbE2PwU7DMBBE70j8g7VI3KjdkFQQ4lQVAqQeaZAQNydekkC8&#10;jmI3bf+e7akcZ/ZpdqZYH90gZpxC70nDcqFAIDXe9tRq+Khe7x5AhGjImsETajhhgHV5fVWY3PoD&#10;veO8i63gEAq50dDFOOZShqZDZ8LCj0h8+/aTM5Hl1Eo7mQOHu0EmSq2kMz3xh86M+Nxh87vbOw2h&#10;nrfVadx8/nyFpt68kKvS7ZvWtzdL9QQi4jFeYDjX5+pQcqfa78kGMbBOkyxjVkOmknsQZyR9VLyv&#10;ZmvFliwL+X9F+QdQSwMEFAAAAAgAh07iQBCME9dAAgAAWQQAAA4AAABkcnMvZTJvRG9jLnhtbK1U&#10;zW4TMRC+I/EOlu90NyGhbZRNFTUqQopopYI4O147u5L/sJ1swssgceMh+jiI1+Czd9tGwAlx8c54&#10;xt/MfDOz86uDVmQvfGitqejorKREGG7r1mwr+vHDzasLSkJkpmbKGlHRowj0avHyxbxzMzG2jVW1&#10;8AQgJsw6V9EmRjcrisAboVk4s04YGKX1mkWoflvUnnVA16oYl+WborO+dt5yEQJuV72RLjK+lILH&#10;WymDiERVFLnFfPp8btJZLOZstvXMNS0f0mD/kIVmrUHQJ6gVi4zsfPsHlG65t8HKeMatLqyULRe5&#10;BlQzKn+r5r5hTuRaQE5wTzSF/wfL3+/vPGnrik7O0SrDNJr08+v3Hw/fSLoBP50LM7jduzs/aAFi&#10;KvYgvU5flEEOmdPjE6fiEAnH5aS8nJ5PKeEwvb4YlWXmvHh+7HyIb4XVJAkV9WhZZpLt1yEiIFwf&#10;XVIsY29apXLblCFdRcfTCTAJZ5geqViEqB3qCWZLCVNbjCWPPkOevE2QKxYasmeYjGBVW6daEUyZ&#10;FEbk2RkySAz0NScpHjaHgYiNrY+gz9t+roLjNy2A1yzEO+YxSEgMyxFvcUhlka0dJEoa67/87T75&#10;o7+wUtJhMJHd5x3zghL1zqDzl6PJJE1yVibT8zEUf2rZnFrMTl9bVDjCGjqexeQf1aMovdWfsEPL&#10;FBUmZjhi95wNynXsFwZbyMVymd0wvY7Ftbl3PIH3nVnuopVtbloiqmcHpCYF85vpHXYtLcipnr2e&#10;/wi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mpl2nZAAAADQEAAA8AAAAAAAAAAQAgAAAAIgAA&#10;AGRycy9kb3ducmV2LnhtbFBLAQIUABQAAAAIAIdO4kAQjBPXQAIAAFkEAAAOAAAAAAAAAAEAIAAA&#10;ACgBAABkcnMvZTJvRG9jLnhtbFBLBQYAAAAABgAGAFkBAADaBQAAAAA=&#10;">
                <v:fill on="f" focussize="0,0"/>
                <v:stroke on="f" weight="2pt"/>
                <v:imagedata o:title=""/>
                <o:lock v:ext="edit" aspectratio="f"/>
                <v:textbox>
                  <w:txbxContent>
                    <w:p>
                      <w:pPr>
                        <w:jc w:val="center"/>
                        <w:rPr>
                          <w:b/>
                          <w:color w:val="FFFF00"/>
                        </w:rPr>
                      </w:pPr>
                      <w:r>
                        <w:rPr>
                          <w:b/>
                          <w:color w:val="FFFF00"/>
                        </w:rPr>
                        <w:t>7</w:t>
                      </w:r>
                    </w:p>
                  </w:txbxContent>
                </v:textbox>
              </v:rect>
            </w:pict>
          </mc:Fallback>
        </mc:AlternateContent>
      </w:r>
      <w:r>
        <w:rPr>
          <w:sz w:val="21"/>
          <w:szCs w:val="24"/>
        </w:rPr>
        <mc:AlternateContent>
          <mc:Choice Requires="wps">
            <w:drawing>
              <wp:anchor distT="0" distB="0" distL="114300" distR="114300" simplePos="0" relativeHeight="251706368" behindDoc="0" locked="0" layoutInCell="1" allowOverlap="1">
                <wp:simplePos x="0" y="0"/>
                <wp:positionH relativeFrom="column">
                  <wp:posOffset>8463915</wp:posOffset>
                </wp:positionH>
                <wp:positionV relativeFrom="paragraph">
                  <wp:posOffset>2446655</wp:posOffset>
                </wp:positionV>
                <wp:extent cx="409575" cy="381000"/>
                <wp:effectExtent l="0" t="0" r="0" b="0"/>
                <wp:wrapNone/>
                <wp:docPr id="474" name="矩形 474"/>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b/>
                                <w:color w:val="FFFF00"/>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45pt;margin-top:192.65pt;height:30pt;width:32.25pt;z-index:251706368;v-text-anchor:middle;mso-width-relative:page;mso-height-relative:page;" filled="f" stroked="f" coordsize="21600,21600" o:gfxdata="UEsDBAoAAAAAAIdO4kAAAAAAAAAAAAAAAAAEAAAAZHJzL1BLAwQUAAAACACHTuJAYEXhZNoAAAAN&#10;AQAADwAAAGRycy9kb3ducmV2LnhtbE2PwU7DMAyG70i8Q2QkbizdUmArTacJAdKOW5EQt7QxbaFx&#10;qibrtrfHO8Hxtz/9/pyvT64XE46h86RhPktAINXedtRoeC9f75YgQjRkTe8JNZwxwLq4vspNZv2R&#10;djjtYyO4hEJmNLQxDpmUoW7RmTDzAxLvvvzoTOQ4NtKO5sjlrpeLJHmQznTEF1oz4HOL9c/+4DSE&#10;atqW52Hz8f0Z6mrzQq5Mt29a397MkycQEU/xD4aLPqtDwU6VP5ANoues1GLFrAa1vFcgLohaPaYg&#10;Kg1pyiNZ5PL/F8UvUEsDBBQAAAAIAIdO4kAkg+TWQAIAAFkEAAAOAAAAZHJzL2Uyb0RvYy54bWyt&#10;VMGO0zAQvSPxD5bvNGlJ6W7VdFVtVYRUsZUK4uw6dhPJ9hjbbVp+BokbH7Gfg/gNxk62WwEnxMWZ&#10;8YzfzLyZyezupBU5CucbMCUdDnJKhOFQNWZf0o8fVq9uKPGBmYopMKKkZ+Hp3fzli1lrp2IENahK&#10;OIIgxk9bW9I6BDvNMs9roZkfgBUGjRKcZgFVt88qx1pE1yob5fmbrAVXWQdceI+3y85I5wlfSsHD&#10;g5ReBKJKirmFdLp07uKZzWdsunfM1g3v02D/kIVmjcGgF6glC4wcXPMHlG64Aw8yDDjoDKRsuEg1&#10;YDXD/LdqtjWzItWC5Hh7ocn/P1j+/rhxpKlKWkwKSgzT2KSfX7//ePxG4g3y01o/Rbet3bhe8yjG&#10;Yk/S6fjFMsgpcXq+cCpOgXC8LPLb8WRMCUfT65thnifOs+fH1vnwVoAmUSipw5YlJtlx7QMGRNcn&#10;lxjLwKpRKrVNGdKWdDQuEJNwhtMjFQsoaov1eLOnhKk9jiUPLkFevY2QS+ZrcmQ4GR5UU8VaMZgy&#10;MYxIs9NnEBnoao5SOO1OPRE7qM5In4NurrzlqwaB18yHDXM4SJgYLkd4wEMqwGyhlyipwX352330&#10;x/6ilZIWBxOz+3xgTlCi3hns/O2wKOIkJ6UYT0aouGvL7tpiDvoesMIhrqHlSYz+QT2J0oH+hDu0&#10;iFHRxAzH2B1nvXIfuoXBLeRisUhuOL2WhbXZWh7Bu84sDgFkk5oWierYQVKjgvOb6O13LS7ItZ68&#10;nv8I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ReFk2gAAAA0BAAAPAAAAAAAAAAEAIAAAACIA&#10;AABkcnMvZG93bnJldi54bWxQSwECFAAUAAAACACHTuJAJIPk1kACAABZBAAADgAAAAAAAAABACAA&#10;AAApAQAAZHJzL2Uyb0RvYy54bWxQSwUGAAAAAAYABgBZAQAA2wUAAAAA&#10;">
                <v:fill on="f" focussize="0,0"/>
                <v:stroke on="f" weight="2pt"/>
                <v:imagedata o:title=""/>
                <o:lock v:ext="edit" aspectratio="f"/>
                <v:textbox>
                  <w:txbxContent>
                    <w:p>
                      <w:pPr>
                        <w:jc w:val="center"/>
                        <w:rPr>
                          <w:b/>
                          <w:color w:val="FFFF00"/>
                        </w:rPr>
                      </w:pPr>
                      <w:r>
                        <w:rPr>
                          <w:b/>
                          <w:color w:val="FFFF00"/>
                        </w:rPr>
                        <w:t>6</w:t>
                      </w:r>
                    </w:p>
                  </w:txbxContent>
                </v:textbox>
              </v:rect>
            </w:pict>
          </mc:Fallback>
        </mc:AlternateContent>
      </w:r>
      <w:r>
        <w:rPr>
          <w:sz w:val="21"/>
          <w:szCs w:val="24"/>
        </w:rPr>
        <mc:AlternateContent>
          <mc:Choice Requires="wps">
            <w:drawing>
              <wp:anchor distT="0" distB="0" distL="114300" distR="114300" simplePos="0" relativeHeight="251601920" behindDoc="0" locked="0" layoutInCell="1" allowOverlap="1">
                <wp:simplePos x="0" y="0"/>
                <wp:positionH relativeFrom="column">
                  <wp:posOffset>8640445</wp:posOffset>
                </wp:positionH>
                <wp:positionV relativeFrom="paragraph">
                  <wp:posOffset>3521710</wp:posOffset>
                </wp:positionV>
                <wp:extent cx="409575" cy="381000"/>
                <wp:effectExtent l="0" t="0" r="0" b="0"/>
                <wp:wrapNone/>
                <wp:docPr id="503" name="矩形 503"/>
                <wp:cNvGraphicFramePr/>
                <a:graphic xmlns:a="http://schemas.openxmlformats.org/drawingml/2006/main">
                  <a:graphicData uri="http://schemas.microsoft.com/office/word/2010/wordprocessingShape">
                    <wps:wsp>
                      <wps:cNvSpPr/>
                      <wps:spPr>
                        <a:xfrm>
                          <a:off x="0" y="0"/>
                          <a:ext cx="409575" cy="381000"/>
                        </a:xfrm>
                        <a:prstGeom prst="rect">
                          <a:avLst/>
                        </a:prstGeom>
                        <a:noFill/>
                        <a:ln w="25400" cap="flat" cmpd="sng" algn="ctr">
                          <a:noFill/>
                          <a:prstDash val="solid"/>
                        </a:ln>
                        <a:effectLst/>
                      </wps:spPr>
                      <wps:txbx>
                        <w:txbxContent>
                          <w:p>
                            <w:pPr>
                              <w:jc w:val="center"/>
                              <w:rPr>
                                <w:b/>
                                <w:color w:val="FFFF00"/>
                              </w:rPr>
                            </w:pPr>
                            <w:r>
                              <w:rPr>
                                <w:rFonts w:hint="eastAsia"/>
                                <w:b/>
                                <w:color w:val="FFFF00"/>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0.35pt;margin-top:277.3pt;height:30pt;width:32.25pt;z-index:251601920;v-text-anchor:middle;mso-width-relative:page;mso-height-relative:page;" filled="f" stroked="f" coordsize="21600,21600" o:gfxdata="UEsDBAoAAAAAAIdO4kAAAAAAAAAAAAAAAAAEAAAAZHJzL1BLAwQUAAAACACHTuJA4rjMftoAAAAN&#10;AQAADwAAAGRycy9kb3ducmV2LnhtbE2PwU6DQBCG7ya+w2ZMvNkFBDTI0jRGTXq0mBhvCzsCys4S&#10;dkvbt3d6qsd/5ss/35Trox3FgrMfHCmIVxEIpNaZgToFH/Xr3SMIHzQZPTpCBSf0sK6ur0pdGHeg&#10;d1x2oRNcQr7QCvoQpkJK3/ZotV+5CYl33262OnCcO2lmfeByO8okinJp9UB8odcTPvfY/u72VoFv&#10;lm19mjafP1++bTYvZOt0+6bU7U0cPYEIeAwXGM76rA4VOzVuT8aLkfN9Hj0wqyDL0hzEGUmTLAHR&#10;KMhjHsmqlP+/qP4AUEsDBBQAAAAIAIdO4kBxkWUHQAIAAFkEAAAOAAAAZHJzL2Uyb0RvYy54bWyt&#10;VM2OEzEMviPxDlHudKbdlt2tOl1VWxUhVexKBXF2M0knUv5I0k7LyyBx4yF4HMRr4GRmuxVwQlwy&#10;dux8tj/bM7s7akUO3AdpTUWHg5ISbpitpdlV9MP71asbSkIEU4Oyhlf0xAO9m798MWvdlI9sY1XN&#10;PUEQE6atq2gTo5sWRWAN1xAG1nGDRmG9hoiq3xW1hxbRtSpGZfm6aK2vnbeMh4C3y85I5xlfCM7i&#10;gxCBR6IqirnFfPp8btNZzGcw3XlwjWR9GvAPWWiQBoOeoZYQgey9/ANKS+ZtsCIOmNWFFUIynmvA&#10;aoblb9VsGnA814LkBHemKfw/WPbu8OiJrCs6Ka8oMaCxST+/fPvx/StJN8hP68IU3Tbu0fdaQDEV&#10;exRepy+WQY6Z09OZU36MhOHluLydXE8oYWi6uhmWZea8eH7sfIhvuNUkCRX12LLMJBzWIWJAdH1y&#10;SbGMXUmlctuUIW1FR5MxYhIGOD1CQURRO6wnmB0loHY4liz6DHnxNkEuITTkADgZwSpZp1oxmDIp&#10;DM+z02eQGOhqTlI8bo89EVtbn5A+b7u5Co6tJAKvIcRH8DhImBguR3zAQyiL2dpeoqSx/vPf7pM/&#10;9hetlLQ4mJjdpz14Tol6a7Dzt8PxOE1yVsaT6xEq/tKyvbSYvb63WOEQ19CxLCb/qJ5E4a3+iDu0&#10;SFHRBIZh7I6zXrmP3cLgFjK+WGQ3nF4HcW02jiXwrjOLfbRC5qYlojp2kNSk4PxmevtdSwtyqWev&#10;5z/C/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uMx+2gAAAA0BAAAPAAAAAAAAAAEAIAAAACIA&#10;AABkcnMvZG93bnJldi54bWxQSwECFAAUAAAACACHTuJAcZFlB0ACAABZBAAADgAAAAAAAAABACAA&#10;AAApAQAAZHJzL2Uyb0RvYy54bWxQSwUGAAAAAAYABgBZAQAA2wUAAAAA&#10;">
                <v:fill on="f" focussize="0,0"/>
                <v:stroke on="f" weight="2pt"/>
                <v:imagedata o:title=""/>
                <o:lock v:ext="edit" aspectratio="f"/>
                <v:textbox>
                  <w:txbxContent>
                    <w:p>
                      <w:pPr>
                        <w:jc w:val="center"/>
                        <w:rPr>
                          <w:b/>
                          <w:color w:val="FFFF00"/>
                        </w:rPr>
                      </w:pPr>
                      <w:r>
                        <w:rPr>
                          <w:rFonts w:hint="eastAsia"/>
                          <w:b/>
                          <w:color w:val="FFFF00"/>
                        </w:rPr>
                        <w:t>5</w:t>
                      </w:r>
                    </w:p>
                  </w:txbxContent>
                </v:textbox>
              </v:rect>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8861425</wp:posOffset>
                </wp:positionH>
                <wp:positionV relativeFrom="paragraph">
                  <wp:posOffset>5335905</wp:posOffset>
                </wp:positionV>
                <wp:extent cx="78740" cy="86360"/>
                <wp:effectExtent l="0" t="0" r="16510" b="27940"/>
                <wp:wrapNone/>
                <wp:docPr id="472" name="椭圆 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7.75pt;margin-top:420.15pt;height:6.8pt;width:6.2pt;z-index:251565056;v-text-anchor:middle;mso-width-relative:page;mso-height-relative:page;" fillcolor="#FFFF00" filled="t" stroked="t" coordsize="21600,21600" o:gfxdata="UEsDBAoAAAAAAIdO4kAAAAAAAAAAAAAAAAAEAAAAZHJzL1BLAwQUAAAACACHTuJAhDrw+dwAAAAN&#10;AQAADwAAAGRycy9kb3ducmV2LnhtbE2Py07DMBBF90j8gzVI7Khd0kAS4lQVUgULFvSB2LrxEEfE&#10;4yh22oavx13B8s4c3TlTLs+2Y0ccfOtIwnwmgCHVTrfUSNjv1ncZMB8UadU5QgkTelhW11elKrQ7&#10;0QaP29CwWEK+UBJMCH3Bua8NWuVnrkeKuy83WBViHBquB3WK5bbj90I8cKtaiheM6vHZYP29Ha2E&#10;1erjNezzsZ9+Xj7N+45n03rzJuXtzVw8AQt4Dn8wXPSjOlTR6eBG0p51MSd5mkZWQrYQCbALshCP&#10;ObBDHKVJDrwq+f8vql9QSwMEFAAAAAgAh07iQET7TjdgAgAAzQQAAA4AAABkcnMvZTJvRG9jLnht&#10;bK1UzW4TMRC+I/EOlu90k5A2YZVNFaUKQopopYI4T7z2roX/sJ1sygPwFBx75bHgORg7mzYFDgix&#10;B2v+f76Z2dnlXiuy4z5Iayo6PBtQwg2ztTRNRd+/W72YUhIimBqUNbyidzzQy/nzZ7POlXxkW6tq&#10;7gkGMaHsXEXbGF1ZFIG1XEM4s44bVArrNURkfVPUHjqMrlUxGgwuis762nnLeAgovToo6TzHF4Kz&#10;eC1E4JGoimJtMb8+v5v0FvMZlI0H10rWlwH/UIUGaTDpQ6griEC2Xv4WSkvmbbAinjGrCyuEZDz3&#10;gN0MB790c9uC47kXBCe4B5jC/wvL3u5uPJF1RceTESUGNA7px/2371+/kCRBfDoXSjS7dTc+dRjc&#10;2rKPgRi7bME0fBEcooyzT7bFE+PEhN5tL7xO7tgy2Wf87x7w5/tIGAon08kYh8RQM714eZGnU0B5&#10;dHU+xNfcapKIinKlpAsJHyhhtw4x5YfyaJVrtUrWK6lUZnyzWSpPdoC7sMJvcEwQTs2UIV1FR+dj&#10;VBMGuJNCQURSO0QpmIYSUA0uO4s+537iHf4uSSryCkJ7KCZHyPBBqUyqlefV7Xt6hDFRG1vf4ci8&#10;RQiwwuDYSmK0NYR4Ax6XF4V4kPEaH6Es9mJ7ipLW+s9/kid73CnUUtLhMWCfn7bgOSXqjcFtezUc&#10;p8HEzIzPJyNk/Klmc6oxW720iPEwV5fJZB/VkRTe6g94t4uUFVVgGOY+INozy3g4Urx8xheLbIYX&#10;4yCuza1jKXjCydjFNloh8+wf0ekXEW8mr0R/3+koT/ls9fgXm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Drw+dwAAAANAQAADwAAAAAAAAABACAAAAAiAAAAZHJzL2Rvd25yZXYueG1sUEsBAhQA&#10;FAAAAAgAh07iQET7TjdgAgAAzQQAAA4AAAAAAAAAAQAgAAAAKwEAAGRycy9lMm9Eb2MueG1sUEsF&#10;BgAAAAAGAAYAWQEAAP0FA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7168515</wp:posOffset>
                </wp:positionH>
                <wp:positionV relativeFrom="paragraph">
                  <wp:posOffset>6426200</wp:posOffset>
                </wp:positionV>
                <wp:extent cx="78740" cy="86360"/>
                <wp:effectExtent l="0" t="0" r="16510" b="27940"/>
                <wp:wrapNone/>
                <wp:docPr id="470" name="椭圆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4.45pt;margin-top:506pt;height:6.8pt;width:6.2pt;z-index:251704320;v-text-anchor:middle;mso-width-relative:page;mso-height-relative:page;" fillcolor="#FFFF00" filled="t" stroked="t" coordsize="21600,21600" o:gfxdata="UEsDBAoAAAAAAIdO4kAAAAAAAAAAAAAAAAAEAAAAZHJzL1BLAwQUAAAACACHTuJARH2Ie90AAAAP&#10;AQAADwAAAGRycy9kb3ducmV2LnhtbE2PzU7DMBCE70i8g7VI3KjjAFWaxqkqpAoOHOgP4urG2zgi&#10;tqPYaRuens0Jbju7o9lvitXVtuyMfWi8kyBmCTB0ldeNqyUc9puHDFiIymnVeocSRgywKm9vCpVr&#10;f3FbPO9izSjEhVxJMDF2OeehMmhVmPkOHd1Ovrcqkuxrrnt1oXDb8jRJ5tyqxtEHozp8MVh97wYr&#10;Yb3+fIuHxdCNP69f5mPPs3GzfZfy/k4kS2ARr/HPDBM+oUNJTEc/OB1YS1qk2YK8NCUipVqTRzyJ&#10;R2DHaZc+z4GXBf/fo/wFUEsDBBQAAAAIAIdO4kDkUx5GYAIAAM0EAAAOAAAAZHJzL2Uyb0RvYy54&#10;bWytVM1uEzEQviPxDpbvdJOQNmGVTRWlCkKKaKWCOE+89q6F/7CdbMoD8BQce+Wx4DkYO5s2BQ4I&#10;sQdr/jzzzeeZnV3utSI77oO0pqLDswEl3DBbS9NU9P271YspJSGCqUFZwyt6xwO9nD9/NutcyUe2&#10;tarmnmASE8rOVbSN0ZVFEVjLNYQz67hBp7BeQ0TVN0XtocPsWhWjweCi6KyvnbeMh4DWq4OTznN+&#10;ITiL10IEHomqKGKL+fT53KSzmM+gbDy4VrIeBvwDCg3SYNGHVFcQgWy9/C2VlszbYEU8Y1YXVgjJ&#10;eO4BuxkOfunmtgXHcy9ITnAPNIX/l5a93d14IuuKjifIjwGNj/Tj/tv3r19IsiA/nQslht26G586&#10;DG5t2cdAjF22YBq+CA5ZxrdPscWT4KSE/tpeeJ2uY8tkn/m/e+Cf7yNhaJxMJ2MEwdAzvXh5kasX&#10;UB6vOh/ia241SUJFuVLShcQPlLBbh5jqQ3mMylitkvVKKpUV32yWypMd4Cys8BscC4TTMGVIV9HR&#10;+RjdhAHOpFAQUdQOWQqmoQRUg8POos+1n9wOf1ckgbyC0B7A5AyZPiiVSVh5Ht2+p0cak7Sx9R0+&#10;mbdIASIMjq0kZltDiDfgcXjRiAsZr/EQymIvtpcoaa3//Cd7iseZQi8lHS4D9vlpC55Tot4YnLZX&#10;w3F6mJiV8flkhIo/9WxOPWarlxY5HmZ0WUzxUR1F4a3+gHu7SFXRBYZh7QOjvbKMhyXFzWd8schh&#10;uDEO4trcOpaSJ56MXWyjFTK//SM7/SDizuSR6Pc7LeWpnqMe/0L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R9iHvdAAAADwEAAA8AAAAAAAAAAQAgAAAAIgAAAGRycy9kb3ducmV2LnhtbFBLAQIU&#10;ABQAAAAIAIdO4kDkUx5GYAIAAM0EAAAOAAAAAAAAAAEAIAAAACwBAABkcnMvZTJvRG9jLnhtbFBL&#10;BQYAAAAABgAGAFkBAAD+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63008" behindDoc="0" locked="0" layoutInCell="1" allowOverlap="1">
                <wp:simplePos x="0" y="0"/>
                <wp:positionH relativeFrom="column">
                  <wp:posOffset>7780655</wp:posOffset>
                </wp:positionH>
                <wp:positionV relativeFrom="paragraph">
                  <wp:posOffset>6023610</wp:posOffset>
                </wp:positionV>
                <wp:extent cx="78740" cy="86360"/>
                <wp:effectExtent l="0" t="0" r="16510" b="27940"/>
                <wp:wrapNone/>
                <wp:docPr id="467" name="椭圆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2.65pt;margin-top:474.3pt;height:6.8pt;width:6.2pt;z-index:251563008;v-text-anchor:middle;mso-width-relative:page;mso-height-relative:page;" fillcolor="#FFFF00" filled="t" stroked="t" coordsize="21600,21600" o:gfxdata="UEsDBAoAAAAAAIdO4kAAAAAAAAAAAAAAAAAEAAAAZHJzL1BLAwQUAAAACACHTuJAkjRo1NwAAAAN&#10;AQAADwAAAGRycy9kb3ducmV2LnhtbE2Py07DMBBF90j8gzVI7KhTF9I0xKkqpAoWLPpCbN3YxBHx&#10;OIqdtuHrma5geWeO7pwplhfXspPpQ+NRwnSSADNYed1gLeGwXz9kwEJUqFXr0UgYTYBleXtTqFz7&#10;M27NaRdrRiUYciXBxtjlnIfKGqfCxHcGaffle6cixb7muldnKnctF0mScqcapAtWdebFmup7NzgJ&#10;q9XHWzwshm78ef20mz3PxvX2Xcr7u2nyDCyaS/yD4apP6lCS09EPqANrKQvxNCNWwuIxS4FdETGb&#10;z4EdaZQKAbws+P8vyl9QSwMEFAAAAAgAh07iQPQHFIZgAgAAzQQAAA4AAABkcnMvZTJvRG9jLnht&#10;bK1UzW4TMRC+I/EOlu90k5AmZdVNFaUKQopopII4T7z2roX/sJ1sygPwFBx75bHgORg7mzYFDgix&#10;B2v+f76Z2curvVZkx32Q1lR0eDaghBtma2mair5/t3xxQUmIYGpQ1vCK3vFAr2bPn112ruQj21pV&#10;c08wiAll5yraxujKogis5RrCmXXcoFJYryEi65ui9tBhdK2K0WAwKTrra+ct4yGg9PqgpLMcXwjO&#10;4o0QgUeiKoq1xfz6/G7SW8wuoWw8uFayvgz4hyo0SINJH0JdQwSy9fK3UFoyb4MV8YxZXVghJOO5&#10;B+xmOPilm9sWHM+9IDjBPcAU/l9Y9na39kTWFR1PppQY0DikH/ffvn/9QpIE8elcKNHs1q196jC4&#10;lWUfAzF20YJp+Dw4RBlnn2yLJ8aJCb3bXnid3LFlss/43z3gz/eRMBROL6ZjHBJDzcXk5SRPp4Dy&#10;6Op8iK+51SQRFeVKSRcSPlDCbhViyg/l0SrXapWsl1KpzPhms1Ce7AB3YYnf4JggnJopQ7qKjs7H&#10;qCYMcCeFgoikdohSMA0loBpcdhZ9zv3EO/xdklTkNYT2UEyOkOGDUplUK8+r2/f0CGOiNra+w5F5&#10;ixBghcGxpcRoKwhxDR6XF4V4kPEGH6Es9mJ7ipLW+s9/kid73CnUUtLhMWCfn7bgOSXqjcFtezUc&#10;p8HEzIzPpyNk/Klmc6oxW72wiPEwV5fJZB/VkRTe6g94t/OUFVVgGOY+INozi3g4Urx8xufzbIYX&#10;4yCuzK1jKXjCydj5Nloh8+wf0ekXEW8mr0R/3+koT/ls9fgXmv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jRo1NwAAAANAQAADwAAAAAAAAABACAAAAAiAAAAZHJzL2Rvd25yZXYueG1sUEsBAhQA&#10;FAAAAAgAh07iQPQHFIZgAgAAzQQAAA4AAAAAAAAAAQAgAAAAKwEAAGRycy9lMm9Eb2MueG1sUEsF&#10;BgAAAAAGAAYAWQEAAP0FA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9747250</wp:posOffset>
                </wp:positionH>
                <wp:positionV relativeFrom="paragraph">
                  <wp:posOffset>5145405</wp:posOffset>
                </wp:positionV>
                <wp:extent cx="78740" cy="86360"/>
                <wp:effectExtent l="0" t="0" r="16510" b="27940"/>
                <wp:wrapNone/>
                <wp:docPr id="468" name="椭圆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7.5pt;margin-top:405.15pt;height:6.8pt;width:6.2pt;z-index:251700224;v-text-anchor:middle;mso-width-relative:page;mso-height-relative:page;" fillcolor="#FFFF00" filled="t" stroked="t" coordsize="21600,21600" o:gfxdata="UEsDBAoAAAAAAIdO4kAAAAAAAAAAAAAAAAAEAAAAZHJzL1BLAwQUAAAACACHTuJAWaX1x90AAAAN&#10;AQAADwAAAGRycy9kb3ducmV2LnhtbE2PzU7DMBCE70i8g7VI3KidpoE0jVNVSBUcOPQP9eomJo6I&#10;11HstA1Pz/YEx5kdzX6TL6+2ZWfd+8ahhGgigGksXdVgLeGwXz+lwHxQWKnWoZYwag/L4v4uV1nl&#10;LrjV512oGZWgz5QEE0KXce5Lo63yE9dppNuX660KJPuaV726ULlt+VSIZ25Vg/TBqE6/Gl1+7wYr&#10;YbX6fA+H+dCNP29Hs9nzdFxvP6R8fIjEAljQ1/AXhhs+oUNBTCc3YOVZSzqJExoTJKSRiIHdIsns&#10;ZQbsRNY0ngMvcv5/RfELUEsDBBQAAAAIAIdO4kCFDn4zYAIAAM0EAAAOAAAAZHJzL2Uyb0RvYy54&#10;bWytVM1uEzEQviPxDpbvdJOQpmGVTRWlCkKKaKWCOE+89q6F/7CdbMoD8BQce+Wx4DkYO5s2BQ4I&#10;sQdr/n++mdnZ5V4rsuM+SGsqOjwbUMINs7U0TUXfv1u9mFISIpgalDW8onc80Mv582ezzpV8ZFur&#10;au4JBjGh7FxF2xhdWRSBtVxDOLOOG1QK6zVEZH1T1B46jK5VMRoMJkVnfe28ZTwElF4dlHSe4wvB&#10;WbwWIvBIVEWxtphfn99Neov5DMrGg2sl68uAf6hCgzSY9CHUFUQgWy9/C6Ul8zZYEc+Y1YUVQjKe&#10;e8BuhoNfurltwfHcC4IT3ANM4f+FZW93N57IuqLjCY7KgMYh/bj/9v3rF5IkiE/nQolmt+7Gpw6D&#10;W1v2MRBjly2Yhi+CQ5Rx9sm2eGKcmNC77YXXyR1bJvuM/90D/nwfCUPhxfRijENiqJlOXk7ydAoo&#10;j67Oh/iaW00SUVGulHQh4QMl7NYhpvxQHq1yrVbJeiWVyoxvNkvlyQ5wF1b4DY4JwqmZMqSr6Oh8&#10;jGrCAHdSKIhIaocoBdNQAqrBZWfR59xPvMPfJUlFXkFoD8XkCBk+KJVJtfK8un1PjzAmamPrOxyZ&#10;twgBVhgcW0mMtoYQb8Dj8qIQDzJe4yOUxV5sT1HSWv/5T/JkjzuFWko6PAbs89MWPKdEvTG4ba+G&#10;4zSYmJnx+cUIGX+q2ZxqzFYvLWI8zNVlMtlHdSSFt/oD3u0iZUUVGIa5D4j2zDIejhQvn/HFIpvh&#10;xTiIa3PrWAqecDJ2sY1WyDz7R3T6RcSbySvR33c6ylM+Wz3+he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ml9cfdAAAADQEAAA8AAAAAAAAAAQAgAAAAIgAAAGRycy9kb3ducmV2LnhtbFBLAQIU&#10;ABQAAAAIAIdO4kCFDn4zYAIAAM0EAAAOAAAAAAAAAAEAIAAAACwBAABkcnMvZTJvRG9jLnhtbFBL&#10;BQYAAAAABgAGAFkBAAD+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9571355</wp:posOffset>
                </wp:positionH>
                <wp:positionV relativeFrom="paragraph">
                  <wp:posOffset>2889885</wp:posOffset>
                </wp:positionV>
                <wp:extent cx="78740" cy="86360"/>
                <wp:effectExtent l="0" t="0" r="16510" b="27940"/>
                <wp:wrapNone/>
                <wp:docPr id="458" name="椭圆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53.65pt;margin-top:227.55pt;height:6.8pt;width:6.2pt;z-index:251698176;v-text-anchor:middle;mso-width-relative:page;mso-height-relative:page;" fillcolor="#FFFF00" filled="t" stroked="t" coordsize="21600,21600" o:gfxdata="UEsDBAoAAAAAAIdO4kAAAAAAAAAAAAAAAAAEAAAAZHJzL1BLAwQUAAAACACHTuJARxjpaNwAAAAN&#10;AQAADwAAAGRycy9kb3ducmV2LnhtbE2Py07DMBBF90j8gzVI7KgdIE0a4lQVUgULFvSB2LrxEEfE&#10;4yh22oavx13B8s4c3TlTLs+2Y0ccfOtIQjITwJBqp1tqJOx367scmA+KtOocoYQJPSyr66tSFdqd&#10;aIPHbWhYLCFfKAkmhL7g3NcGrfIz1yPF3ZcbrAoxDg3XgzrFctvxeyHm3KqW4gWjenw2WH9vRyth&#10;tfp4DfvF2E8/L5/mfcfzab15k/L2JhFPwAKewx8MF/2oDlV0OriRtGddzKnIHiIr4TFNE2AXJE0W&#10;GbBDHM3zDHhV8v9fVL9QSwMEFAAAAAgAh07iQGUEio5gAgAAzQQAAA4AAABkcnMvZTJvRG9jLnht&#10;bK1UzY7TMBC+I/EOlu9s2tL9Idp0VXVVhFTBSgviPHXsJML2GNttujwAT8GRK48Fz8HYTXe7wAEh&#10;crDm/+ebmVxe7YxmW+lDh7bi45MRZ9IKrDvbVPzd2+WzC85CBFuDRisrficDv5o9fXLZu1JOsEVd&#10;S88oiA1l7yrexujKogiilQbCCTppSanQG4jE+qaoPfQU3ehiMhqdFT362nkUMgSSXu+VfJbjKyVF&#10;fKNUkJHpilNtMb8+v+v0FrNLKBsPru3EUAb8QxUGOktJ70NdQwS28d1voUwnPAZU8USgKVCpTsjc&#10;A3UzHv3SzW0LTuZeCJzg7mEK/y+seL298ayrKz49pVFZMDSkH1+/ff/ymSUJ4dO7UJLZrbvxqcPg&#10;Vig+BGZx0YJt5Dw4Qplmn2yLR8aJCYPbTnmT3Klltsv4393jL3eRCRKeX5xPaUiCNBdnz8/ydAoo&#10;D67Oh/hSomGJqLjUunMh4QMlbFchpvxQHqxyrai7etlpnRnfrBfasy3QLizpGx0ShGMzbVlf8cnp&#10;lNRMAO2k0hCJNI5QCrbhDHRDyy6iz7kfeYe/S5KKvIbQ7ovJETJ8UGqbapV5dYeeHmBM1BrrOxqZ&#10;R4KAKgxOLDuKtoIQb8DT8pKQDjK+oUdppF5woDhr0X/6kzzZ006RlrOejoH6/LgBLznTryxt24vx&#10;NA0mZmZ6ej4hxh9r1scauzELJIzHubpMJvuoD6TyaN7T3c5TVlKBFZR7j+jALOL+SOnyhZzPsxld&#10;jIO4srdOpOAJJ4vzTUTV5dk/oDMsIt1MXonhvtNRHvPZ6uEvNPs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xjpaNwAAAANAQAADwAAAAAAAAABACAAAAAiAAAAZHJzL2Rvd25yZXYueG1sUEsBAhQA&#10;FAAAAAgAh07iQGUEio5gAgAAzQQAAA4AAAAAAAAAAQAgAAAAKwEAAGRycy9lMm9Eb2MueG1sUEsF&#10;BgAAAAAGAAYAWQEAAP0FA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8782685</wp:posOffset>
                </wp:positionH>
                <wp:positionV relativeFrom="paragraph">
                  <wp:posOffset>2727960</wp:posOffset>
                </wp:positionV>
                <wp:extent cx="78740" cy="86360"/>
                <wp:effectExtent l="0" t="0" r="16510" b="27940"/>
                <wp:wrapNone/>
                <wp:docPr id="448" name="椭圆 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1.55pt;margin-top:214.8pt;height:6.8pt;width:6.2pt;z-index:251696128;v-text-anchor:middle;mso-width-relative:page;mso-height-relative:page;" fillcolor="#FFFF00" filled="t" stroked="t" coordsize="21600,21600" o:gfxdata="UEsDBAoAAAAAAIdO4kAAAAAAAAAAAAAAAAAEAAAAZHJzL1BLAwQUAAAACACHTuJAQ99XW90AAAAN&#10;AQAADwAAAGRycy9kb3ducmV2LnhtbE2Py07DMBBF90j8gzVI7KjzaKskxKkqpAoWLOgDsXVjE0fE&#10;4yh22oavZ7oqyztzdOdMubrYjp304FuHAuJZBExj7VSLjYDDfvOUAfNBopKdQy1g0h5W1f1dKQvl&#10;zrjVp11oGJWgL6QAE0JfcO5ro630M9drpN23G6wMFIeGq0Geqdx2PImiJbeyRbpgZK9fjK5/dqMV&#10;sF5/voVDPvbT7+uX+djzbNps34V4fIijZ2BBX8INhqs+qUNFTkc3ovKso5xmaUysgHmSL4FdkTRf&#10;LIAdaTRPE+BVyf9/Uf0BUEsDBBQAAAAIAIdO4kDF/dnlYAIAAM0EAAAOAAAAZHJzL2Uyb0RvYy54&#10;bWytVM2O0zAQviPxDpbvbNrS/SHadFV1VYRUwUoL4jx1nMTC9hjbbbo8AE/BkSuPBc/B2E13u8AB&#10;IXKw5v/nm5lcXu2MZlvpg0Jb8fHJiDNpBdbKthV/93b57IKzEMHWoNHKit/JwK9mT59c9q6UE+xQ&#10;19IzCmJD2buKdzG6siiC6KSBcIJOWlI26A1EYn1b1B56im50MRmNzooefe08ChkCSa/3Sj7L8ZtG&#10;ivimaYKMTFecaov59fldp7eYXULZenCdEkMZ8A9VGFCWkt6HuoYIbOPVb6GMEh4DNvFEoCmwaZSQ&#10;uQfqZjz6pZvbDpzMvRA4wd3DFP5fWPF6e+OZqis+ndKoLBga0o+v375/+cyShPDpXSjJ7Nbd+NRh&#10;cCsUHwKzuOjAtnIeHKFMs0+2xSPjxITBbdd4k9ypZbbL+N/d4y93kQkSnl+cT2lIgjQXZ8/P8nQK&#10;KA+uzof4UqJhiai41Fq5kPCBErarEFN+KA9WuVbUql4qrTPj2/VCe7YF2oUlfaNDgnBspi3rKz45&#10;nZKaCaCdbDREIo0jlIJtOQPd0rKL6HPuR97h75KkIq8hdPticoQMH5TaplplXt2hpwcYE7XG+o5G&#10;5pEgoAqDE0tF0VYQ4g14Wl4S0kHGN/Q0GqkXHCjOOvSf/iRP9rRTpOWsp2OgPj9uwEvO9CtL2/Zi&#10;PE2DiZmZnp5PiPHHmvWxxm7MAgnjca4uk8k+6gPZeDTv6W7nKSupwArKvUd0YBZxf6R0+ULO59mM&#10;LsZBXNlbJ1LwhJPF+SZio/LsH9AZFpFuJq/EcN/pKI/5bPXwF5r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PfV1vdAAAADQEAAA8AAAAAAAAAAQAgAAAAIgAAAGRycy9kb3ducmV2LnhtbFBLAQIU&#10;ABQAAAAIAIdO4kDF/dnlYAIAAM0EAAAOAAAAAAAAAAEAIAAAACwBAABkcnMvZTJvRG9jLnhtbFBL&#10;BQYAAAAABgAGAFkBAAD+BQ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9382760</wp:posOffset>
                </wp:positionH>
                <wp:positionV relativeFrom="paragraph">
                  <wp:posOffset>3350260</wp:posOffset>
                </wp:positionV>
                <wp:extent cx="78740" cy="86360"/>
                <wp:effectExtent l="0" t="0" r="16510" b="27940"/>
                <wp:wrapNone/>
                <wp:docPr id="31" name="椭圆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8.8pt;margin-top:263.8pt;height:6.8pt;width:6.2pt;z-index:251694080;v-text-anchor:middle;mso-width-relative:page;mso-height-relative:page;" fillcolor="#FFFF00" filled="t" stroked="t" coordsize="21600,21600" o:gfxdata="UEsDBAoAAAAAAIdO4kAAAAAAAAAAAAAAAAAEAAAAZHJzL1BLAwQUAAAACACHTuJAg3WnstwAAAAN&#10;AQAADwAAAGRycy9kb3ducmV2LnhtbE2PS0/DMBCE70j8B2uRuFE7UegjxKkqpAoOHOgDcXVjE0fE&#10;6yh22oZfz+YEt53d0ew3xfrqWnY2fWg8SkhmApjByusGawnHw/ZhCSxEhVq1Ho2E0QRYl7c3hcq1&#10;v+DOnPexZhSCIVcSbIxdznmorHEqzHxnkG5fvncqkuxrrnt1oXDX8lSIOXeqQfpgVWeeram+94OT&#10;sNl8vMbjaujGn5dP+37gy3G7e5Py/i4RT8CiucY/M0z4hA4lMZ38gDqwlnS2WMzJK+ExnYbJkq0E&#10;9TvRKktS4GXB/7cofwFQSwMEFAAAAAgAh07iQEmMA3BiAgAAywQAAA4AAABkcnMvZTJvRG9jLnht&#10;bK1US44TMRDdI3EHy3umk0zmQyudUZRREFLERBoQ64rb7rbwD9tJZzgAp2DJlmPBOSg7nUkGWCBE&#10;L6wqV7k+r1715GanFdlyH6Q1FR2eDSjhhtlamqai794uXlxTEiKYGpQ1vKIPPNCb6fNnk86VfGRb&#10;q2ruCQYxoexcRdsYXVkUgbVcQzizjhs0Cus1RFR9U9QeOoyuVTEaDC6Lzvraect4CHh7uzfSaY4v&#10;BGfxTojAI1EVxdpiPn0+1+ksphMoGw+ulawvA/6hCg3SYNLHULcQgWy8/C2UlszbYEU8Y1YXVgjJ&#10;eO4BuxkOfunmvgXHcy8ITnCPMIX/F5a92a48kXVFz4eUGNA4ox9fv33/8pngBaLTuVCi071b+dRf&#10;cEvLPgRi7LwF0/BZcIgxTj75Fk+ckxL6ZzvhdXqODZNdRv/hEX2+i4Th5dX11RhHxNByfXl+mWdT&#10;QHl46nyIr7jVJAkV5UpJFxI6UMJ2GWLKD+XBK9dqlawXUqms+GY9V55sAZmwwG9wSBBO3ZQhXUVH&#10;F2M0EwbISKEgoqgdYhRMQwmoBqnOos+5n7wOf5ckFXkLod0XkyNk+KBUJtXKM3H7no4wJmlt6wcc&#10;mLcIAVYYHFtIjLaEEFfgkbp4iesY7/AQymIvtpcoaa3/9Kf75I+MQislHa4C9vlxA55Tol4b5NrL&#10;4TgNJmZlfHE1QsWfWtanFrPRc4sYI52wuiwm/6gOovBWv8etnaWsaALDMPce0V6Zx/2K4t4zPptl&#10;N9wXB3Fp7h1LwRNOxs420QqZZ39EpycibkymRL/daSVP9ex1/Ad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Ddaey3AAAAA0BAAAPAAAAAAAAAAEAIAAAACIAAABkcnMvZG93bnJldi54bWxQSwEC&#10;FAAUAAAACACHTuJASYwDcGICAADLBAAADgAAAAAAAAABACAAAAArAQAAZHJzL2Uyb0RvYy54bWxQ&#10;SwUGAAAAAAYABgBZAQAA/wU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9825990</wp:posOffset>
                </wp:positionH>
                <wp:positionV relativeFrom="paragraph">
                  <wp:posOffset>3521710</wp:posOffset>
                </wp:positionV>
                <wp:extent cx="78740" cy="86360"/>
                <wp:effectExtent l="0" t="0" r="16510" b="27940"/>
                <wp:wrapNone/>
                <wp:docPr id="30" name="椭圆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3.7pt;margin-top:277.3pt;height:6.8pt;width:6.2pt;z-index:251692032;v-text-anchor:middle;mso-width-relative:page;mso-height-relative:page;" fillcolor="#FFFF00" filled="t" stroked="t" coordsize="21600,21600" o:gfxdata="UEsDBAoAAAAAAIdO4kAAAAAAAAAAAAAAAAAEAAAAZHJzL1BLAwQUAAAACACHTuJAd4BFnNwAAAAN&#10;AQAADwAAAGRycy9kb3ducmV2LnhtbE2PzU7DMBCE70i8g7VI3KjTKg5piFNVSBUcONAfxNWNTRwR&#10;r6PYaRuenu0JjjP7aXamXF1cx05mCK1HCfNZAsxg7XWLjYTDfvOQAwtRoVadRyNhMgFW1e1NqQrt&#10;z7g1p11sGIVgKJQEG2NfcB5qa5wKM98bpNuXH5yKJIeG60GdKdx1fJEkGXeqRfpgVW+eram/d6OT&#10;sF5/vMbDcuynn5dP+77n+bTZvkl5fzdPnoBFc4l/MFzrU3WoqNPRj6gD60iL9DElVoIQaQbsigix&#10;pDlHsrJ8Abwq+f8V1S9QSwMEFAAAAAgAh07iQD9oEX5fAgAAywQAAA4AAABkcnMvZTJvRG9jLnht&#10;bK1US44TMRDdI3EHy3umk0zmQyudUZRREFLERBoQ64rb7rbwD9tJZzgAp2DJlmPBOSg7nUkGWCBE&#10;L6z6uerVc1VPbnZakS33QVpT0eHZgBJumK2laSr67u3ixTUlIYKpQVnDK/rAA72ZPn826VzJR7a1&#10;quaeYBITys5VtI3RlUURWMs1hDPruEGnsF5DRNU3Re2hw+xaFaPB4LLorK+dt4yHgNbbvZNOc34h&#10;OIt3QgQeiaooYov59Plcp7OYTqBsPLhWsh4G/AMKDdJg0cdUtxCBbLz8LZWWzNtgRTxjVhdWCMl4&#10;7gG7GQ5+6ea+BcdzL0hOcI80hf+Xlr3ZrjyRdUXPkR4DGt/ox9dv3798JmhAdjoXSgy6dyuf+gtu&#10;admHQIydt2AaPgsOOcaXT7HFk+CkhP7aTnidrmPDZJfZf3hkn+8iYWi8ur4aIwaGnuvL88tcvYDy&#10;cNX5EF9xq0kSKsqVki4kdqCE7TLEVB/KQ1TGapWsF1KprPhmPVeebAEnYYHf4FAgnIYpQ7qKji7G&#10;6CYMcCKFgoiidshRMA0loBocdRZ9rv3kdvi7IgnkLYR2DyZnyPRBqUzCyvPg9j0daUzS2tYP+GDe&#10;IgWIMDi2kJhtCSGuwOPoohHXMd7hIZTFXmwvUdJa/+lP9hSPE4VeSjpcBezz4wY8p0S9NjhrL4fj&#10;9DAxK+OLqxEq/tSzPvWYjZ5b5HiY0WUxxUd1EIW3+j1u7SxVRRcYhrX3jPbKPO5XFPee8dksh+G+&#10;OIhLc+9YSp54Mna2iVbI/PZHdvpBxI3JI9Fvd1rJUz1HHf9B0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3gEWc3AAAAA0BAAAPAAAAAAAAAAEAIAAAACIAAABkcnMvZG93bnJldi54bWxQSwECFAAU&#10;AAAACACHTuJAP2gRfl8CAADLBAAADgAAAAAAAAABACAAAAArAQAAZHJzL2Uyb0RvYy54bWxQSwUG&#10;AAAAAAYABgBZAQAA/AU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8775700</wp:posOffset>
                </wp:positionH>
                <wp:positionV relativeFrom="paragraph">
                  <wp:posOffset>3531235</wp:posOffset>
                </wp:positionV>
                <wp:extent cx="78740" cy="86360"/>
                <wp:effectExtent l="0" t="0" r="16510" b="27940"/>
                <wp:wrapNone/>
                <wp:docPr id="29" name="椭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1pt;margin-top:278.05pt;height:6.8pt;width:6.2pt;z-index:251689984;v-text-anchor:middle;mso-width-relative:page;mso-height-relative:page;" fillcolor="#FFFF00" filled="t" stroked="t" coordsize="21600,21600" o:gfxdata="UEsDBAoAAAAAAIdO4kAAAAAAAAAAAAAAAAAEAAAAZHJzL1BLAwQUAAAACACHTuJAtak52N0AAAAN&#10;AQAADwAAAGRycy9kb3ducmV2LnhtbE2PS0/DMBCE75X4D9YicWud9BGSEKeqkCo4cKAPxNWNlzgi&#10;Xkex0zb8etwTHGd2NPtNsb6alp2xd40lAfEsAoZUWdVQLeB42E5TYM5LUrK1hAJGdLAu7yaFzJW9&#10;0A7Pe1+zUEIulwK0913Ouas0GulmtkMKty/bG+mD7GuuenkJ5abl8yhKuJENhQ9advissfreD0bA&#10;ZvPx6o/Z0I0/L5/6/cDTcbt7E+LhPo6egHm8+r8w3PADOpSB6WQHUo61QS/SeRjjBaxWSQzsFllk&#10;yyWwU7CS7BF4WfD/K8pfUEsDBBQAAAAIAIdO4kAUafy5XgIAAMsEAAAOAAAAZHJzL2Uyb0RvYy54&#10;bWytVEuOEzEQ3SNxB8t7ppOQ+bXSGUUZBSFFTKQBsa647W4L/7CddIYDcAqWbDkWnIOy05lkgAVC&#10;9MKq/+dVVU9udlqRLfdBWlPR4dmAEm6YraVpKvru7eLFFSUhgqlBWcMr+sADvZk+fzbpXMlHtrWq&#10;5p5gEBPKzlW0jdGVRRFYyzWEM+u4QaWwXkNE1jdF7aHD6FoVo8Hgouisr523jIeA0tu9kk5zfCE4&#10;i3dCBB6JqijWFvPr87tObzGdQNl4cK1kfRnwD1VokAaTPoa6hQhk4+VvobRk3gYr4hmzurBCSMZz&#10;D9jNcPBLN/ctOJ57QXCCe4Qp/L+w7M125YmsKzq6psSAxhn9+Prt+5fPBAWITudCiUb3buVTf8Et&#10;LfsQiLHzFkzDZ8Ehxjj5ZFs8MU5M6N12wuvkjg2TXUb/4RF9vouEofDy6nKMI2Koubp4eZFnU0B5&#10;cHU+xFfcapKIinKlpAsJHShhuwwx5YfyYJVrtUrWC6lUZnyznitPtoCbsMBvcEgQTs2UIR1icT5G&#10;NWGAGykURCS1Q4yCaSgB1eCqs+hz7ife4e+SpCJvIbT7YnKEDB+UyqRaeV7cvqcjjIla2/oBB+Yt&#10;QoAVBscWEqMtIcQVeFxdFOI5xjt8hLLYi+0pSlrrP/1Jnuxxo1BLSYengH1+3IDnlKjXBnftejhO&#10;g4mZGZ9fjpDxp5r1qcZs9NwixsNcXSaTfVQHUnir3+PVzlJWVIFhmHuPaM/M4/5E8e4Zn82yGd6L&#10;g7g0946l4AknY2ebaIXMsz+i0y8iXkxeif6600me8tnq+A+a/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1qTnY3QAAAA0BAAAPAAAAAAAAAAEAIAAAACIAAABkcnMvZG93bnJldi54bWxQSwECFAAU&#10;AAAACACHTuJAFGn8uV4CAADLBAAADgAAAAAAAAABACAAAAAsAQAAZHJzL2Uyb0RvYy54bWxQSwUG&#10;AAAAAAYABgBZAQAA/AUAAAAA&#10;">
                <v:fill on="t" focussize="0,0"/>
                <v:stroke weight="2pt" color="#FFFF00" joinstyle="round"/>
                <v:imagedata o:title=""/>
                <o:lock v:ext="edit" aspectratio="t"/>
              </v:shape>
            </w:pict>
          </mc:Fallback>
        </mc:AlternateContent>
      </w:r>
      <w:r>
        <w:rPr>
          <w:sz w:val="21"/>
          <w:szCs w:val="24"/>
        </w:rPr>
        <mc:AlternateContent>
          <mc:Choice Requires="wps">
            <w:drawing>
              <wp:anchor distT="0" distB="0" distL="114300" distR="114300" simplePos="0" relativeHeight="251687936" behindDoc="0" locked="0" layoutInCell="1" allowOverlap="1">
                <wp:simplePos x="0" y="0"/>
                <wp:positionH relativeFrom="column">
                  <wp:posOffset>7907020</wp:posOffset>
                </wp:positionH>
                <wp:positionV relativeFrom="paragraph">
                  <wp:posOffset>3007995</wp:posOffset>
                </wp:positionV>
                <wp:extent cx="409575" cy="352425"/>
                <wp:effectExtent l="0" t="0" r="0" b="0"/>
                <wp:wrapNone/>
                <wp:docPr id="28" name="矩形 28"/>
                <wp:cNvGraphicFramePr/>
                <a:graphic xmlns:a="http://schemas.openxmlformats.org/drawingml/2006/main">
                  <a:graphicData uri="http://schemas.microsoft.com/office/word/2010/wordprocessingShape">
                    <wps:wsp>
                      <wps:cNvSpPr/>
                      <wps:spPr>
                        <a:xfrm>
                          <a:off x="0" y="0"/>
                          <a:ext cx="409575" cy="352425"/>
                        </a:xfrm>
                        <a:prstGeom prst="rect">
                          <a:avLst/>
                        </a:prstGeom>
                        <a:noFill/>
                        <a:ln w="25400" cap="flat" cmpd="sng" algn="ctr">
                          <a:noFill/>
                          <a:prstDash val="solid"/>
                        </a:ln>
                        <a:effectLst/>
                      </wps:spPr>
                      <wps:txbx>
                        <w:txbxContent>
                          <w:p>
                            <w:pPr>
                              <w:jc w:val="center"/>
                              <w:rPr>
                                <w:b/>
                                <w:color w:val="FFFF00"/>
                              </w:rPr>
                            </w:pPr>
                            <w:r>
                              <w:rPr>
                                <w:b/>
                                <w:color w:val="FFFF00"/>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6pt;margin-top:236.85pt;height:27.75pt;width:32.25pt;z-index:251687936;v-text-anchor:middle;mso-width-relative:page;mso-height-relative:page;" filled="f" stroked="f" coordsize="21600,21600" o:gfxdata="UEsDBAoAAAAAAIdO4kAAAAAAAAAAAAAAAAAEAAAAZHJzL1BLAwQUAAAACACHTuJAKyv2gtsAAAAN&#10;AQAADwAAAGRycy9kb3ducmV2LnhtbE2PwU7DMAyG70i8Q2Qkbixd1jFWmk4TAqQdWZEQt7QxbaFx&#10;qibrtrfHO8HNv/zp9+d8c3K9mHAMnScN81kCAqn2tqNGw3v5cvcAIkRD1vSeUMMZA2yK66vcZNYf&#10;6Q2nfWwEl1DIjIY2xiGTMtQtOhNmfkDi3ZcfnYkcx0ba0Ry53PVSJcm9dKYjvtCaAZ9arH/2B6ch&#10;VNOuPA/bj+/PUFfbZ3JlunvV+vZmnjyCiHiKfzBc9FkdCnaq/IFsED1nlS4VsxrS1WIF4oIskjVP&#10;lYalWiuQRS7/f1H8AlBLAwQUAAAACACHTuJA1DfpeT0CAABXBAAADgAAAGRycy9lMm9Eb2MueG1s&#10;rVTNjtMwEL4j8Q6W7zRpSVi2arqqtipCqthKBXGeOnYTyX/YbtPyMkjceAgeB/EajJ1stwJOiIs7&#10;45l8nvnmm87uTkqSI3e+Nbqi41FOCdfM1K3eV/TD+9WL15T4ALoGaTSv6Jl7ejd//mzW2SmfmMbI&#10;mjuCINpPO1vRJgQ7zTLPGq7Aj4zlGoPCOAUBXbfPagcdoiuZTfL8VdYZV1tnGPceb5d9kM4TvhCc&#10;hQchPA9EVhRrC+l06dzFM5vPYLp3YJuWDWXAP1ShoNX46AVqCQHIwbV/QKmWOeONCCNmVGaEaBlP&#10;PWA34/y3brYNWJ56QXK8vdDk/x8se3fcONLWFZ3gpDQonNHPL99+fP9K8ALZ6ayfYtLWbtzgeTRj&#10;qyfhVPzFJsgpMXq+MMpPgTC8LPLb8qakhGHoZTkpJmXEzJ4+ts6HN9woEo2KOhxY4hGOax/61MeU&#10;+JY2q1ZKvIep1KTDqssix7kyQO0ICQFNZbEbr/eUgNyjKFlwCfLq2wi5BN+QI6AuvJFtPdQldcTm&#10;STlDBZGBvudohdPuNBCxM/UZyXOmV5W3bNUi8Bp82IBDGWFhuBrhAQ8hDVZrBouSxrjPf7uP+Thd&#10;jFLSoSyxuk8HcJwS+Vbj3G/HRRF1nJyivJmg464ju+uIPqh7gx2OcQktS2bMD/LRFM6oj7hBi/gq&#10;hkAzfLvnbHDuQ78uuIOMLxYpDbVrIaz11rII3k9mcQhGtGlokaieHRx2dFC9aezDpsX1uPZT1tP/&#10;wf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yv2gtsAAAANAQAADwAAAAAAAAABACAAAAAiAAAA&#10;ZHJzL2Rvd25yZXYueG1sUEsBAhQAFAAAAAgAh07iQNQ36Xk9AgAAVwQAAA4AAAAAAAAAAQAgAAAA&#10;KgEAAGRycy9lMm9Eb2MueG1sUEsFBgAAAAAGAAYAWQEAANkFAAAAAA==&#10;">
                <v:fill on="f" focussize="0,0"/>
                <v:stroke on="f" weight="2pt"/>
                <v:imagedata o:title=""/>
                <o:lock v:ext="edit" aspectratio="f"/>
                <v:textbox>
                  <w:txbxContent>
                    <w:p>
                      <w:pPr>
                        <w:jc w:val="center"/>
                        <w:rPr>
                          <w:b/>
                          <w:color w:val="FFFF00"/>
                        </w:rPr>
                      </w:pPr>
                      <w:r>
                        <w:rPr>
                          <w:b/>
                          <w:color w:val="FFFF00"/>
                        </w:rPr>
                        <w:t>4</w:t>
                      </w:r>
                    </w:p>
                  </w:txbxContent>
                </v:textbox>
              </v:rect>
            </w:pict>
          </mc:Fallback>
        </mc:AlternateContent>
      </w:r>
      <w:r>
        <w:rPr>
          <w:sz w:val="21"/>
          <w:szCs w:val="24"/>
        </w:rPr>
        <mc:AlternateContent>
          <mc:Choice Requires="wps">
            <w:drawing>
              <wp:anchor distT="0" distB="0" distL="114300" distR="114300" simplePos="0" relativeHeight="251550720" behindDoc="0" locked="0" layoutInCell="1" allowOverlap="1">
                <wp:simplePos x="0" y="0"/>
                <wp:positionH relativeFrom="column">
                  <wp:posOffset>7402195</wp:posOffset>
                </wp:positionH>
                <wp:positionV relativeFrom="paragraph">
                  <wp:posOffset>3246755</wp:posOffset>
                </wp:positionV>
                <wp:extent cx="409575" cy="361950"/>
                <wp:effectExtent l="0" t="0" r="0" b="0"/>
                <wp:wrapNone/>
                <wp:docPr id="1992" name="矩形 1992"/>
                <wp:cNvGraphicFramePr/>
                <a:graphic xmlns:a="http://schemas.openxmlformats.org/drawingml/2006/main">
                  <a:graphicData uri="http://schemas.microsoft.com/office/word/2010/wordprocessingShape">
                    <wps:wsp>
                      <wps:cNvSpPr/>
                      <wps:spPr>
                        <a:xfrm>
                          <a:off x="0" y="0"/>
                          <a:ext cx="409575" cy="361950"/>
                        </a:xfrm>
                        <a:prstGeom prst="rect">
                          <a:avLst/>
                        </a:prstGeom>
                        <a:noFill/>
                        <a:ln w="25400" cap="flat" cmpd="sng" algn="ctr">
                          <a:noFill/>
                          <a:prstDash val="solid"/>
                        </a:ln>
                        <a:effectLst/>
                      </wps:spPr>
                      <wps:txbx>
                        <w:txbxContent>
                          <w:p>
                            <w:pPr>
                              <w:jc w:val="center"/>
                              <w:rPr>
                                <w:b/>
                                <w:color w:val="FFFF00"/>
                              </w:rPr>
                            </w:pPr>
                            <w:r>
                              <w:rPr>
                                <w:rFonts w:hint="eastAsia"/>
                                <w:b/>
                                <w:color w:val="FFFF00"/>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2.85pt;margin-top:255.65pt;height:28.5pt;width:32.25pt;z-index:251550720;v-text-anchor:middle;mso-width-relative:page;mso-height-relative:page;" filled="f" stroked="f" coordsize="21600,21600" o:gfxdata="UEsDBAoAAAAAAIdO4kAAAAAAAAAAAAAAAAAEAAAAZHJzL1BLAwQUAAAACACHTuJAhQO2XNoAAAAN&#10;AQAADwAAAGRycy9kb3ducmV2LnhtbE2PwU7DMAyG70i8Q2QkbixJy7qpNJ0mBEg7siKh3dImtIXG&#10;qZqs294e7wTH3/70+3OxObuBzXYKvUcFciGAWWy86bFV8FG9PqyBhajR6MGjVXCxATbl7U2hc+NP&#10;+G7nfWwZlWDItYIuxjHnPDSddTos/GiRdl9+cjpSnFpuJn2icjfwRIiMO90jXej0aJ872/zsj05B&#10;qOdddRm3n9+H0NTbF3TV4+5Nqfs7KZ6ARXuOfzBc9UkdSnKq/RFNYANlmS1XxCpYSpkCuyJJKhJg&#10;NY2ydQq8LPj/L8pfUEsDBBQAAAAIAIdO4kCL1DPAQQIAAFsEAAAOAAAAZHJzL2Uyb0RvYy54bWyt&#10;VM1uEzEQviPxDpbvZJOQtCTqpopaFSFFNFJAnB2vnV3Jf9hONuFlkLjxEH0cxGvw2bttI+CEuHhn&#10;POP5+eabvbo+akUOwofGmpKOBkNKhOG2asyupB8/3L16Q0mIzFRMWSNKehKBXi9evrhq3VyMbW1V&#10;JTxBEBPmrStpHaObF0XgtdAsDKwTBkZpvWYRqt8VlWctomtVjIfDi6K1vnLechECbm87I13k+FIK&#10;Hu+lDCISVVLUFvPp87lNZ7G4YvOdZ65ueF8G+4cqNGsMkj6FumWRkb1v/gilG+5tsDIOuNWFlbLh&#10;IveAbkbD37rZ1MyJ3AvACe4JpvD/wvL3h7UnTYXZzWZjSgzTmNLPr99/PHwj+QoItS7M4bhxa99r&#10;AWJq9yi9Tl80Qo4Z1dMTquIYCcflZDibXk4p4TC9vhjNphn14vmx8yG+FVaTJJTUY2gZS3ZYhYiE&#10;cH10SbmMvWuUyoNThrQlHU8nQ8yWM/BHKhYhaoeOgtlRwtQOxOTR55Bnb1PIWxZqcmDgRrCqqRIb&#10;kEyZlEZk9vQVJAS6npMUj9tjD8TWVicA6G3HrOD4XYPAKxbimnlQCYVhPeI9DqksqrW9RElt/Ze/&#10;3Sd/TBhWSlpQE9V93jMvKFHvDGY/G00mictZmUwvx1D8uWV7bjF7fWPR4QiL6HgWk39Uj6L0Vn/C&#10;Fi1TVpiY4cjdYdYrN7FbGewhF8tldgN/HYsrs3E8Be8ms9xHK5s8tARUhw5ATQoYnOHtty2tyLme&#10;vZ7/CY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QO2XNoAAAANAQAADwAAAAAAAAABACAAAAAi&#10;AAAAZHJzL2Rvd25yZXYueG1sUEsBAhQAFAAAAAgAh07iQIvUM8BBAgAAWwQAAA4AAAAAAAAAAQAg&#10;AAAAKQEAAGRycy9lMm9Eb2MueG1sUEsFBgAAAAAGAAYAWQEAANwFAAAAAA==&#10;">
                <v:fill on="f" focussize="0,0"/>
                <v:stroke on="f" weight="2pt"/>
                <v:imagedata o:title=""/>
                <o:lock v:ext="edit" aspectratio="f"/>
                <v:textbox>
                  <w:txbxContent>
                    <w:p>
                      <w:pPr>
                        <w:jc w:val="center"/>
                        <w:rPr>
                          <w:b/>
                          <w:color w:val="FFFF00"/>
                        </w:rPr>
                      </w:pPr>
                      <w:r>
                        <w:rPr>
                          <w:rFonts w:hint="eastAsia"/>
                          <w:b/>
                          <w:color w:val="FFFF00"/>
                        </w:rPr>
                        <w:t>1</w:t>
                      </w:r>
                    </w:p>
                  </w:txbxContent>
                </v:textbox>
              </v:rect>
            </w:pict>
          </mc:Fallback>
        </mc:AlternateContent>
      </w:r>
      <w:r>
        <mc:AlternateContent>
          <mc:Choice Requires="wps">
            <w:drawing>
              <wp:anchor distT="0" distB="0" distL="114300" distR="114300" simplePos="0" relativeHeight="251556864" behindDoc="0" locked="0" layoutInCell="1" allowOverlap="1">
                <wp:simplePos x="0" y="0"/>
                <wp:positionH relativeFrom="column">
                  <wp:posOffset>8223250</wp:posOffset>
                </wp:positionH>
                <wp:positionV relativeFrom="paragraph">
                  <wp:posOffset>3232150</wp:posOffset>
                </wp:positionV>
                <wp:extent cx="78740" cy="86360"/>
                <wp:effectExtent l="0" t="0" r="16510" b="27940"/>
                <wp:wrapNone/>
                <wp:docPr id="462" name="椭圆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7.5pt;margin-top:254.5pt;height:6.8pt;width:6.2pt;z-index:251556864;v-text-anchor:middle;mso-width-relative:page;mso-height-relative:page;" fillcolor="#FFFF00" filled="t" stroked="t" coordsize="21600,21600" o:gfxdata="UEsDBAoAAAAAAIdO4kAAAAAAAAAAAAAAAAAEAAAAZHJzL1BLAwQUAAAACACHTuJAUt9q7NwAAAAN&#10;AQAADwAAAGRycy9kb3ducmV2LnhtbE2PzU7DMBCE70i8g7VI3KjdQEsT4lQVUgUHDvQHcXWTJY6I&#10;11HstA1Pz/YEt53d0ew3+fLsWnHEPjSeNEwnCgRS6auGag373fpuASJEQ5VpPaGGEQMsi+ur3GSV&#10;P9EGj9tYCw6hkBkNNsYukzKUFp0JE98h8e3L985Eln0tq96cONy1MlFqLp1piD9Y0+GzxfJ7OzgN&#10;q9XHa9ynQzf+vHza951cjOvNm9a3N1P1BCLiOf6Z4YLP6FAw08EPVAXRsk7SGZeJGmYq5eFiuVeP&#10;DyAOvEqSOcgil/9bFL9QSwMEFAAAAAgAh07iQOQCHVxgAgAAzQQAAA4AAABkcnMvZTJvRG9jLnht&#10;bK1UzW4TMRC+I/EOlu90k5CmYZVNFaUKQopopYI4T7z2roX/sJ1sygPwFBx75bHgORg7mzYFDgix&#10;B2v+f76Z2dnlXiuy4z5Iayo6PBtQwg2ztTRNRd+/W72YUhIimBqUNbyidzzQy/nzZ7POlXxkW6tq&#10;7gkGMaHsXEXbGF1ZFIG1XEM4s44bVArrNURkfVPUHjqMrlUxGgwmRWd97bxlPASUXh2UdJ7jC8FZ&#10;vBYi8EhURbG2mF+f3016i/kMysaDayXry4B/qEKDNJj0IdQVRCBbL38LpSXzNlgRz5jVhRVCMp57&#10;wG6Gg1+6uW3B8dwLghPcA0zh/4Vlb3c3nsi6ouPJiBIDGof04/7b969fSJIgPp0LJZrduhufOgxu&#10;bdnHQIxdtmAavggOUcbZJ9viiXFiQu+2F14nd2yZ7DP+dw/4830kDIUX04sxDomhZjp5OcnTKaA8&#10;ujof4mtuNUlERblS0oWED5SwW4eY8kN5tMq1WiXrlVQqM77ZLJUnO8BdWOE3OCYIp2bKkK6io/Mx&#10;qgkD3EmhICKpHaIUTEMJqAaXnUWfcz/xDn+XJBV5BaE9FJMjZPigVCbVyvPq9j09wpioja3vcGTe&#10;IgRYYXBsJTHaGkK8AY/Li0I8yHiNj1AWe7E9RUlr/ec/yZM97hRqKenwGLDPT1vwnBL1xuC2vRqO&#10;02BiZsbnFyNk/Klmc6oxW720iPEwV5fJZB/VkRTe6g94t4uUFVVgGOY+INozy3g4Urx8xheLbIYX&#10;4yCuza1jKXjCydjFNloh8+wf0ekXEW8mr0R/3+koT/ls9fgXmv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t9q7NwAAAANAQAADwAAAAAAAAABACAAAAAiAAAAZHJzL2Rvd25yZXYueG1sUEsBAhQA&#10;FAAAAAgAh07iQOQCHVxgAgAAzQQAAA4AAAAAAAAAAQAgAAAAKwEAAGRycy9lMm9Eb2MueG1sUEsF&#10;BgAAAAAGAAYAWQEAAP0FAAAAAA==&#10;">
                <v:fill on="t" focussize="0,0"/>
                <v:stroke weight="2pt" color="#FFFF00" joinstyle="round"/>
                <v:imagedata o:title=""/>
                <o:lock v:ext="edit" aspectratio="t"/>
              </v:shape>
            </w:pict>
          </mc:Fallback>
        </mc:AlternateContent>
      </w:r>
      <w:r>
        <mc:AlternateContent>
          <mc:Choice Requires="wps">
            <w:drawing>
              <wp:anchor distT="0" distB="0" distL="114300" distR="114300" simplePos="0" relativeHeight="251548672" behindDoc="0" locked="0" layoutInCell="1" allowOverlap="1">
                <wp:simplePos x="0" y="0"/>
                <wp:positionH relativeFrom="column">
                  <wp:posOffset>7734935</wp:posOffset>
                </wp:positionH>
                <wp:positionV relativeFrom="paragraph">
                  <wp:posOffset>3436620</wp:posOffset>
                </wp:positionV>
                <wp:extent cx="78740" cy="86360"/>
                <wp:effectExtent l="0" t="0" r="16510" b="27940"/>
                <wp:wrapNone/>
                <wp:docPr id="2008" name="椭圆 2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740" cy="8636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9.05pt;margin-top:270.6pt;height:6.8pt;width:6.2pt;z-index:251548672;v-text-anchor:middle;mso-width-relative:page;mso-height-relative:page;" fillcolor="#FFFF00" filled="t" stroked="t" coordsize="21600,21600" o:gfxdata="UEsDBAoAAAAAAIdO4kAAAAAAAAAAAAAAAAAEAAAAZHJzL1BLAwQUAAAACACHTuJAh1tqENwAAAAN&#10;AQAADwAAAGRycy9kb3ducmV2LnhtbE2Py07DMBBF90j8gzVI7Kjj0KA0xKkqpAoWLOgDdevGQxwR&#10;21HstA1fz3QFyztzdOdMubzYjp1wCK13EsQsAYau9rp1jYT9bv2QAwtROa0671DChAGW1e1NqQrt&#10;z26Dp21sGJW4UCgJJsa+4DzUBq0KM9+jo92XH6yKFIeG60Gdqdx2PE2SJ25V6+iCUT2+GKy/t6OV&#10;sFp9vsX9Yuynn9eD+djxfFpv3qW8vxPJM7CIl/gHw1Wf1KEip6MfnQ6so5yKXBArIZuLFNgVSR+T&#10;DNiRRtk8B16V/P8X1S9QSwMEFAAAAAgAh07iQJR0qhtiAgAAzwQAAA4AAABkcnMvZTJvRG9jLnht&#10;bK1UzW4TMRC+I/EOlu90k5L+sOqmilIFIUW0UkGcJ17vroXtMbaTTXkAnoJjrzwWPAdjZ9OmwAEh&#10;9mDNeMbz830ze3G5NZptpA8KbcXHRyPOpBVYK9tW/P27xYtzzkIEW4NGKyt+JwO/nD5/dtG7Uh5j&#10;h7qWnlEQG8reVbyL0ZVFEUQnDYQjdNKSsUFvIJLq26L20FN0o4vj0ei06NHXzqOQIdDt1c7Ipzl+&#10;00gRr5smyMh0xam2mE+fz1U6i+kFlK0H1ykxlAH/UIUBZSnpQ6griMDWXv0WyijhMWATjwSaAptG&#10;CZl7oG7Go1+6ue3AydwLgRPcA0zh/4UVbzc3nqm64oQmcWXBEEs/7r99//qF5StCqHehJMdbd+NT&#10;j8EtUXwMzOK8A9vKWXCEM7Gf0CyeOCclDM+2jTfpOTXNtpmBuwcG5DYyQZdn52cTokmQ5fz05Wnm&#10;p4By/9T5EF9LNCwJFZdaKxcSQlDCZhliyg/l3ivXilrVC6V1Vny7mmvPNkDTsKBvtE8QDt20ZT3h&#10;cTIhMxNAU9loiCQaRzgF23IGuqVxF9Hn3E9eh79Lkoq8gtDtiskRMnxQaptqlXl4h54eYUzSCus7&#10;Is0jQUAVBicWiqItIcQb8DS+dEkrGa/paDRSLzhInHXoP//pPvnTVJGVs57Wgfr8tAYvOdNvLM3b&#10;q/EkEROzMjk5OybFH1pWhxa7NnMkjMe5uiwm/6j3YuPRfKDNnaWsZAIrKPcO0UGZx92a0u4LOZtl&#10;N9oZB3Fpb51IwRNOFmfriI3K3D+iMwwibU0eiWHD01oe6tnr8T80/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HW2oQ3AAAAA0BAAAPAAAAAAAAAAEAIAAAACIAAABkcnMvZG93bnJldi54bWxQSwEC&#10;FAAUAAAACACHTuJAlHSqG2ICAADPBAAADgAAAAAAAAABACAAAAArAQAAZHJzL2Uyb0RvYy54bWxQ&#10;SwUGAAAAAAYABgBZAQAA/wUAAAAA&#10;">
                <v:fill on="t" focussize="0,0"/>
                <v:stroke weight="2pt" color="#FFFF00" joinstyle="round"/>
                <v:imagedata o:title=""/>
                <o:lock v:ext="edit" aspectratio="t"/>
              </v:shape>
            </w:pict>
          </mc:Fallback>
        </mc:AlternateContent>
      </w:r>
      <w:r>
        <w:rPr>
          <w:b/>
        </w:rPr>
        <mc:AlternateContent>
          <mc:Choice Requires="wps">
            <w:drawing>
              <wp:anchor distT="0" distB="0" distL="114300" distR="114300" simplePos="0" relativeHeight="251538432" behindDoc="0" locked="0" layoutInCell="1" allowOverlap="1">
                <wp:simplePos x="0" y="0"/>
                <wp:positionH relativeFrom="column">
                  <wp:posOffset>4423410</wp:posOffset>
                </wp:positionH>
                <wp:positionV relativeFrom="paragraph">
                  <wp:posOffset>7771130</wp:posOffset>
                </wp:positionV>
                <wp:extent cx="3696970" cy="349885"/>
                <wp:effectExtent l="0" t="0" r="0" b="0"/>
                <wp:wrapNone/>
                <wp:docPr id="449" name="Rectangle 469"/>
                <wp:cNvGraphicFramePr/>
                <a:graphic xmlns:a="http://schemas.openxmlformats.org/drawingml/2006/main">
                  <a:graphicData uri="http://schemas.microsoft.com/office/word/2010/wordprocessingShape">
                    <wps:wsp>
                      <wps:cNvSpPr>
                        <a:spLocks noChangeArrowheads="1"/>
                      </wps:cNvSpPr>
                      <wps:spPr bwMode="auto">
                        <a:xfrm>
                          <a:off x="0" y="0"/>
                          <a:ext cx="3696970" cy="349885"/>
                        </a:xfrm>
                        <a:prstGeom prst="rect">
                          <a:avLst/>
                        </a:prstGeom>
                        <a:noFill/>
                        <a:ln>
                          <a:noFill/>
                        </a:ln>
                      </wps:spPr>
                      <wps:txbx>
                        <w:txbxContent>
                          <w:p>
                            <w:pPr>
                              <w:jc w:val="center"/>
                              <w:rPr>
                                <w:rFonts w:eastAsia="宋体"/>
                                <w:b/>
                                <w:sz w:val="24"/>
                                <w:szCs w:val="24"/>
                              </w:rPr>
                            </w:pPr>
                            <w:r>
                              <w:rPr>
                                <w:rFonts w:eastAsia="宋体"/>
                                <w:b/>
                                <w:sz w:val="24"/>
                                <w:szCs w:val="24"/>
                              </w:rPr>
                              <w:t>图2-1 项目评价范围内大气保护目标分布图</w:t>
                            </w:r>
                          </w:p>
                        </w:txbxContent>
                      </wps:txbx>
                      <wps:bodyPr rot="0" vert="horz" wrap="square" lIns="91440" tIns="45720" rIns="91440" bIns="45720" anchor="t" anchorCtr="0" upright="1">
                        <a:noAutofit/>
                      </wps:bodyPr>
                    </wps:wsp>
                  </a:graphicData>
                </a:graphic>
              </wp:anchor>
            </w:drawing>
          </mc:Choice>
          <mc:Fallback>
            <w:pict>
              <v:rect id="Rectangle 469" o:spid="_x0000_s1026" o:spt="1" style="position:absolute;left:0pt;margin-left:348.3pt;margin-top:611.9pt;height:27.55pt;width:291.1pt;z-index:251538432;mso-width-relative:page;mso-height-relative:page;" filled="f" stroked="f" coordsize="21600,21600" o:gfxdata="UEsDBAoAAAAAAIdO4kAAAAAAAAAAAAAAAAAEAAAAZHJzL1BLAwQUAAAACACHTuJAo6iYMtsAAAAO&#10;AQAADwAAAGRycy9kb3ducmV2LnhtbE2PQUvDQBCF74L/YRnBi9hNI8Q2zaaHglhEKE1tz9vsmASz&#10;s2l2m9R/7xQPenvDe7z5Xra82FYM2PvGkYLpJAKBVDrTUKXgY/fyOAPhgyajW0eo4Bs9LPPbm0yn&#10;xo20xaEIleAS8qlWUIfQpVL6skar/cR1SOx9ut7qwGdfSdPrkcttK+MoSqTVDfGHWne4qrH8Ks5W&#10;wVhuhsPu/VVuHg5rR6f1aVXs35S6v5tGCxABL+EvDFd8RoecmY7uTMaLVkEyTxKOshHHTzziGomf&#10;Z6yOv2oOMs/k/xn5D1BLAwQUAAAACACHTuJAP05AE+wBAADBAwAADgAAAGRycy9lMm9Eb2MueG1s&#10;rVPBbtswDL0P2D8Iui+OUzeNjThF0aLDgG4r1vUDZFmOhdmiRimxs68fJadZut6GXQRRpJ7ee6TW&#10;12Pfsb1Cp8GUPJ3NOVNGQq3NtuTP3+8/rDhzXphadGBUyQ/K8evN+3frwRZqAS10tUJGIMYVgy15&#10;670tksTJVvXCzcAqQ8kGsBeeQtwmNYqB0PsuWczny2QArC2CVM7R6d2U5JuI3zRK+q9N45RnXcmJ&#10;m48rxrUKa7JZi2KLwrZaHmmIf2DRC23o0RPUnfCC7VC/geq1RHDQ+JmEPoGm0VJFDaQmnf+l5qkV&#10;VkUtZI6zJ5vc/4OVX/aPyHRd8izLOTOipyZ9I9uE2XaKZcs8WDRYV1Dlk33EINLZB5A/HDNw21Kd&#10;ukGEoVWiJmJpqE9eXQiBo6usGj5DTfhi5yG6NTbYB0DygY2xKYdTU9TomaTDi2W+zK+od5JyF1m+&#10;Wl3GJ0Txctui8x8V9CxsSo7EPqKL/YPzgY0oXkrCYwbuddfFxnfm1QEVhpPIPhCehPuxGo8eVFAf&#10;SAfCNEc097RpAX9xNtAMldz93AlUnHWfDHmRp1kWhi4G2eXVggI8z1TnGWEkQZXcczZtb/00qDuL&#10;etvSS2mUZeCG/Gt0lBa8nVgdedOcRMXHmQ6DeB7Hqj8/b/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6iYMtsAAAAOAQAADwAAAAAAAAABACAAAAAiAAAAZHJzL2Rvd25yZXYueG1sUEsBAhQAFAAA&#10;AAgAh07iQD9OQBPsAQAAwQMAAA4AAAAAAAAAAQAgAAAAKgEAAGRycy9lMm9Eb2MueG1sUEsFBgAA&#10;AAAGAAYAWQEAAIgFAAAAAA==&#10;">
                <v:fill on="f" focussize="0,0"/>
                <v:stroke on="f"/>
                <v:imagedata o:title=""/>
                <o:lock v:ext="edit" aspectratio="f"/>
                <v:textbox>
                  <w:txbxContent>
                    <w:p>
                      <w:pPr>
                        <w:jc w:val="center"/>
                        <w:rPr>
                          <w:rFonts w:eastAsia="宋体"/>
                          <w:b/>
                          <w:sz w:val="24"/>
                          <w:szCs w:val="24"/>
                        </w:rPr>
                      </w:pPr>
                      <w:r>
                        <w:rPr>
                          <w:rFonts w:eastAsia="宋体"/>
                          <w:b/>
                          <w:sz w:val="24"/>
                          <w:szCs w:val="24"/>
                        </w:rPr>
                        <w:t>图2-1 项目评价范围内大气保护目标分布图</w:t>
                      </w:r>
                    </w:p>
                  </w:txbxContent>
                </v:textbox>
              </v:rect>
            </w:pict>
          </mc:Fallback>
        </mc:AlternateContent>
      </w:r>
      <w:r>
        <w:rPr>
          <w:b/>
        </w:rPr>
        <mc:AlternateContent>
          <mc:Choice Requires="wps">
            <w:drawing>
              <wp:anchor distT="0" distB="0" distL="114300" distR="114300" simplePos="0" relativeHeight="251542528" behindDoc="0" locked="0" layoutInCell="1" allowOverlap="1">
                <wp:simplePos x="0" y="0"/>
                <wp:positionH relativeFrom="column">
                  <wp:posOffset>1000760</wp:posOffset>
                </wp:positionH>
                <wp:positionV relativeFrom="paragraph">
                  <wp:posOffset>6391910</wp:posOffset>
                </wp:positionV>
                <wp:extent cx="1228725" cy="409575"/>
                <wp:effectExtent l="0" t="0" r="0" b="0"/>
                <wp:wrapNone/>
                <wp:docPr id="11" name="矩形 11"/>
                <wp:cNvGraphicFramePr/>
                <a:graphic xmlns:a="http://schemas.openxmlformats.org/drawingml/2006/main">
                  <a:graphicData uri="http://schemas.microsoft.com/office/word/2010/wordprocessingShape">
                    <wps:wsp>
                      <wps:cNvSpPr/>
                      <wps:spPr>
                        <a:xfrm>
                          <a:off x="0" y="0"/>
                          <a:ext cx="1228725" cy="409575"/>
                        </a:xfrm>
                        <a:prstGeom prst="rect">
                          <a:avLst/>
                        </a:prstGeom>
                        <a:noFill/>
                        <a:ln w="25400" cap="flat" cmpd="sng" algn="ctr">
                          <a:noFill/>
                          <a:prstDash val="solid"/>
                        </a:ln>
                        <a:effectLst/>
                      </wps:spPr>
                      <wps:txbx>
                        <w:txbxContent>
                          <w:p>
                            <w:pPr>
                              <w:jc w:val="center"/>
                              <w:rPr>
                                <w:rFonts w:asciiTheme="minorEastAsia" w:hAnsiTheme="minorEastAsia" w:eastAsiaTheme="minorEastAsia"/>
                                <w:b/>
                                <w:color w:val="FFFF00"/>
                                <w:sz w:val="24"/>
                                <w:szCs w:val="24"/>
                              </w:rPr>
                            </w:pPr>
                            <w:r>
                              <w:rPr>
                                <w:rFonts w:hint="eastAsia" w:asciiTheme="minorEastAsia" w:hAnsiTheme="minorEastAsia" w:eastAsiaTheme="minorEastAsia"/>
                                <w:b/>
                                <w:color w:val="FFFF00"/>
                                <w:sz w:val="24"/>
                                <w:szCs w:val="24"/>
                              </w:rPr>
                              <w:t>大气评价范围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pt;margin-top:503.3pt;height:32.25pt;width:96.75pt;z-index:251542528;v-text-anchor:middle;mso-width-relative:page;mso-height-relative:page;" filled="f" stroked="f" coordsize="21600,21600" o:gfxdata="UEsDBAoAAAAAAIdO4kAAAAAAAAAAAAAAAAAEAAAAZHJzL1BLAwQUAAAACACHTuJAV9IH99YAAAAN&#10;AQAADwAAAGRycy9kb3ducmV2LnhtbE1Py07DMBC8I/EP1iJxo06APhTiVBUCpB5pkFBvm3hJAvE6&#10;it20/Xu2J7jN7I7mka9PrlcTjaHzbCCdJaCIa287bgx8lK93K1AhIlvsPZOBMwVYF9dXOWbWH/md&#10;pl1slJhwyNBAG+OQaR3qlhyGmR+I5fflR4dR6NhoO+JRzF2v75NkoR12LAktDvTcUv2zOzgDoZq2&#10;5XnYfH7vQ11tXtiVj9s3Y25v0uQJVKRT/BPDpb5Uh0I6Vf7ANqhe+Hy5EKkAiREkkod5moKqLqel&#10;IF3k+v+K4hdQSwMEFAAAAAgAh07iQN1oIig+AgAAWAQAAA4AAABkcnMvZTJvRG9jLnhtbK1UzY7T&#10;MBC+I/EOlu80adTS3ajpqtqqCKliKy2I89Sxm0j+w3ablpdB4sZD8DiI12DsZLsVcEJc3BnP5PPM&#10;9810fndSkhy5863RFR2Pckq4ZqZu9b6iH96vX91Q4gPoGqTRvKJn7und4uWLeWdLXpjGyJo7giDa&#10;l52taBOCLbPMs4Yr8CNjucagME5BQNfts9pBh+hKZkWev84642rrDOPe4+2qD9JFwheCs/AghOeB&#10;yIpibSGdLp27eGaLOZR7B7Zp2VAG/EMVClqNj16gVhCAHFz7B5RqmTPeiDBiRmVGiJbx1AN2M85/&#10;6+axActTL0iOtxea/P+DZe+OW0faGrUbU6JBoUY/v3z78f0rwQtkp7O+xKRHu3WD59GMrZ6EU/EX&#10;myCnxOj5wig/BcLwclwUN7NiSgnD2CS/nc6mETR7/to6H95wo0g0KupQsUQkHDc+9KlPKfExbdat&#10;lHgPpdSkq2gxneQoLAMcHiEhoKkstuP1nhKQe5xKFlyCvPo2Qq7AN+QIOBjeyLYe6pI6YvM0OkMF&#10;kYK+6WiF0+40MLEz9RnZc6YfK2/ZukXgDfiwBYdzhIXhboQHPIQ0WK0ZLEoa4z7/7T7mo7wYpaTD&#10;ucTqPh3AcUrkW43C344nkzjIyZlMZwU67jqyu47og7o32CFqi9UlM+YH+WQKZ9RHXKFlfBVDoBm+&#10;3XM2OPeh3xdcQsaXy5SGw2shbPSjZRG8V2Z5CEa0SbRIVM8Oih0dHN8k+7BqcT+u/ZT1/Iew+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0gf31gAAAA0BAAAPAAAAAAAAAAEAIAAAACIAAABkcnMv&#10;ZG93bnJldi54bWxQSwECFAAUAAAACACHTuJA3WgiKD4CAABYBAAADgAAAAAAAAABACAAAAAlAQAA&#10;ZHJzL2Uyb0RvYy54bWxQSwUGAAAAAAYABgBZAQAA1QUAAAAA&#10;">
                <v:fill on="f" focussize="0,0"/>
                <v:stroke on="f" weight="2pt"/>
                <v:imagedata o:title=""/>
                <o:lock v:ext="edit" aspectratio="f"/>
                <v:textbox>
                  <w:txbxContent>
                    <w:p>
                      <w:pPr>
                        <w:jc w:val="center"/>
                        <w:rPr>
                          <w:rFonts w:asciiTheme="minorEastAsia" w:hAnsiTheme="minorEastAsia" w:eastAsiaTheme="minorEastAsia"/>
                          <w:b/>
                          <w:color w:val="FFFF00"/>
                          <w:sz w:val="24"/>
                          <w:szCs w:val="24"/>
                        </w:rPr>
                      </w:pPr>
                      <w:r>
                        <w:rPr>
                          <w:rFonts w:hint="eastAsia" w:asciiTheme="minorEastAsia" w:hAnsiTheme="minorEastAsia" w:eastAsiaTheme="minorEastAsia"/>
                          <w:b/>
                          <w:color w:val="FFFF00"/>
                          <w:sz w:val="24"/>
                          <w:szCs w:val="24"/>
                        </w:rPr>
                        <w:t>大气评价范围</w:t>
                      </w:r>
                    </w:p>
                  </w:txbxContent>
                </v:textbox>
              </v:rect>
            </w:pict>
          </mc:Fallback>
        </mc:AlternateContent>
      </w:r>
      <w:r>
        <w:rPr>
          <w:b/>
        </w:rPr>
        <mc:AlternateContent>
          <mc:Choice Requires="wps">
            <w:drawing>
              <wp:anchor distT="0" distB="0" distL="114300" distR="114300" simplePos="0" relativeHeight="251546624" behindDoc="0" locked="0" layoutInCell="1" allowOverlap="1">
                <wp:simplePos x="0" y="0"/>
                <wp:positionH relativeFrom="column">
                  <wp:posOffset>1001395</wp:posOffset>
                </wp:positionH>
                <wp:positionV relativeFrom="paragraph">
                  <wp:posOffset>5861050</wp:posOffset>
                </wp:positionV>
                <wp:extent cx="1162050" cy="409575"/>
                <wp:effectExtent l="0" t="0" r="0" b="0"/>
                <wp:wrapNone/>
                <wp:docPr id="23" name="矩形 23"/>
                <wp:cNvGraphicFramePr/>
                <a:graphic xmlns:a="http://schemas.openxmlformats.org/drawingml/2006/main">
                  <a:graphicData uri="http://schemas.microsoft.com/office/word/2010/wordprocessingShape">
                    <wps:wsp>
                      <wps:cNvSpPr/>
                      <wps:spPr>
                        <a:xfrm>
                          <a:off x="0" y="0"/>
                          <a:ext cx="1162050" cy="409575"/>
                        </a:xfrm>
                        <a:prstGeom prst="rect">
                          <a:avLst/>
                        </a:prstGeom>
                        <a:noFill/>
                        <a:ln w="25400" cap="flat" cmpd="sng" algn="ctr">
                          <a:noFill/>
                          <a:prstDash val="solid"/>
                        </a:ln>
                        <a:effectLst/>
                      </wps:spPr>
                      <wps:txbx>
                        <w:txbxContent>
                          <w:p>
                            <w:pPr>
                              <w:jc w:val="center"/>
                              <w:rPr>
                                <w:rFonts w:asciiTheme="minorEastAsia" w:hAnsiTheme="minorEastAsia" w:eastAsiaTheme="minorEastAsia"/>
                                <w:b/>
                                <w:color w:val="FF0000"/>
                                <w:sz w:val="24"/>
                                <w:szCs w:val="24"/>
                              </w:rPr>
                            </w:pPr>
                            <w:r>
                              <w:rPr>
                                <w:rFonts w:hint="eastAsia" w:asciiTheme="minorEastAsia" w:hAnsiTheme="minorEastAsia" w:eastAsiaTheme="minorEastAsia"/>
                                <w:b/>
                                <w:color w:val="FF0000"/>
                                <w:sz w:val="24"/>
                                <w:szCs w:val="24"/>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5pt;margin-top:461.5pt;height:32.25pt;width:91.5pt;z-index:251546624;v-text-anchor:middle;mso-width-relative:page;mso-height-relative:page;" filled="f" stroked="f" coordsize="21600,21600" o:gfxdata="UEsDBAoAAAAAAIdO4kAAAAAAAAAAAAAAAAAEAAAAZHJzL1BLAwQUAAAACACHTuJA2YtiudkAAAAL&#10;AQAADwAAAGRycy9kb3ducmV2LnhtbE2PzU7DMBCE70i8g7VI3KjdP9KGOFWFAKnHNkioNydekkC8&#10;jmI3bd+e5QTHmf00O5NtLq4TIw6h9aRhOlEgkCpvW6o1vBevDysQIRqypvOEGq4YYJPf3mQmtf5M&#10;exwPsRYcQiE1GpoY+1TKUDXoTJj4Holvn35wJrIcamkHc+Zw18mZUo/SmZb4Q2N6fG6w+j6cnIZQ&#10;jrvi2m8/vo6hKrcv5IrF7k3r+7upegIR8RL/YPitz9Uh506lP5ENomO9TBJGNaxncx7FxHyh2CnZ&#10;WSVLkHkm/2/IfwBQSwMEFAAAAAgAh07iQMgZOcg+AgAAWAQAAA4AAABkcnMvZTJvRG9jLnhtbK1U&#10;zY7TMBC+I/EOlu80SWl32ajpqtqqCKliVyqI89Sxm0j+w3ablpdB4sZD7OMgXoOxk+1WwAlxcWc8&#10;k88z33zT2e1RSXLgzrdGV7QY5ZRwzUzd6l1FP35YvXpDiQ+ga5BG84qeuKe385cvZp0t+dg0Rtbc&#10;EQTRvuxsRZsQbJllnjVcgR8ZyzUGhXEKArpul9UOOkRXMhvn+VXWGVdbZxj3Hm+XfZDOE74QnIV7&#10;ITwPRFYUawvpdOncxjObz6DcObBNy4Yy4B+qUNBqfPQMtYQAZO/aP6BUy5zxRoQRMyozQrSMpx6w&#10;myL/rZtNA5anXpAcb880+f8Hy94fHhxp64qOX1OiQeGMfn79/uPxG8ELZKezvsSkjX1wg+fRjK0e&#10;hVPxF5sgx8To6cwoPwbC8LIorsb5FIlnGJvkN9PraQTNnr+2zoe33CgSjYo6nFgiEg5rH/rUp5T4&#10;mDarVkq8h1Jq0mHZ00ke8QHFIyQENJXFdrzeUQJyh6pkwSXIi28j5BJ8Qw6AwvBGtvVQl9QRmyfp&#10;DBVECvqmoxWO2+PAxNbUJ2TPmV5W3rJVi8Br8OEBHOoIC8PdCPd4CGmwWjNYlDTGffnbfczH8WKU&#10;kg51idV93oPjlMh3Ggd/U0wmUcjJmUyvx+i4y8j2MqL36s5ghwVuoWXJjPlBPpnCGfUJV2gRX8UQ&#10;aIZv95wNzl3o9wWXkPHFIqWheC2Etd5YFsH7ySz2wYg2DS0S1bODw44OyjeNfVi1uB+Xfsp6/kOY&#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Zi2K52QAAAAsBAAAPAAAAAAAAAAEAIAAAACIAAABk&#10;cnMvZG93bnJldi54bWxQSwECFAAUAAAACACHTuJAyBk5yD4CAABYBAAADgAAAAAAAAABACAAAAAo&#10;AQAAZHJzL2Uyb0RvYy54bWxQSwUGAAAAAAYABgBZAQAA2AUAAAAA&#10;">
                <v:fill on="f" focussize="0,0"/>
                <v:stroke on="f" weight="2pt"/>
                <v:imagedata o:title=""/>
                <o:lock v:ext="edit" aspectratio="f"/>
                <v:textbox>
                  <w:txbxContent>
                    <w:p>
                      <w:pPr>
                        <w:jc w:val="center"/>
                        <w:rPr>
                          <w:rFonts w:asciiTheme="minorEastAsia" w:hAnsiTheme="minorEastAsia" w:eastAsiaTheme="minorEastAsia"/>
                          <w:b/>
                          <w:color w:val="FF0000"/>
                          <w:sz w:val="24"/>
                          <w:szCs w:val="24"/>
                        </w:rPr>
                      </w:pPr>
                      <w:r>
                        <w:rPr>
                          <w:rFonts w:hint="eastAsia" w:asciiTheme="minorEastAsia" w:hAnsiTheme="minorEastAsia" w:eastAsiaTheme="minorEastAsia"/>
                          <w:b/>
                          <w:color w:val="FF0000"/>
                          <w:sz w:val="24"/>
                          <w:szCs w:val="24"/>
                        </w:rPr>
                        <w:t>项目所在地</w:t>
                      </w:r>
                    </w:p>
                  </w:txbxContent>
                </v:textbox>
              </v:rect>
            </w:pict>
          </mc:Fallback>
        </mc:AlternateContent>
      </w:r>
      <w:r>
        <w:rPr>
          <w:b/>
        </w:rPr>
        <mc:AlternateContent>
          <mc:Choice Requires="wps">
            <w:drawing>
              <wp:anchor distT="0" distB="0" distL="114300" distR="114300" simplePos="0" relativeHeight="251599872" behindDoc="0" locked="0" layoutInCell="1" allowOverlap="1">
                <wp:simplePos x="0" y="0"/>
                <wp:positionH relativeFrom="column">
                  <wp:posOffset>1115695</wp:posOffset>
                </wp:positionH>
                <wp:positionV relativeFrom="paragraph">
                  <wp:posOffset>5385435</wp:posOffset>
                </wp:positionV>
                <wp:extent cx="1047750" cy="409575"/>
                <wp:effectExtent l="0" t="0" r="0" b="0"/>
                <wp:wrapNone/>
                <wp:docPr id="502" name="矩形 502"/>
                <wp:cNvGraphicFramePr/>
                <a:graphic xmlns:a="http://schemas.openxmlformats.org/drawingml/2006/main">
                  <a:graphicData uri="http://schemas.microsoft.com/office/word/2010/wordprocessingShape">
                    <wps:wsp>
                      <wps:cNvSpPr/>
                      <wps:spPr>
                        <a:xfrm>
                          <a:off x="0" y="0"/>
                          <a:ext cx="1047750" cy="409575"/>
                        </a:xfrm>
                        <a:prstGeom prst="rect">
                          <a:avLst/>
                        </a:prstGeom>
                        <a:noFill/>
                        <a:ln w="25400" cap="flat" cmpd="sng" algn="ctr">
                          <a:noFill/>
                          <a:prstDash val="solid"/>
                        </a:ln>
                        <a:effectLst/>
                      </wps:spPr>
                      <wps:txbx>
                        <w:txbxContent>
                          <w:p>
                            <w:pPr>
                              <w:jc w:val="center"/>
                              <w:rPr>
                                <w:rFonts w:asciiTheme="minorEastAsia" w:hAnsiTheme="minorEastAsia" w:eastAsiaTheme="minorEastAsia"/>
                                <w:b/>
                                <w:color w:val="0000FF"/>
                                <w:sz w:val="24"/>
                                <w:szCs w:val="24"/>
                              </w:rPr>
                            </w:pPr>
                            <w:r>
                              <w:rPr>
                                <w:rFonts w:hint="eastAsia" w:asciiTheme="minorEastAsia" w:hAnsiTheme="minorEastAsia" w:eastAsiaTheme="minorEastAsia"/>
                                <w:b/>
                                <w:color w:val="0000FF"/>
                                <w:sz w:val="24"/>
                                <w:szCs w:val="24"/>
                              </w:rPr>
                              <w:t>永兴厂界线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85pt;margin-top:424.05pt;height:32.25pt;width:82.5pt;z-index:251599872;v-text-anchor:middle;mso-width-relative:page;mso-height-relative:page;" filled="f" stroked="f" coordsize="21600,21600" o:gfxdata="UEsDBAoAAAAAAIdO4kAAAAAAAAAAAAAAAAAEAAAAZHJzL1BLAwQUAAAACACHTuJA69h9i9kAAAAL&#10;AQAADwAAAGRycy9kb3ducmV2LnhtbE2PwU7DMAyG70i8Q2QkbizpKFspTacJAdKOrEiIW9qYttA4&#10;VZN129tjTnD87U+/PxebkxvEjFPoPWlIFgoEUuNtT62Gt+r5JgMRoiFrBk+o4YwBNuXlRWFy64/0&#10;ivM+toJLKORGQxfjmEsZmg6dCQs/IvHu00/ORI5TK+1kjlzuBrlUaiWd6YkvdGbExw6b7/3BaQj1&#10;vKvO4/b96yM09faJXJXuXrS+vkrUA4iIp/gHw68+q0PJTrU/kA1i4Ly+WzOqIUuzBAQTt6niSa3h&#10;PlmuQJaF/P9D+QNQSwMEFAAAAAgAh07iQCLZ37Q+AgAAWgQAAA4AAABkcnMvZTJvRG9jLnhtbK1U&#10;zY7TMBC+I/EOlu80adVQtmq6qrYqQqrYlQriPHXsJpL/sN0m5WWQuPEQPM6K12DsZLsVcEJc3BnP&#10;5PPMN990cdspSU7c+cboko5HOSVcM1M1+lDSjx82r95Q4gPoCqTRvKRn7unt8uWLRWvnfGJqIyvu&#10;CIJoP29tSesQ7DzLPKu5Aj8ylmsMCuMUBHTdIasctIiuZDbJ89dZa1xlnWHce7xd90G6TPhCcBbu&#10;hfA8EFlSrC2k06VzH89suYD5wYGtGzaUAf9QhYJG46MXqDUEIEfX/AGlGuaMNyKMmFGZEaJhPPWA&#10;3Yzz37rZ1WB56gXJ8fZCk/9/sOz96cGRpippkU8o0aBwSD+/fn/88Y3EG+SntX6OaTv74AbPoxmb&#10;7YRT8RfbIF3i9HzhlHeBMLwc59PZrEDqGcam+U0xKyJo9vy1dT685UaRaJTU4cwSlXDa+tCnPqXE&#10;x7TZNFLiPcylJm1JJ8U0j/iA8hESAprKYkNeHygBeUBdsuAS5NW3EXINviYnQGl4I5tqqEvqiM2T&#10;eIYKIgV909EK3b4bmNib6oz8OdMLy1u2aRB4Cz48gEMlYWG4HeEeDyENVmsGi5LauC9/u4/5OGCM&#10;UtKiMrG6z0dwnBL5TuPob8bTaZRycqbFbIKOu47sryP6qO4MdjjGPbQsmTE/yCdTOKM+4RKt4qsY&#10;As3w7Z6zwbkL/cbgGjK+WqU0lK+FsNU7yyJ4P5nVMRjRpKFFonp2cNjRQQGnsQ/LFjfk2k9Zz38J&#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2H2L2QAAAAsBAAAPAAAAAAAAAAEAIAAAACIAAABk&#10;cnMvZG93bnJldi54bWxQSwECFAAUAAAACACHTuJAItnftD4CAABaBAAADgAAAAAAAAABACAAAAAo&#10;AQAAZHJzL2Uyb0RvYy54bWxQSwUGAAAAAAYABgBZAQAA2AUAAAAA&#10;">
                <v:fill on="f" focussize="0,0"/>
                <v:stroke on="f" weight="2pt"/>
                <v:imagedata o:title=""/>
                <o:lock v:ext="edit" aspectratio="f"/>
                <v:textbox>
                  <w:txbxContent>
                    <w:p>
                      <w:pPr>
                        <w:jc w:val="center"/>
                        <w:rPr>
                          <w:rFonts w:asciiTheme="minorEastAsia" w:hAnsiTheme="minorEastAsia" w:eastAsiaTheme="minorEastAsia"/>
                          <w:b/>
                          <w:color w:val="0000FF"/>
                          <w:sz w:val="24"/>
                          <w:szCs w:val="24"/>
                        </w:rPr>
                      </w:pPr>
                      <w:r>
                        <w:rPr>
                          <w:rFonts w:hint="eastAsia" w:asciiTheme="minorEastAsia" w:hAnsiTheme="minorEastAsia" w:eastAsiaTheme="minorEastAsia"/>
                          <w:b/>
                          <w:color w:val="0000FF"/>
                          <w:sz w:val="24"/>
                          <w:szCs w:val="24"/>
                        </w:rPr>
                        <w:t>永兴厂界线</w:t>
                      </w:r>
                    </w:p>
                  </w:txbxContent>
                </v:textbox>
              </v:rect>
            </w:pict>
          </mc:Fallback>
        </mc:AlternateContent>
      </w:r>
      <w:r>
        <w:rPr>
          <w:b/>
        </w:rPr>
        <mc:AlternateContent>
          <mc:Choice Requires="wps">
            <w:drawing>
              <wp:anchor distT="0" distB="0" distL="114300" distR="114300" simplePos="0" relativeHeight="251540480" behindDoc="0" locked="0" layoutInCell="1" allowOverlap="1">
                <wp:simplePos x="0" y="0"/>
                <wp:positionH relativeFrom="column">
                  <wp:posOffset>496570</wp:posOffset>
                </wp:positionH>
                <wp:positionV relativeFrom="paragraph">
                  <wp:posOffset>6471285</wp:posOffset>
                </wp:positionV>
                <wp:extent cx="495300" cy="276225"/>
                <wp:effectExtent l="0" t="0" r="19050" b="28575"/>
                <wp:wrapNone/>
                <wp:docPr id="2" name="矩形 2"/>
                <wp:cNvGraphicFramePr/>
                <a:graphic xmlns:a="http://schemas.openxmlformats.org/drawingml/2006/main">
                  <a:graphicData uri="http://schemas.microsoft.com/office/word/2010/wordprocessingShape">
                    <wps:wsp>
                      <wps:cNvSpPr/>
                      <wps:spPr>
                        <a:xfrm>
                          <a:off x="0" y="0"/>
                          <a:ext cx="495300" cy="27622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509.55pt;height:21.75pt;width:39pt;z-index:251540480;v-text-anchor:middle;mso-width-relative:page;mso-height-relative:page;" filled="f" stroked="t" coordsize="21600,21600" o:gfxdata="UEsDBAoAAAAAAIdO4kAAAAAAAAAAAAAAAAAEAAAAZHJzL1BLAwQUAAAACACHTuJAWKdzqtcAAAAM&#10;AQAADwAAAGRycy9kb3ducmV2LnhtbE2P0UrEMBBF3wX/IYzgm5u0YF1r0wUFwWURdN0PmDZjW2wm&#10;JUl3V7/e9Ekf58zlzplqc7ajOJIPg2MN2UqBIG6dGbjTcPh4vlmDCBHZ4OiYNHxTgE19eVFhadyJ&#10;3+m4j51IJRxK1NDHOJVShrYni2HlJuK0+3TeYkyj76TxeErldpS5UoW0OHC60ONETz21X/vZapjp&#10;7Sca4+Rhi+Zx51+a7fC60/r6KlMPICKd418YFv2kDnVyatzMJohRw906T8nEVXafgVgSt0VCzYKK&#10;vABZV/L/E/UvUEsDBBQAAAAIAIdO4kBlKt10QQIAAGUEAAAOAAAAZHJzL2Uyb0RvYy54bWytVEuO&#10;EzEQ3SNxB8t7ppMmmSHRdEbRjIKQIiZSQKwrbjvdkn+UnXSGyyCx4xAcB3ENyu6eD58VIgunylWu&#10;z6tXfXl1MpodJYbW2YqPz0acSStc3dp9xd+/W714xVmIYGvQzsqK38nArxbPn112fi5L1zhdS2QU&#10;xIZ55yvexOjnRRFEIw2EM+elJaNyaCCSivuiRugoutFFORqdF53D2qMTMgS6vemNfJHjKyVFvFUq&#10;yMh0xam2mE/M5y6dxeIS5nsE37RiKAP+oQoDraWkD6FuIAI7YPtHKNMKdMGpeCacKZxSrZC5B+pm&#10;PPqtm20DXuZeCJzgH2AK/y+seHvcIGvripecWTA0oh+fv37/9oWVCZvOhzm5bP0GBy2QmBo9KTTp&#10;n1pgp4zn3QOe8hSZoMvJbPpyRKgLMpUX52U5TTGLx8ceQ3wtnWFJqDjSuDKKcFyH2Lveu6Rc1q1a&#10;reke5tqyjvg2G01TfCDmKA2RROOpl2D3nIHeEyVFxBwyON3W6Xl6HXC/u9bIjkC0WNGPquzT/eKW&#10;ct9AaHq/bBrctKU+Ejg9HEnaufqOoETXcyx4sWrp/RpC3AASqahQWpR4S4fSjqp3g8RZ4/DT3+6T&#10;P82arJx1RFLq7OMBUHKm31hiwWw8mSRWZ2UyvShJwaeW3VOLPZhrRw2PaSW9yGLyj/peVOjMB9qn&#10;ZcpKJrCCcvcYDsp17JeHNlLI5TK7EZM9xLXdepGC95NaHqJTbR7iIzoDaMTlTINh79KyPNWz1+PX&#10;Y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KdzqtcAAAAMAQAADwAAAAAAAAABACAAAAAiAAAA&#10;ZHJzL2Rvd25yZXYueG1sUEsBAhQAFAAAAAgAh07iQGUq3XRBAgAAZQQAAA4AAAAAAAAAAQAgAAAA&#10;JgEAAGRycy9lMm9Eb2MueG1sUEsFBgAAAAAGAAYAWQEAANkFAAAAAA==&#10;">
                <v:fill on="f" focussize="0,0"/>
                <v:stroke weight="1.5pt" color="#FFFF00 [3204]" joinstyle="round"/>
                <v:imagedata o:title=""/>
                <o:lock v:ext="edit" aspectratio="f"/>
              </v:rect>
            </w:pict>
          </mc:Fallback>
        </mc:AlternateContent>
      </w:r>
      <w:r>
        <w:rPr>
          <w:b/>
        </w:rPr>
        <mc:AlternateContent>
          <mc:Choice Requires="wps">
            <w:drawing>
              <wp:anchor distT="0" distB="0" distL="114300" distR="114300" simplePos="0" relativeHeight="251544576" behindDoc="0" locked="0" layoutInCell="1" allowOverlap="1">
                <wp:simplePos x="0" y="0"/>
                <wp:positionH relativeFrom="column">
                  <wp:posOffset>496570</wp:posOffset>
                </wp:positionH>
                <wp:positionV relativeFrom="paragraph">
                  <wp:posOffset>5918200</wp:posOffset>
                </wp:positionV>
                <wp:extent cx="495300" cy="276225"/>
                <wp:effectExtent l="0" t="0" r="19050" b="28575"/>
                <wp:wrapNone/>
                <wp:docPr id="22" name="矩形 22"/>
                <wp:cNvGraphicFramePr/>
                <a:graphic xmlns:a="http://schemas.openxmlformats.org/drawingml/2006/main">
                  <a:graphicData uri="http://schemas.microsoft.com/office/word/2010/wordprocessingShape">
                    <wps:wsp>
                      <wps:cNvSpPr/>
                      <wps:spPr>
                        <a:xfrm>
                          <a:off x="0" y="0"/>
                          <a:ext cx="495300" cy="2762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466pt;height:21.75pt;width:39pt;z-index:251544576;v-text-anchor:middle;mso-width-relative:page;mso-height-relative:page;" filled="f" stroked="t" coordsize="21600,21600" o:gfxdata="UEsDBAoAAAAAAIdO4kAAAAAAAAAAAAAAAAAEAAAAZHJzL1BLAwQUAAAACACHTuJAs3v/b9cAAAAK&#10;AQAADwAAAGRycy9kb3ducmV2LnhtbE2Py07DMBBF90j8gzVI7KhTozQhxKkEEkJUXUCBvRtPk6jx&#10;OIrdpPw90xUs587RfZTrs+vFhGPoPGlYLhIQSLW3HTUavj5f7nIQIRqypveEGn4wwLq6vipNYf1M&#10;HzjtYiPYhEJhNLQxDoWUoW7RmbDwAxL/Dn50JvI5NtKOZmZz10uVJCvpTEec0JoBn1usj7uT0/Du&#10;jwfZfyu1yZ5eVfbm8rmZtlrf3iyTRxARz/EPhkt9rg4Vd9r7E9kgeg1ZrpjU8HCveNMFSFes7FnJ&#10;0hRkVcr/E6pfUEsDBBQAAAAIAIdO4kBcKoP3SQIAAHUEAAAOAAAAZHJzL2Uyb0RvYy54bWytVM1u&#10;EzEQviPxDpbvdDdL0tIomypqFYRU0UoFcZ547exK/mPsZFNeBokbD8HjIF6DsXfbhp8TIgdnxjP+&#10;PPP5m11cHIxme4mhc7bmk5OSM2mFazq7rfn7d+sXrzgLEWwD2llZ83sZ+MXy+bNF7+eycq3TjURG&#10;IDbMe1/zNkY/L4ogWmkgnDgvLQWVQwORXNwWDUJP6EYXVVmeFr3DxqMTMgTavRqCfJnxlZIi3igV&#10;ZGS65lRbzCvmdZPWYrmA+RbBt50Yy4B/qMJAZ+nSR6griMB22P0BZTqBLjgVT4QzhVOqEzL3QN1M&#10;yt+6uWvBy9wLkRP8I03h/8GKt/tbZF1T86rizIKhN/rx+ev3b18YbRA7vQ9zSrrztzh6gczU6kGh&#10;Sf/UBDtkRu8fGZWHyARtTs9nL0viXVCoOjutqlnCLJ4OewzxtXSGJaPmSA+WeYT9dYhD6kNKusu6&#10;dac17cNcW9aT4s7LWcIH0o7SEMk0nroJdssZ6C2JUkTMkMHprknH0+mA282lRrYHEsZ6XdJvrOyX&#10;tHT3FYR2yMuhMU3bBCOzxMZSE1UDOcnauOaeqEU3aC54se4I7RpCvAUkkVHZNDjxhhalHfXiRouz&#10;1uGnv+2nfHp7inLWk2ipz487QMmZfmNJFeeT6TSpPDvT2VlFDh5HNscRuzOXjtqf0Ih6kc2UH/WD&#10;qdCZDzRfq3QrhcAKuntgdHQu4zBMNKFCrlY5jZTtIV7bOy8S+PBuq110qstP+sQOSSE5pO0sinEO&#10;0/Ac+znr6Wu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e/9v1wAAAAoBAAAPAAAAAAAAAAEA&#10;IAAAACIAAABkcnMvZG93bnJldi54bWxQSwECFAAUAAAACACHTuJAXCqD90kCAAB1BAAADgAAAAAA&#10;AAABACAAAAAmAQAAZHJzL2Uyb0RvYy54bWxQSwUGAAAAAAYABgBZAQAA4QUAAAAA&#10;">
                <v:fill on="f" focussize="0,0"/>
                <v:stroke weight="1.5pt" color="#FF0000" joinstyle="round"/>
                <v:imagedata o:title=""/>
                <o:lock v:ext="edit" aspectratio="f"/>
              </v:rect>
            </w:pict>
          </mc:Fallback>
        </mc:AlternateContent>
      </w:r>
      <w:r>
        <w:rPr>
          <w:b/>
        </w:rPr>
        <mc:AlternateContent>
          <mc:Choice Requires="wps">
            <w:drawing>
              <wp:anchor distT="0" distB="0" distL="114300" distR="114300" simplePos="0" relativeHeight="251597824" behindDoc="0" locked="0" layoutInCell="1" allowOverlap="1">
                <wp:simplePos x="0" y="0"/>
                <wp:positionH relativeFrom="column">
                  <wp:posOffset>496570</wp:posOffset>
                </wp:positionH>
                <wp:positionV relativeFrom="paragraph">
                  <wp:posOffset>5432425</wp:posOffset>
                </wp:positionV>
                <wp:extent cx="495300" cy="276225"/>
                <wp:effectExtent l="0" t="0" r="19050" b="28575"/>
                <wp:wrapNone/>
                <wp:docPr id="501" name="矩形 501"/>
                <wp:cNvGraphicFramePr/>
                <a:graphic xmlns:a="http://schemas.openxmlformats.org/drawingml/2006/main">
                  <a:graphicData uri="http://schemas.microsoft.com/office/word/2010/wordprocessingShape">
                    <wps:wsp>
                      <wps:cNvSpPr/>
                      <wps:spPr>
                        <a:xfrm>
                          <a:off x="0" y="0"/>
                          <a:ext cx="495300" cy="276225"/>
                        </a:xfrm>
                        <a:prstGeom prst="rect">
                          <a:avLst/>
                        </a:prstGeom>
                        <a:noFill/>
                        <a:ln w="1905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427.75pt;height:21.75pt;width:39pt;z-index:251597824;v-text-anchor:middle;mso-width-relative:page;mso-height-relative:page;" filled="f" stroked="t" coordsize="21600,21600" o:gfxdata="UEsDBAoAAAAAAIdO4kAAAAAAAAAAAAAAAAAEAAAAZHJzL1BLAwQUAAAACACHTuJAedmIZtoAAAAK&#10;AQAADwAAAGRycy9kb3ducmV2LnhtbE2PwU7DMAyG70i8Q2QkLoglG2rpStMdKpAQQkIMDhyzxrTV&#10;Gqdqsq3l6fFOcPTvT78/F5vJ9eKIY+g8aVguFAik2tuOGg2fH0+3GYgQDVnTe0INMwbYlJcXhcmt&#10;P9E7HrexEVxCITca2hiHXMpQt+hMWPgBiXfffnQm8jg20o7mxOWulyulUulMR3yhNQNWLdb77cFp&#10;qAZ78/ZaP/98YWWn+SXt9o93s9bXV0v1ACLiFP9gOOuzOpTstPMHskH0Gu6zFZMasiRJQJyBJOVk&#10;x8l6rUCWhfz/QvkLUEsDBBQAAAAIAIdO4kDxE5sVSQIAAHcEAAAOAAAAZHJzL2Uyb0RvYy54bWyt&#10;VM1uEzEQviPxDpbvZDchaWnUTRW1CkKqaKWCOE+8dnYl/zF2sgkvg8SNh+BxEK/B2LtNys8JkYMz&#10;4xl/nvn8zV5e7Y1mO4mhdbbi41HJmbTC1a3dVPz9u9WLV5yFCLYG7ays+EEGfrV4/uyy83M5cY3T&#10;tURGIDbMO1/xJkY/L4ogGmkgjJyXloLKoYFILm6KGqEjdKOLSVmeFZ3D2qMTMgTavemDfJHxlZIi&#10;3ikVZGS64lRbzCvmdZ3WYnEJ8w2Cb1oxlAH/UIWB1tKlR6gbiMC22P4BZVqBLjgVR8KZwinVCpl7&#10;oG7G5W/dPDTgZe6FyAn+SFP4f7Di7e4eWVtXfFaOObNg6JF+fP76/dsXlnaIn86HOaU9+HscvEBm&#10;anav0KR/aoPtM6eHI6dyH5mgzenF7GVJzAsKTc7PJpNZwixOhz2G+Fo6w5JRcaQny0zC7jbEPvUx&#10;Jd1l3arVmvZhri3rSHMX5SzhA6lHaYhkGk/9BLvhDPSGZCkiZsjgdFun4+l0wM36WiPbQZIG/Var&#10;obJf0tLdNxCaPi+HhjRtE4zMIhtKTVT15CRr7eoDkYuuV13wYtUS2i2EeA9IMqOyaXTiHS1KO+rF&#10;DRZnjcNPf9tP+fT6FOWsI9lSnx+3gJIz/caSLi7G02nSeXams/MJOfg0sn4asVtz7ah9enmqLpsp&#10;P+pHU6EzH2jClulWCoEVdHfP6OBcx36caEaFXC5zGmnbQ7y1D14k8P7dltvoVJuf9MQOSSE5pO4s&#10;imES0/g89XPW6Xu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52Yhm2gAAAAoBAAAPAAAAAAAA&#10;AAEAIAAAACIAAABkcnMvZG93bnJldi54bWxQSwECFAAUAAAACACHTuJA8RObFUkCAAB3BAAADgAA&#10;AAAAAAABACAAAAApAQAAZHJzL2Uyb0RvYy54bWxQSwUGAAAAAAYABgBZAQAA5AUAAAAA&#10;">
                <v:fill on="f" focussize="0,0"/>
                <v:stroke weight="1.5pt" color="#0000FF" joinstyle="round"/>
                <v:imagedata o:title=""/>
                <o:lock v:ext="edit" aspectratio="f"/>
              </v:rect>
            </w:pict>
          </mc:Fallback>
        </mc:AlternateContent>
      </w:r>
    </w:p>
    <w:p>
      <w:pPr>
        <w:pStyle w:val="4"/>
        <w:ind w:firstLine="5401" w:firstLineChars="2223"/>
        <w:rPr>
          <w:rFonts w:ascii="Times New Roman" w:hAnsi="Times New Roman" w:cs="Times New Roman"/>
          <w:b/>
          <w:spacing w:val="0"/>
        </w:rPr>
        <w:sectPr>
          <w:footerReference r:id="rId9" w:type="default"/>
          <w:pgSz w:w="23814" w:h="16839" w:orient="landscape"/>
          <w:pgMar w:top="1418" w:right="1531" w:bottom="1406" w:left="1588" w:header="964" w:footer="851" w:gutter="284"/>
          <w:pgNumType w:fmt="numberInDash"/>
          <w:cols w:space="720" w:num="1"/>
          <w:docGrid w:type="linesAndChars" w:linePitch="444" w:charSpace="786"/>
        </w:sectPr>
      </w:pPr>
    </w:p>
    <w:p>
      <w:pPr>
        <w:pStyle w:val="3"/>
        <w:rPr>
          <w:rFonts w:ascii="Times New Roman" w:hAnsi="Times New Roman"/>
        </w:rPr>
      </w:pPr>
      <w:bookmarkStart w:id="73" w:name="_Toc10637135"/>
      <w:r>
        <w:rPr>
          <w:rFonts w:hint="eastAsia" w:ascii="Times New Roman" w:hAnsi="Times New Roman"/>
          <w:lang w:eastAsia="zh-CN"/>
        </w:rPr>
        <w:t>规划符合性分析</w:t>
      </w:r>
      <w:bookmarkEnd w:id="73"/>
    </w:p>
    <w:p>
      <w:pPr>
        <w:pStyle w:val="5"/>
        <w:rPr>
          <w:rFonts w:ascii="Times New Roman"/>
        </w:rPr>
      </w:pPr>
      <w:r>
        <w:rPr>
          <w:rFonts w:hint="eastAsia" w:ascii="Times New Roman"/>
        </w:rPr>
        <w:t>《</w:t>
      </w:r>
      <w:r>
        <w:fldChar w:fldCharType="begin"/>
      </w:r>
      <w:r>
        <w:instrText xml:space="preserve"> HYPERLINK "http://www.baidu.com/link?url=TTg2IZw41pGQm1AGOv-Ol0Or8rEqiSc9YsY32rADXepJTbkgmoxenAiqXIdLMM7w7VvNT84xqb4_EBkq_fLk9QkbPqh-rg_UX_3va6c6Qai&amp;wd=&amp;eqid=cc9ff95000038565000000045cbd315c" \t "_blank" </w:instrText>
      </w:r>
      <w:r>
        <w:fldChar w:fldCharType="separate"/>
      </w:r>
      <w:r>
        <w:rPr>
          <w:rFonts w:ascii="Times New Roman"/>
        </w:rPr>
        <w:t>湖州市城市总体规划(2017-2035年)</w:t>
      </w:r>
      <w:r>
        <w:rPr>
          <w:rFonts w:hint="eastAsia" w:ascii="Times New Roman"/>
        </w:rPr>
        <w:t xml:space="preserve"> 》</w:t>
      </w:r>
      <w:r>
        <w:rPr>
          <w:rFonts w:hint="eastAsia" w:ascii="Times New Roman"/>
        </w:rPr>
        <w:fldChar w:fldCharType="end"/>
      </w:r>
      <w:r>
        <w:rPr>
          <w:rFonts w:ascii="Times New Roman"/>
        </w:rPr>
        <w:t>符合性分析</w:t>
      </w:r>
    </w:p>
    <w:p>
      <w:pPr>
        <w:pStyle w:val="4"/>
        <w:spacing w:line="480" w:lineRule="exact"/>
        <w:rPr>
          <w:rFonts w:ascii="Times New Roman" w:hAnsi="Times New Roman" w:cs="Times New Roman" w:eastAsiaTheme="minorEastAsia"/>
          <w:spacing w:val="0"/>
          <w:szCs w:val="28"/>
          <w:lang w:val="zh-CN"/>
        </w:rPr>
      </w:pPr>
      <w:r>
        <w:rPr>
          <w:rFonts w:hint="eastAsia" w:ascii="Times New Roman" w:hAnsi="Times New Roman" w:cs="Times New Roman" w:eastAsiaTheme="minorEastAsia"/>
          <w:spacing w:val="0"/>
          <w:szCs w:val="28"/>
          <w:lang w:val="zh-CN"/>
        </w:rPr>
        <w:t>本项目位于湖州市经济技术开发区杨家埠霅水桥路618号，根据《湖州市城市总体规划(2017-2035年)》中心城市远期用地规划图，项目所在地为工业用地。同时，根据企业提供的不动产权证书[浙(2018)湖州市不动产权第0090846号]、土地证书(浙土国用2009第6-13429号)，项目所在地为工业用地，因此本项目建设符合</w:t>
      </w:r>
      <w:r>
        <w:rPr>
          <w:rFonts w:hint="eastAsia" w:ascii="Times New Roman" w:eastAsiaTheme="minorEastAsia"/>
          <w:szCs w:val="28"/>
          <w:lang w:val="zh-CN"/>
        </w:rPr>
        <w:t>《</w:t>
      </w:r>
      <w:r>
        <w:fldChar w:fldCharType="begin"/>
      </w:r>
      <w:r>
        <w:instrText xml:space="preserve"> HYPERLINK "http://www.baidu.com/link?url=TTg2IZw41pGQm1AGOv-Ol0Or8rEqiSc9YsY32rADXepJTbkgmoxenAiqXIdLMM7w7VvNT84xqb4_EBkq_fLk9QkbPqh-rg_UX_3va6c6Qai&amp;wd=&amp;eqid=cc9ff95000038565000000045cbd315c" \t "_blank" </w:instrText>
      </w:r>
      <w:r>
        <w:fldChar w:fldCharType="separate"/>
      </w:r>
      <w:r>
        <w:rPr>
          <w:rFonts w:ascii="Times New Roman" w:eastAsiaTheme="minorEastAsia"/>
          <w:szCs w:val="28"/>
          <w:lang w:val="zh-CN"/>
        </w:rPr>
        <w:t>湖州市城市总体规划(2017-2035年)</w:t>
      </w:r>
      <w:r>
        <w:rPr>
          <w:rFonts w:hint="eastAsia" w:ascii="Times New Roman" w:eastAsiaTheme="minorEastAsia"/>
          <w:szCs w:val="28"/>
          <w:lang w:val="zh-CN"/>
        </w:rPr>
        <w:t>》</w:t>
      </w:r>
      <w:r>
        <w:rPr>
          <w:rFonts w:hint="eastAsia" w:ascii="Times New Roman" w:eastAsiaTheme="minorEastAsia"/>
          <w:szCs w:val="28"/>
          <w:lang w:val="zh-CN"/>
        </w:rPr>
        <w:fldChar w:fldCharType="end"/>
      </w:r>
      <w:r>
        <w:rPr>
          <w:rFonts w:hint="eastAsia" w:ascii="Times New Roman" w:hAnsi="Times New Roman" w:cs="Times New Roman" w:eastAsiaTheme="minorEastAsia"/>
          <w:spacing w:val="0"/>
          <w:szCs w:val="28"/>
          <w:lang w:val="zh-CN"/>
        </w:rPr>
        <w:t>要求</w:t>
      </w:r>
      <w:r>
        <w:rPr>
          <w:rFonts w:ascii="Times New Roman" w:hAnsi="Times New Roman" w:cs="Times New Roman" w:eastAsiaTheme="minorEastAsia"/>
          <w:spacing w:val="0"/>
          <w:szCs w:val="28"/>
          <w:lang w:val="zh-CN"/>
        </w:rPr>
        <w:t>。</w:t>
      </w:r>
    </w:p>
    <w:bookmarkEnd w:id="71"/>
    <w:bookmarkEnd w:id="72"/>
    <w:p>
      <w:pPr>
        <w:pStyle w:val="5"/>
        <w:rPr>
          <w:rFonts w:ascii="Times New Roman"/>
        </w:rPr>
      </w:pPr>
      <w:r>
        <w:rPr>
          <w:rFonts w:hint="eastAsia" w:ascii="Times New Roman"/>
        </w:rPr>
        <w:t>《</w:t>
      </w:r>
      <w:r>
        <w:rPr>
          <w:rFonts w:hint="eastAsia"/>
          <w:szCs w:val="24"/>
        </w:rPr>
        <w:t>湖州市杨家埠及枢纽片区控制性详细规划</w:t>
      </w:r>
      <w:r>
        <w:rPr>
          <w:rFonts w:hint="eastAsia" w:ascii="Times New Roman"/>
        </w:rPr>
        <w:t>》</w:t>
      </w:r>
      <w:r>
        <w:rPr>
          <w:rFonts w:ascii="Times New Roman"/>
        </w:rPr>
        <w:t>符合性分析</w:t>
      </w:r>
    </w:p>
    <w:p>
      <w:pPr>
        <w:pStyle w:val="4"/>
        <w:spacing w:line="480" w:lineRule="exact"/>
        <w:ind w:firstLine="489"/>
        <w:rPr>
          <w:rFonts w:ascii="Times New Roman" w:hAnsi="Times New Roman" w:cs="Times New Roman" w:eastAsiaTheme="minorEastAsia"/>
          <w:spacing w:val="0"/>
        </w:rPr>
      </w:pPr>
      <w:r>
        <w:rPr>
          <w:rFonts w:ascii="Times New Roman" w:hAnsi="Times New Roman" w:cs="Times New Roman" w:eastAsiaTheme="minorEastAsia"/>
          <w:spacing w:val="0"/>
        </w:rPr>
        <w:t>本项目位于湖州市</w:t>
      </w:r>
      <w:r>
        <w:rPr>
          <w:rFonts w:hint="eastAsia" w:ascii="Times New Roman" w:hAnsi="Times New Roman" w:cs="Times New Roman" w:eastAsiaTheme="minorEastAsia"/>
          <w:spacing w:val="0"/>
        </w:rPr>
        <w:t>经济技术开发区杨家埠霅水桥路618号</w:t>
      </w:r>
      <w:r>
        <w:rPr>
          <w:rFonts w:ascii="Times New Roman" w:hAnsi="Times New Roman" w:cs="Times New Roman" w:eastAsiaTheme="minorEastAsia"/>
          <w:spacing w:val="0"/>
        </w:rPr>
        <w:t>，</w:t>
      </w:r>
      <w:r>
        <w:rPr>
          <w:rFonts w:hint="eastAsia" w:ascii="Times New Roman" w:hAnsi="Times New Roman" w:cs="Times New Roman" w:eastAsiaTheme="minorEastAsia"/>
          <w:spacing w:val="0"/>
        </w:rPr>
        <w:t>根据杨家埠片区规划区用地布局规划图</w:t>
      </w:r>
      <w:r>
        <w:rPr>
          <w:rFonts w:ascii="Times New Roman" w:hAnsi="Times New Roman" w:cs="Times New Roman" w:eastAsiaTheme="minorEastAsia"/>
          <w:spacing w:val="0"/>
        </w:rPr>
        <w:t>，</w:t>
      </w:r>
      <w:r>
        <w:rPr>
          <w:rFonts w:hint="eastAsia" w:ascii="Times New Roman" w:hAnsi="Times New Roman" w:cs="Times New Roman" w:eastAsiaTheme="minorEastAsia"/>
          <w:spacing w:val="0"/>
        </w:rPr>
        <w:t>项目所在地</w:t>
      </w:r>
      <w:r>
        <w:rPr>
          <w:rFonts w:ascii="Times New Roman" w:hAnsi="Times New Roman" w:cs="Times New Roman" w:eastAsiaTheme="minorEastAsia"/>
          <w:spacing w:val="0"/>
        </w:rPr>
        <w:t>为工业用地。本项目</w:t>
      </w:r>
      <w:r>
        <w:rPr>
          <w:rFonts w:hint="eastAsia" w:ascii="Times New Roman" w:hAnsi="Times New Roman" w:cs="Times New Roman" w:eastAsiaTheme="minorEastAsia"/>
          <w:spacing w:val="0"/>
        </w:rPr>
        <w:t>核心工作是模铸改</w:t>
      </w:r>
      <w:r>
        <w:rPr>
          <w:rFonts w:ascii="Times New Roman" w:hAnsi="Times New Roman" w:cs="Times New Roman" w:eastAsiaTheme="minorEastAsia"/>
          <w:spacing w:val="0"/>
        </w:rPr>
        <w:t>连铸</w:t>
      </w:r>
      <w:r>
        <w:rPr>
          <w:rFonts w:hint="eastAsia" w:ascii="Times New Roman" w:hAnsi="Times New Roman" w:cs="Times New Roman" w:eastAsiaTheme="minorEastAsia"/>
          <w:spacing w:val="0"/>
        </w:rPr>
        <w:t>工艺</w:t>
      </w:r>
      <w:r>
        <w:rPr>
          <w:rFonts w:ascii="Times New Roman" w:hAnsi="Times New Roman" w:cs="Times New Roman" w:eastAsiaTheme="minorEastAsia"/>
          <w:spacing w:val="0"/>
        </w:rPr>
        <w:t>，属于炼钢行业，根据建设单位提供的</w:t>
      </w:r>
      <w:r>
        <w:rPr>
          <w:rFonts w:hint="eastAsia" w:ascii="Times New Roman" w:hAnsi="Times New Roman" w:cs="Times New Roman" w:eastAsiaTheme="minorEastAsia"/>
          <w:spacing w:val="0"/>
        </w:rPr>
        <w:t>不动产权证书及土地证</w:t>
      </w:r>
      <w:r>
        <w:rPr>
          <w:rFonts w:ascii="Times New Roman" w:hAnsi="Times New Roman" w:cs="Times New Roman" w:eastAsiaTheme="minorEastAsia"/>
          <w:spacing w:val="0"/>
        </w:rPr>
        <w:t>，项目所在地为工业用地。因此本项目</w:t>
      </w:r>
      <w:r>
        <w:rPr>
          <w:rFonts w:hint="eastAsia" w:ascii="Times New Roman" w:hAnsi="Times New Roman" w:cs="Times New Roman" w:eastAsiaTheme="minorEastAsia"/>
          <w:spacing w:val="0"/>
        </w:rPr>
        <w:t>建设</w:t>
      </w:r>
      <w:r>
        <w:rPr>
          <w:rFonts w:ascii="Times New Roman" w:hAnsi="Times New Roman" w:cs="Times New Roman" w:eastAsiaTheme="minorEastAsia"/>
          <w:spacing w:val="0"/>
        </w:rPr>
        <w:t>符合</w:t>
      </w:r>
      <w:r>
        <w:rPr>
          <w:rFonts w:hint="eastAsia" w:ascii="Times New Roman"/>
          <w:spacing w:val="0"/>
        </w:rPr>
        <w:t>《</w:t>
      </w:r>
      <w:r>
        <w:rPr>
          <w:rFonts w:hint="eastAsia"/>
          <w:spacing w:val="0"/>
          <w:szCs w:val="24"/>
        </w:rPr>
        <w:t>湖州市杨家埠及枢纽片区控制性详细规划</w:t>
      </w:r>
      <w:r>
        <w:rPr>
          <w:rFonts w:hint="eastAsia" w:ascii="Times New Roman"/>
          <w:spacing w:val="0"/>
        </w:rPr>
        <w:t>》</w:t>
      </w:r>
      <w:r>
        <w:rPr>
          <w:rFonts w:ascii="Times New Roman" w:hAnsi="Times New Roman" w:cs="Times New Roman" w:eastAsiaTheme="minorEastAsia"/>
          <w:spacing w:val="0"/>
        </w:rPr>
        <w:t>。</w:t>
      </w:r>
    </w:p>
    <w:p>
      <w:pPr>
        <w:pStyle w:val="3"/>
        <w:rPr>
          <w:rFonts w:ascii="Times New Roman" w:hAnsi="Times New Roman"/>
        </w:rPr>
      </w:pPr>
      <w:bookmarkStart w:id="74" w:name="_Toc10637136"/>
      <w:r>
        <w:rPr>
          <w:rFonts w:hint="eastAsia" w:ascii="Times New Roman" w:hAnsi="Times New Roman"/>
          <w:lang w:eastAsia="zh-CN"/>
        </w:rPr>
        <w:t>区域规划环评</w:t>
      </w:r>
      <w:r>
        <w:rPr>
          <w:rFonts w:ascii="Times New Roman" w:hAnsi="Times New Roman"/>
        </w:rPr>
        <w:t>符合性分析</w:t>
      </w:r>
      <w:bookmarkEnd w:id="74"/>
    </w:p>
    <w:p>
      <w:pPr>
        <w:pStyle w:val="4"/>
        <w:spacing w:line="480" w:lineRule="exact"/>
        <w:rPr>
          <w:rFonts w:ascii="Times New Roman" w:hAnsi="Times New Roman" w:cs="Times New Roman"/>
          <w:spacing w:val="0"/>
        </w:rPr>
      </w:pPr>
      <w:r>
        <w:rPr>
          <w:rFonts w:hint="eastAsia" w:ascii="Times New Roman" w:hAnsi="Times New Roman" w:cs="Times New Roman"/>
          <w:spacing w:val="0"/>
        </w:rPr>
        <w:t>1、规划环评概况</w:t>
      </w:r>
    </w:p>
    <w:p>
      <w:pPr>
        <w:pStyle w:val="4"/>
        <w:spacing w:line="480" w:lineRule="exact"/>
        <w:rPr>
          <w:rFonts w:ascii="Times New Roman" w:hAnsi="Times New Roman" w:cs="Times New Roman"/>
          <w:spacing w:val="0"/>
        </w:rPr>
      </w:pPr>
      <w:r>
        <w:rPr>
          <w:rFonts w:ascii="Times New Roman" w:hAnsi="Times New Roman" w:cs="Times New Roman"/>
          <w:spacing w:val="0"/>
        </w:rPr>
        <w:t>浙江省环保厅已于2014年11月12日对湖州经济技术开发区管理委员会委托浙江省环境工程有限公司编制的《湖州南太湖产业集聚区(生物医药园区、杨家埠及枢纽片区、西南分区、凤凰分区)控制性详细规划环境影响报告书》召开了审查会，并经浙环函[2015]269号</w:t>
      </w:r>
      <w:r>
        <w:rPr>
          <w:rFonts w:hint="eastAsia" w:ascii="Times New Roman" w:hAnsi="Times New Roman" w:cs="Times New Roman"/>
          <w:spacing w:val="0"/>
        </w:rPr>
        <w:t>文</w:t>
      </w:r>
      <w:r>
        <w:rPr>
          <w:rFonts w:ascii="Times New Roman" w:hAnsi="Times New Roman" w:cs="Times New Roman"/>
          <w:spacing w:val="0"/>
        </w:rPr>
        <w:t>批复</w:t>
      </w:r>
      <w:r>
        <w:rPr>
          <w:rFonts w:hint="eastAsia" w:ascii="Times New Roman" w:hAnsi="Times New Roman" w:cs="Times New Roman"/>
          <w:spacing w:val="0"/>
        </w:rPr>
        <w:t>。</w:t>
      </w:r>
      <w:r>
        <w:rPr>
          <w:rFonts w:ascii="Times New Roman" w:hAnsi="Times New Roman" w:cs="Times New Roman"/>
          <w:spacing w:val="0"/>
        </w:rPr>
        <w:t>2017年12月又按环环评</w:t>
      </w:r>
      <w:r>
        <w:rPr>
          <w:rFonts w:hint="eastAsia" w:ascii="Times New Roman" w:hAnsi="Times New Roman" w:cs="Times New Roman"/>
          <w:spacing w:val="0"/>
        </w:rPr>
        <w:t>[</w:t>
      </w:r>
      <w:r>
        <w:rPr>
          <w:rFonts w:ascii="Times New Roman" w:hAnsi="Times New Roman" w:cs="Times New Roman"/>
          <w:spacing w:val="0"/>
        </w:rPr>
        <w:t>2016</w:t>
      </w:r>
      <w:r>
        <w:rPr>
          <w:rFonts w:hint="eastAsia" w:ascii="Times New Roman" w:hAnsi="Times New Roman" w:cs="Times New Roman"/>
          <w:spacing w:val="0"/>
        </w:rPr>
        <w:t>]</w:t>
      </w:r>
      <w:r>
        <w:rPr>
          <w:rFonts w:ascii="Times New Roman" w:hAnsi="Times New Roman" w:cs="Times New Roman"/>
          <w:spacing w:val="0"/>
        </w:rPr>
        <w:t>150号、浙政办发</w:t>
      </w:r>
      <w:r>
        <w:rPr>
          <w:rFonts w:hint="eastAsia" w:ascii="Times New Roman" w:hAnsi="Times New Roman" w:cs="Times New Roman"/>
          <w:spacing w:val="0"/>
        </w:rPr>
        <w:t>[</w:t>
      </w:r>
      <w:r>
        <w:rPr>
          <w:rFonts w:ascii="Times New Roman" w:hAnsi="Times New Roman" w:cs="Times New Roman"/>
          <w:spacing w:val="0"/>
        </w:rPr>
        <w:t>2017</w:t>
      </w:r>
      <w:r>
        <w:rPr>
          <w:rFonts w:hint="eastAsia" w:ascii="Times New Roman" w:hAnsi="Times New Roman" w:cs="Times New Roman"/>
          <w:spacing w:val="0"/>
        </w:rPr>
        <w:t>]</w:t>
      </w:r>
      <w:r>
        <w:rPr>
          <w:rFonts w:ascii="Times New Roman" w:hAnsi="Times New Roman" w:cs="Times New Roman"/>
          <w:spacing w:val="0"/>
        </w:rPr>
        <w:t>57号和浙环发[2017]37号等文件要求进一步细化编制了《规划环评结论清单》</w:t>
      </w:r>
      <w:r>
        <w:rPr>
          <w:rFonts w:hint="eastAsia" w:ascii="Times New Roman" w:hAnsi="Times New Roman" w:cs="Times New Roman"/>
          <w:spacing w:val="0"/>
        </w:rPr>
        <w:t>。随后在2018年1月发布了《湖州南太湖产业集聚区湖州经济技术开发区(</w:t>
      </w:r>
      <w:r>
        <w:rPr>
          <w:rFonts w:ascii="Times New Roman" w:hAnsi="Times New Roman" w:cs="Times New Roman"/>
          <w:spacing w:val="0"/>
        </w:rPr>
        <w:t>生物医药园区、杨家埠</w:t>
      </w:r>
      <w:r>
        <w:rPr>
          <w:rFonts w:hint="eastAsia" w:ascii="Times New Roman" w:hAnsi="Times New Roman" w:cs="Times New Roman"/>
          <w:spacing w:val="0"/>
        </w:rPr>
        <w:t>片区、</w:t>
      </w:r>
      <w:r>
        <w:rPr>
          <w:rFonts w:ascii="Times New Roman" w:hAnsi="Times New Roman" w:cs="Times New Roman"/>
          <w:spacing w:val="0"/>
        </w:rPr>
        <w:t>枢纽片区、西南分区、凤凰分区、康山北单元</w:t>
      </w:r>
      <w:r>
        <w:rPr>
          <w:rFonts w:hint="eastAsia" w:ascii="Times New Roman" w:hAnsi="Times New Roman" w:cs="Times New Roman"/>
          <w:spacing w:val="0"/>
        </w:rPr>
        <w:t>)</w:t>
      </w:r>
      <w:r>
        <w:rPr>
          <w:rFonts w:cs="Times New Roman" w:asciiTheme="minorEastAsia" w:hAnsiTheme="minorEastAsia" w:eastAsiaTheme="minorEastAsia"/>
          <w:spacing w:val="0"/>
        </w:rPr>
        <w:t xml:space="preserve"> “</w:t>
      </w:r>
      <w:r>
        <w:rPr>
          <w:rFonts w:ascii="Times New Roman" w:hAnsi="Times New Roman" w:cs="Times New Roman"/>
          <w:spacing w:val="0"/>
        </w:rPr>
        <w:t>区域环评+环境标准</w:t>
      </w:r>
      <w:r>
        <w:rPr>
          <w:rFonts w:cs="Times New Roman" w:asciiTheme="minorEastAsia" w:hAnsiTheme="minorEastAsia" w:eastAsiaTheme="minorEastAsia"/>
          <w:spacing w:val="0"/>
        </w:rPr>
        <w:t>”</w:t>
      </w:r>
      <w:r>
        <w:rPr>
          <w:rFonts w:ascii="Times New Roman" w:hAnsi="Times New Roman" w:cs="Times New Roman"/>
          <w:spacing w:val="0"/>
        </w:rPr>
        <w:t>改革实施方案</w:t>
      </w:r>
      <w:r>
        <w:rPr>
          <w:rFonts w:hint="eastAsia" w:ascii="Times New Roman" w:hAnsi="Times New Roman" w:cs="Times New Roman"/>
          <w:spacing w:val="0"/>
        </w:rPr>
        <w:t>》，由于项目为炼钢行业，精炼温度达到</w:t>
      </w:r>
      <w:r>
        <w:rPr>
          <w:rFonts w:ascii="Times New Roman" w:hAnsi="Times New Roman" w:cs="Times New Roman"/>
          <w:spacing w:val="0"/>
        </w:rPr>
        <w:t>1500</w:t>
      </w:r>
      <w:r>
        <w:rPr>
          <w:rFonts w:hint="eastAsia" w:ascii="Times New Roman" w:hAnsi="Times New Roman" w:cs="Times New Roman"/>
          <w:spacing w:val="0"/>
        </w:rPr>
        <w:t>℃以上，属于涉及危险工艺过程中的</w:t>
      </w:r>
      <w:r>
        <w:rPr>
          <w:rFonts w:ascii="Times New Roman" w:hAnsi="Times New Roman" w:cs="Times New Roman"/>
          <w:spacing w:val="0"/>
        </w:rPr>
        <w:t>其他高温或高压、涉及易燃易爆等物质的工艺过程（高温指工艺温度≥300℃，高压指压力容器的设计压力（p）≥10.0MPa</w:t>
      </w:r>
      <w:r>
        <w:rPr>
          <w:rFonts w:hint="eastAsia" w:ascii="Times New Roman" w:hAnsi="Times New Roman" w:cs="Times New Roman"/>
          <w:spacing w:val="0"/>
        </w:rPr>
        <w:t>)的项目，属于环评审批负面清单内的项目，</w:t>
      </w:r>
      <w:r>
        <w:rPr>
          <w:rFonts w:ascii="Times New Roman" w:hAnsi="Times New Roman" w:cs="Times New Roman"/>
          <w:spacing w:val="0"/>
        </w:rPr>
        <w:t>依法实行环评审批，不得降低环评等级。</w:t>
      </w:r>
    </w:p>
    <w:p>
      <w:pPr>
        <w:pStyle w:val="4"/>
        <w:spacing w:line="480" w:lineRule="exact"/>
        <w:rPr>
          <w:rFonts w:ascii="Times New Roman" w:hAnsi="Times New Roman" w:cs="Times New Roman"/>
          <w:spacing w:val="0"/>
        </w:rPr>
      </w:pPr>
      <w:r>
        <w:rPr>
          <w:rFonts w:ascii="Times New Roman" w:hAnsi="Times New Roman" w:cs="Times New Roman"/>
          <w:spacing w:val="0"/>
        </w:rPr>
        <w:t>2、规划环评符合性分析</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本项目位于经济技术开发区杨家埠霅水桥路618号，属于杨家埠片区，该片区的产业定位为“节能环保、装备制造、新能源、新材料、汽配机电、电子信息、现代轻工及现代服务业”。本项目为炼钢，产品为模铸钢锭及连铸坯，属于特种钢材料制造业，与该片区的产业定位一致。</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根据《</w:t>
      </w:r>
      <w:r>
        <w:rPr>
          <w:rFonts w:ascii="Times New Roman" w:hAnsi="Times New Roman" w:cs="Times New Roman"/>
          <w:spacing w:val="0"/>
        </w:rPr>
        <w:t>湖州南太湖产业集聚区(生物医药园区、杨家埠及枢纽片区、西南分区、凤凰分区)控制性详细规划环境影响报告书》</w:t>
      </w:r>
      <w:r>
        <w:rPr>
          <w:rFonts w:hint="eastAsia" w:ascii="Times New Roman" w:hAnsi="Times New Roman" w:cs="Times New Roman"/>
          <w:spacing w:val="0"/>
        </w:rPr>
        <w:t>、</w:t>
      </w:r>
      <w:r>
        <w:rPr>
          <w:rFonts w:ascii="Times New Roman" w:hAnsi="Times New Roman" w:cs="Times New Roman"/>
          <w:spacing w:val="0"/>
        </w:rPr>
        <w:t>《规划环评结论清单》</w:t>
      </w:r>
      <w:r>
        <w:rPr>
          <w:rFonts w:hint="eastAsia" w:ascii="Times New Roman" w:hAnsi="Times New Roman" w:cs="Times New Roman"/>
          <w:spacing w:val="0"/>
        </w:rPr>
        <w:t>中的生态空间清单、</w:t>
      </w:r>
      <w:r>
        <w:rPr>
          <w:rFonts w:hint="eastAsia" w:ascii="Times New Roman" w:hAnsi="Times New Roman"/>
          <w:spacing w:val="0"/>
        </w:rPr>
        <w:t>区块现状存在问题及整改建议清单、</w:t>
      </w:r>
      <w:r>
        <w:rPr>
          <w:rFonts w:ascii="Times New Roman" w:hAnsi="Times New Roman" w:cs="Times New Roman"/>
          <w:spacing w:val="0"/>
        </w:rPr>
        <w:t>污染物排放总量管控限值</w:t>
      </w:r>
      <w:r>
        <w:rPr>
          <w:rFonts w:hint="eastAsia" w:ascii="Times New Roman" w:hAnsi="Times New Roman" w:cs="Times New Roman"/>
          <w:spacing w:val="0"/>
        </w:rPr>
        <w:t>清单、区块规划调整建议清单、区块环境准入条件清单、环境标准清单，</w:t>
      </w:r>
      <w:r>
        <w:rPr>
          <w:rFonts w:ascii="Times New Roman" w:hAnsi="Times New Roman" w:cs="Times New Roman"/>
          <w:spacing w:val="0"/>
        </w:rPr>
        <w:t>经</w:t>
      </w:r>
      <w:r>
        <w:rPr>
          <w:rFonts w:hint="eastAsia" w:ascii="Times New Roman" w:hAnsi="Times New Roman" w:cs="Times New Roman"/>
          <w:spacing w:val="0"/>
        </w:rPr>
        <w:t>对照</w:t>
      </w:r>
      <w:r>
        <w:rPr>
          <w:rFonts w:ascii="Times New Roman" w:hAnsi="Times New Roman" w:cs="Times New Roman"/>
          <w:spacing w:val="0"/>
        </w:rPr>
        <w:t>分析，项目建设符合六张清单及规划环评要求</w:t>
      </w:r>
      <w:r>
        <w:rPr>
          <w:rFonts w:hint="eastAsia" w:ascii="Times New Roman" w:hAnsi="Times New Roman" w:cs="Times New Roman"/>
          <w:spacing w:val="0"/>
        </w:rPr>
        <w:t>。</w:t>
      </w:r>
    </w:p>
    <w:p>
      <w:pPr>
        <w:pStyle w:val="3"/>
        <w:rPr>
          <w:rFonts w:ascii="Times New Roman" w:hAnsi="Times New Roman"/>
        </w:rPr>
      </w:pPr>
      <w:bookmarkStart w:id="75" w:name="_Toc10637137"/>
      <w:r>
        <w:rPr>
          <w:rFonts w:ascii="Times New Roman" w:hAnsi="Times New Roman"/>
        </w:rPr>
        <w:t>《太湖流域管理条例》符合性分析</w:t>
      </w:r>
      <w:bookmarkEnd w:id="75"/>
    </w:p>
    <w:p>
      <w:pPr>
        <w:pStyle w:val="4"/>
        <w:spacing w:line="480" w:lineRule="exact"/>
        <w:ind w:firstLine="489"/>
        <w:rPr>
          <w:rFonts w:ascii="Times New Roman" w:hAnsi="Times New Roman" w:cs="Times New Roman"/>
          <w:spacing w:val="0"/>
          <w:szCs w:val="24"/>
        </w:rPr>
      </w:pPr>
      <w:r>
        <w:rPr>
          <w:rFonts w:ascii="Times New Roman" w:hAnsi="Times New Roman" w:cs="Times New Roman"/>
          <w:spacing w:val="0"/>
          <w:szCs w:val="24"/>
        </w:rPr>
        <w:t>本项目距离太湖约10公里，根据《浙江省水功能区、水环境功能区划分方案》，项目周边</w:t>
      </w:r>
      <w:r>
        <w:rPr>
          <w:rFonts w:hint="eastAsia" w:ascii="Times New Roman" w:hAnsi="Times New Roman" w:cs="Times New Roman"/>
          <w:spacing w:val="0"/>
          <w:szCs w:val="24"/>
        </w:rPr>
        <w:t>1</w:t>
      </w:r>
      <w:r>
        <w:rPr>
          <w:rFonts w:ascii="Times New Roman" w:hAnsi="Times New Roman" w:cs="Times New Roman"/>
          <w:spacing w:val="0"/>
          <w:szCs w:val="24"/>
        </w:rPr>
        <w:t>000m范围内不存在水源保护区，所在区域主要河流为吕山港，</w:t>
      </w:r>
      <w:r>
        <w:rPr>
          <w:rFonts w:hint="eastAsia" w:ascii="Times New Roman" w:hAnsi="Times New Roman" w:cs="Times New Roman"/>
          <w:spacing w:val="0"/>
          <w:szCs w:val="24"/>
        </w:rPr>
        <w:t>项目</w:t>
      </w:r>
      <w:r>
        <w:rPr>
          <w:rFonts w:ascii="Times New Roman" w:hAnsi="Times New Roman" w:cs="Times New Roman"/>
          <w:spacing w:val="0"/>
          <w:szCs w:val="24"/>
        </w:rPr>
        <w:t>距离</w:t>
      </w:r>
      <w:r>
        <w:rPr>
          <w:rFonts w:hint="eastAsia" w:ascii="Times New Roman" w:hAnsi="Times New Roman" w:cs="Times New Roman"/>
          <w:spacing w:val="0"/>
          <w:szCs w:val="24"/>
        </w:rPr>
        <w:t>南侧的</w:t>
      </w:r>
      <w:r>
        <w:rPr>
          <w:rFonts w:ascii="Times New Roman" w:hAnsi="Times New Roman" w:cs="Times New Roman"/>
          <w:spacing w:val="0"/>
          <w:szCs w:val="24"/>
        </w:rPr>
        <w:t>吕山港</w:t>
      </w:r>
      <w:r>
        <w:rPr>
          <w:rFonts w:hint="eastAsia" w:ascii="Times New Roman" w:hAnsi="Times New Roman" w:cs="Times New Roman"/>
          <w:spacing w:val="0"/>
          <w:szCs w:val="24"/>
        </w:rPr>
        <w:t>1250</w:t>
      </w:r>
      <w:r>
        <w:rPr>
          <w:rFonts w:ascii="Times New Roman" w:hAnsi="Times New Roman" w:cs="Times New Roman"/>
          <w:spacing w:val="0"/>
          <w:szCs w:val="24"/>
        </w:rPr>
        <w:t>m，距离</w:t>
      </w:r>
      <w:r>
        <w:rPr>
          <w:rFonts w:hint="eastAsia" w:ascii="Times New Roman" w:hAnsi="Times New Roman" w:cs="Times New Roman"/>
          <w:spacing w:val="0"/>
          <w:szCs w:val="24"/>
        </w:rPr>
        <w:t>东南侧</w:t>
      </w:r>
      <w:r>
        <w:rPr>
          <w:rFonts w:ascii="Times New Roman" w:hAnsi="Times New Roman" w:cs="Times New Roman"/>
          <w:spacing w:val="0"/>
          <w:szCs w:val="24"/>
        </w:rPr>
        <w:t>旄儿港10</w:t>
      </w:r>
      <w:r>
        <w:rPr>
          <w:rFonts w:hint="eastAsia" w:ascii="Times New Roman" w:hAnsi="Times New Roman" w:cs="Times New Roman"/>
          <w:spacing w:val="0"/>
          <w:szCs w:val="24"/>
        </w:rPr>
        <w:t>43</w:t>
      </w:r>
      <w:r>
        <w:rPr>
          <w:rFonts w:ascii="Times New Roman" w:hAnsi="Times New Roman" w:cs="Times New Roman"/>
          <w:spacing w:val="0"/>
          <w:szCs w:val="24"/>
        </w:rPr>
        <w:t>m</w:t>
      </w:r>
      <w:r>
        <w:rPr>
          <w:rFonts w:hint="eastAsia" w:ascii="Times New Roman" w:hAnsi="Times New Roman" w:cs="Times New Roman"/>
          <w:spacing w:val="0"/>
          <w:szCs w:val="24"/>
        </w:rPr>
        <w:t>、距离</w:t>
      </w:r>
      <w:r>
        <w:rPr>
          <w:rFonts w:ascii="Times New Roman" w:hAnsi="Times New Roman" w:cs="Times New Roman"/>
          <w:spacing w:val="0"/>
          <w:szCs w:val="24"/>
        </w:rPr>
        <w:t>东南侧</w:t>
      </w:r>
      <w:r>
        <w:rPr>
          <w:rFonts w:hint="eastAsia" w:ascii="Times New Roman" w:hAnsi="Times New Roman"/>
          <w:bCs/>
          <w:spacing w:val="0"/>
        </w:rPr>
        <w:t>西苕溪1250m</w:t>
      </w:r>
      <w:r>
        <w:rPr>
          <w:rFonts w:ascii="Times New Roman" w:hAnsi="Times New Roman" w:cs="Times New Roman"/>
          <w:spacing w:val="0"/>
          <w:szCs w:val="24"/>
        </w:rPr>
        <w:t>。《太湖流域管理条例》所称主要入太湖河道控制断面，包括望虞河、大溪港、梁溪河、直湖港、武进港、太滆运河、漕桥河、殷村港、社渎港、官渎港、洪巷港、陈东港、大浦港、乌溪港、大港河、夹浦港、合溪新港、长兴港、杨家浦港、旄儿港、苕溪、大钱港的入太湖控制断面，因此本项目所在地附近吕山港不属于主要入太湖控制断面。</w:t>
      </w:r>
    </w:p>
    <w:p>
      <w:pPr>
        <w:pStyle w:val="4"/>
        <w:spacing w:line="480" w:lineRule="exact"/>
        <w:ind w:firstLine="489"/>
        <w:rPr>
          <w:rFonts w:ascii="Times New Roman" w:hAnsi="Times New Roman" w:cs="Times New Roman"/>
          <w:spacing w:val="0"/>
          <w:szCs w:val="24"/>
        </w:rPr>
      </w:pPr>
      <w:r>
        <w:rPr>
          <w:rFonts w:ascii="Times New Roman" w:hAnsi="Times New Roman" w:cs="Times New Roman"/>
          <w:spacing w:val="0"/>
          <w:szCs w:val="24"/>
        </w:rPr>
        <w:t>本项目</w:t>
      </w:r>
      <w:r>
        <w:rPr>
          <w:rFonts w:hint="eastAsia" w:ascii="Times New Roman" w:hAnsi="Times New Roman" w:cs="Times New Roman"/>
          <w:spacing w:val="0"/>
          <w:szCs w:val="24"/>
        </w:rPr>
        <w:t>属于炼钢行业</w:t>
      </w:r>
      <w:r>
        <w:rPr>
          <w:rFonts w:ascii="Times New Roman" w:hAnsi="Times New Roman" w:cs="Times New Roman"/>
          <w:spacing w:val="0"/>
          <w:szCs w:val="24"/>
        </w:rPr>
        <w:t>，项目</w:t>
      </w:r>
      <w:r>
        <w:rPr>
          <w:rFonts w:hint="eastAsia" w:ascii="Times New Roman" w:hAnsi="Times New Roman" w:cs="Times New Roman"/>
          <w:spacing w:val="0"/>
          <w:szCs w:val="24"/>
        </w:rPr>
        <w:t>净环水排放水作为浊环水的补充水，浊环水经去氧化铁皮+隔油+沉淀+过滤后</w:t>
      </w:r>
      <w:r>
        <w:rPr>
          <w:rFonts w:ascii="Times New Roman" w:hAnsi="Times New Roman" w:cs="Times New Roman"/>
          <w:spacing w:val="0"/>
          <w:szCs w:val="24"/>
        </w:rPr>
        <w:t>循环使用不排放</w:t>
      </w:r>
      <w:r>
        <w:rPr>
          <w:rFonts w:hint="eastAsia" w:ascii="Times New Roman" w:hAnsi="Times New Roman" w:cs="Times New Roman"/>
          <w:spacing w:val="0"/>
          <w:szCs w:val="24"/>
        </w:rPr>
        <w:t>；</w:t>
      </w:r>
      <w:r>
        <w:rPr>
          <w:rFonts w:ascii="Times New Roman" w:hAnsi="Times New Roman" w:cs="Times New Roman"/>
          <w:spacing w:val="0"/>
          <w:szCs w:val="24"/>
        </w:rPr>
        <w:t>企业</w:t>
      </w:r>
      <w:r>
        <w:rPr>
          <w:rFonts w:hint="eastAsia" w:ascii="Times New Roman" w:hAnsi="Times New Roman" w:cs="Times New Roman"/>
          <w:spacing w:val="0"/>
          <w:szCs w:val="24"/>
        </w:rPr>
        <w:t>现状废水</w:t>
      </w:r>
      <w:r>
        <w:rPr>
          <w:rFonts w:ascii="Times New Roman" w:hAnsi="Times New Roman" w:cs="Times New Roman"/>
          <w:spacing w:val="0"/>
          <w:szCs w:val="24"/>
        </w:rPr>
        <w:t>经预处理后排入</w:t>
      </w:r>
      <w:r>
        <w:rPr>
          <w:rFonts w:hint="eastAsia" w:ascii="Times New Roman" w:hAnsi="Times New Roman" w:cs="Times New Roman"/>
          <w:spacing w:val="0"/>
          <w:szCs w:val="24"/>
        </w:rPr>
        <w:t>市政截污</w:t>
      </w:r>
      <w:r>
        <w:rPr>
          <w:rFonts w:ascii="Times New Roman" w:hAnsi="Times New Roman" w:cs="Times New Roman"/>
          <w:spacing w:val="0"/>
          <w:szCs w:val="24"/>
        </w:rPr>
        <w:t>管网，送凤凰污水处理厂处理后排放。综合分析，项目</w:t>
      </w:r>
      <w:r>
        <w:rPr>
          <w:rFonts w:hint="eastAsia" w:ascii="Times New Roman" w:hAnsi="Times New Roman" w:cs="Times New Roman"/>
          <w:spacing w:val="0"/>
          <w:szCs w:val="24"/>
        </w:rPr>
        <w:t>建设</w:t>
      </w:r>
      <w:r>
        <w:rPr>
          <w:rFonts w:ascii="Times New Roman" w:hAnsi="Times New Roman" w:cs="Times New Roman"/>
          <w:spacing w:val="0"/>
          <w:szCs w:val="24"/>
        </w:rPr>
        <w:t>满足《太湖流域管理条例》的相关要求。</w:t>
      </w:r>
    </w:p>
    <w:p>
      <w:pPr>
        <w:pStyle w:val="3"/>
        <w:rPr>
          <w:rFonts w:ascii="Times New Roman" w:hAnsi="Times New Roman"/>
        </w:rPr>
      </w:pPr>
      <w:bookmarkStart w:id="76" w:name="_Toc10637138"/>
      <w:r>
        <w:rPr>
          <w:rFonts w:ascii="Times New Roman" w:hAnsi="Times New Roman"/>
        </w:rPr>
        <w:t>《</w:t>
      </w:r>
      <w:r>
        <w:rPr>
          <w:rFonts w:hint="eastAsia" w:ascii="Times New Roman" w:hAnsi="Times New Roman"/>
          <w:lang w:eastAsia="zh-CN"/>
        </w:rPr>
        <w:t>湖州</w:t>
      </w:r>
      <w:r>
        <w:rPr>
          <w:rFonts w:ascii="Times New Roman" w:hAnsi="Times New Roman"/>
        </w:rPr>
        <w:t>市</w:t>
      </w:r>
      <w:r>
        <w:rPr>
          <w:rFonts w:hint="eastAsia" w:ascii="Times New Roman" w:hAnsi="Times New Roman"/>
          <w:lang w:eastAsia="zh-CN"/>
        </w:rPr>
        <w:t>区</w:t>
      </w:r>
      <w:r>
        <w:rPr>
          <w:rFonts w:ascii="Times New Roman" w:hAnsi="Times New Roman"/>
        </w:rPr>
        <w:t>环境功能区划》及符合性分析</w:t>
      </w:r>
      <w:bookmarkEnd w:id="76"/>
    </w:p>
    <w:p>
      <w:pPr>
        <w:pStyle w:val="5"/>
        <w:numPr>
          <w:ilvl w:val="2"/>
          <w:numId w:val="24"/>
        </w:numPr>
        <w:spacing w:line="360" w:lineRule="exact"/>
        <w:rPr>
          <w:rFonts w:ascii="Times New Roman"/>
        </w:rPr>
      </w:pPr>
      <w:r>
        <w:rPr>
          <w:rFonts w:ascii="Times New Roman"/>
        </w:rPr>
        <w:t>《</w:t>
      </w:r>
      <w:r>
        <w:rPr>
          <w:rFonts w:hint="eastAsia" w:ascii="Times New Roman"/>
          <w:lang w:eastAsia="zh-CN"/>
        </w:rPr>
        <w:t>湖州市区环境功能区划</w:t>
      </w:r>
      <w:r>
        <w:rPr>
          <w:rFonts w:ascii="Times New Roman"/>
        </w:rPr>
        <w:t>》概况</w:t>
      </w:r>
    </w:p>
    <w:p>
      <w:pPr>
        <w:pStyle w:val="835"/>
        <w:spacing w:before="0" w:line="480" w:lineRule="exact"/>
        <w:ind w:firstLine="486"/>
        <w:rPr>
          <w:rFonts w:ascii="Times New Roman" w:hAnsi="Times New Roman"/>
          <w:bCs/>
        </w:rPr>
      </w:pPr>
      <w:r>
        <w:rPr>
          <w:rFonts w:ascii="Times New Roman" w:hAnsi="Times New Roman"/>
          <w:bCs/>
        </w:rPr>
        <w:t>根据《湖州市</w:t>
      </w:r>
      <w:r>
        <w:rPr>
          <w:rFonts w:hint="eastAsia" w:ascii="Times New Roman" w:hAnsi="Times New Roman"/>
          <w:bCs/>
        </w:rPr>
        <w:t>区</w:t>
      </w:r>
      <w:r>
        <w:rPr>
          <w:rFonts w:ascii="Times New Roman" w:hAnsi="Times New Roman"/>
          <w:bCs/>
        </w:rPr>
        <w:t>环境功能区划》，项目所在区块属于“</w:t>
      </w:r>
      <w:r>
        <w:rPr>
          <w:rFonts w:hint="eastAsia" w:ascii="Times New Roman" w:hAnsi="Times New Roman"/>
          <w:bCs/>
        </w:rPr>
        <w:t>国家开发区环境重点</w:t>
      </w:r>
      <w:r>
        <w:rPr>
          <w:rFonts w:ascii="Times New Roman" w:hAnsi="Times New Roman"/>
          <w:bCs/>
        </w:rPr>
        <w:t>准入区(050</w:t>
      </w:r>
      <w:r>
        <w:rPr>
          <w:rFonts w:hint="eastAsia" w:ascii="Times New Roman" w:hAnsi="Times New Roman"/>
          <w:bCs/>
        </w:rPr>
        <w:t>2</w:t>
      </w:r>
      <w:r>
        <w:rPr>
          <w:rFonts w:ascii="Times New Roman" w:hAnsi="Times New Roman"/>
          <w:bCs/>
        </w:rPr>
        <w:t>-</w:t>
      </w:r>
      <w:r>
        <w:rPr>
          <w:rFonts w:hint="eastAsia" w:ascii="宋体" w:hAnsi="宋体"/>
          <w:bCs/>
        </w:rPr>
        <w:t>Ⅵ</w:t>
      </w:r>
      <w:r>
        <w:rPr>
          <w:rFonts w:ascii="Times New Roman" w:hAnsi="Times New Roman"/>
          <w:bCs/>
        </w:rPr>
        <w:t>-0-</w:t>
      </w:r>
      <w:r>
        <w:rPr>
          <w:rFonts w:hint="eastAsia" w:ascii="Times New Roman" w:hAnsi="Times New Roman"/>
          <w:bCs/>
        </w:rPr>
        <w:t>1</w:t>
      </w:r>
      <w:r>
        <w:rPr>
          <w:rFonts w:ascii="Times New Roman" w:hAnsi="Times New Roman"/>
          <w:bCs/>
        </w:rPr>
        <w:t>)”。</w:t>
      </w:r>
    </w:p>
    <w:p>
      <w:pPr>
        <w:pStyle w:val="835"/>
        <w:spacing w:before="0" w:line="480" w:lineRule="exact"/>
        <w:ind w:firstLine="486"/>
        <w:rPr>
          <w:rFonts w:ascii="Times New Roman" w:hAnsi="Times New Roman"/>
          <w:bCs/>
        </w:rPr>
      </w:pPr>
      <w:r>
        <w:rPr>
          <w:rFonts w:ascii="Times New Roman" w:hAnsi="Times New Roman"/>
          <w:bCs/>
        </w:rPr>
        <w:t>1．基本特征</w:t>
      </w:r>
    </w:p>
    <w:p>
      <w:pPr>
        <w:pStyle w:val="835"/>
        <w:spacing w:before="0" w:line="480" w:lineRule="exact"/>
        <w:ind w:firstLine="486"/>
        <w:rPr>
          <w:rFonts w:ascii="Times New Roman" w:hAnsi="Times New Roman"/>
          <w:bCs/>
        </w:rPr>
      </w:pPr>
      <w:r>
        <w:rPr>
          <w:rFonts w:ascii="Times New Roman"/>
        </w:rPr>
        <w:t>湖州开发区大部分区域，分为杨家埠片区、南太湖生物医药园、综合物流园、康山片区。其中杨家埠片区与南太湖生物医药园相邻，</w:t>
      </w:r>
      <w:r>
        <w:rPr>
          <w:rFonts w:ascii="Times New Roman" w:hAnsi="Times New Roman"/>
        </w:rPr>
        <w:t>104</w:t>
      </w:r>
      <w:r>
        <w:rPr>
          <w:rFonts w:ascii="Times New Roman"/>
        </w:rPr>
        <w:t>国道为两区分界</w:t>
      </w:r>
      <w:r>
        <w:rPr>
          <w:rFonts w:hint="eastAsia" w:ascii="Times New Roman"/>
        </w:rPr>
        <w:t>。</w:t>
      </w:r>
      <w:r>
        <w:rPr>
          <w:rFonts w:ascii="Times New Roman"/>
        </w:rPr>
        <w:t>杨家埠片区南至旄儿港，西南边界为宣杭铁路，西北边界为新</w:t>
      </w:r>
      <w:r>
        <w:rPr>
          <w:rFonts w:ascii="Times New Roman" w:hAnsi="Times New Roman"/>
        </w:rPr>
        <w:t>104</w:t>
      </w:r>
      <w:r>
        <w:rPr>
          <w:rFonts w:ascii="Times New Roman"/>
        </w:rPr>
        <w:t>国道；南太湖生物医药园北至山体；综合物流园北至外环北路，南至西苕溪，西至三环东路，东至经九路；康山片区西以宣杭铁路为界，南以环妙西镇界为界，北部以康山山体为界，东部以长深高速和申嘉湖高速为界。总面积</w:t>
      </w:r>
      <w:r>
        <w:rPr>
          <w:rFonts w:ascii="Times New Roman" w:hAnsi="Times New Roman"/>
        </w:rPr>
        <w:t>28.63</w:t>
      </w:r>
      <w:r>
        <w:rPr>
          <w:rFonts w:ascii="Times New Roman"/>
        </w:rPr>
        <w:t>平方公里</w:t>
      </w:r>
      <w:r>
        <w:rPr>
          <w:rFonts w:ascii="Times New Roman" w:hAnsi="Times New Roman"/>
          <w:bCs/>
        </w:rPr>
        <w:t>。</w:t>
      </w:r>
    </w:p>
    <w:p>
      <w:pPr>
        <w:pStyle w:val="835"/>
        <w:spacing w:before="0" w:line="480" w:lineRule="exact"/>
        <w:ind w:firstLine="486"/>
        <w:rPr>
          <w:rFonts w:ascii="Times New Roman" w:hAnsi="Times New Roman"/>
          <w:bCs/>
        </w:rPr>
      </w:pPr>
      <w:r>
        <w:rPr>
          <w:rFonts w:ascii="Times New Roman" w:hAnsi="Times New Roman"/>
          <w:bCs/>
        </w:rPr>
        <w:t>2．主导功能与环境目标</w:t>
      </w:r>
    </w:p>
    <w:p>
      <w:pPr>
        <w:pStyle w:val="835"/>
        <w:spacing w:before="0" w:line="480" w:lineRule="exact"/>
        <w:ind w:firstLine="486"/>
        <w:rPr>
          <w:rFonts w:ascii="Times New Roman"/>
        </w:rPr>
      </w:pPr>
      <w:r>
        <w:rPr>
          <w:rFonts w:ascii="Times New Roman"/>
        </w:rPr>
        <w:t>主导功能为保障工业企业的正常生产，并维持区域环境质量的良好状态不受破坏。</w:t>
      </w:r>
    </w:p>
    <w:p>
      <w:pPr>
        <w:pStyle w:val="835"/>
        <w:spacing w:before="0" w:line="480" w:lineRule="exact"/>
        <w:ind w:firstLine="486"/>
        <w:rPr>
          <w:rFonts w:ascii="Times New Roman"/>
        </w:rPr>
      </w:pPr>
      <w:r>
        <w:rPr>
          <w:rFonts w:ascii="Times New Roman"/>
        </w:rPr>
        <w:t>环境质量目标：主要地表水水质不低于《地表水环境质量标准》</w:t>
      </w:r>
      <w:r>
        <w:rPr>
          <w:rFonts w:hint="eastAsia" w:ascii="Times New Roman"/>
        </w:rPr>
        <w:t>Ⅲ</w:t>
      </w:r>
      <w:r>
        <w:rPr>
          <w:rFonts w:ascii="Times New Roman"/>
        </w:rPr>
        <w:t>类标准，或达到地表水环境功能区的要求；</w:t>
      </w:r>
    </w:p>
    <w:p>
      <w:pPr>
        <w:pStyle w:val="835"/>
        <w:spacing w:before="0" w:line="480" w:lineRule="exact"/>
        <w:ind w:firstLine="486"/>
        <w:rPr>
          <w:rFonts w:ascii="Times New Roman"/>
        </w:rPr>
      </w:pPr>
      <w:r>
        <w:rPr>
          <w:rFonts w:ascii="Times New Roman"/>
        </w:rPr>
        <w:t>地下水达到《地下水质量标准》的相关要求；</w:t>
      </w:r>
    </w:p>
    <w:p>
      <w:pPr>
        <w:pStyle w:val="835"/>
        <w:spacing w:before="0" w:line="480" w:lineRule="exact"/>
        <w:ind w:firstLine="486"/>
        <w:rPr>
          <w:rFonts w:ascii="Times New Roman"/>
        </w:rPr>
      </w:pPr>
      <w:r>
        <w:rPr>
          <w:rFonts w:ascii="Times New Roman"/>
        </w:rPr>
        <w:t>环境空气质量不低于《环境空气质量标准》二级标准，或达到大气环境功能区的要求；</w:t>
      </w:r>
    </w:p>
    <w:p>
      <w:pPr>
        <w:pStyle w:val="835"/>
        <w:spacing w:before="0" w:line="480" w:lineRule="exact"/>
        <w:ind w:firstLine="486"/>
        <w:rPr>
          <w:rFonts w:ascii="Times New Roman"/>
        </w:rPr>
      </w:pPr>
      <w:r>
        <w:rPr>
          <w:rFonts w:ascii="Times New Roman"/>
        </w:rPr>
        <w:t>土壤环境质量达到《土壤环境质量标准》相关要求；</w:t>
      </w:r>
    </w:p>
    <w:p>
      <w:pPr>
        <w:pStyle w:val="835"/>
        <w:spacing w:before="0" w:line="480" w:lineRule="exact"/>
        <w:ind w:firstLine="486"/>
        <w:rPr>
          <w:rFonts w:ascii="Times New Roman"/>
        </w:rPr>
      </w:pPr>
      <w:r>
        <w:rPr>
          <w:rFonts w:ascii="Times New Roman"/>
        </w:rPr>
        <w:t>声环境质量达到《声环境质量标准》3类标准，或达到声环境功能区要求。</w:t>
      </w:r>
    </w:p>
    <w:p>
      <w:pPr>
        <w:pStyle w:val="835"/>
        <w:spacing w:before="0" w:line="480" w:lineRule="exact"/>
        <w:ind w:firstLine="486"/>
        <w:rPr>
          <w:rFonts w:ascii="Times New Roman"/>
        </w:rPr>
      </w:pPr>
      <w:r>
        <w:rPr>
          <w:rFonts w:ascii="Times New Roman"/>
        </w:rPr>
        <w:t>3．管控措施要求</w:t>
      </w:r>
    </w:p>
    <w:p>
      <w:pPr>
        <w:pStyle w:val="835"/>
        <w:spacing w:before="0" w:line="480" w:lineRule="exact"/>
        <w:ind w:firstLine="486"/>
        <w:rPr>
          <w:rFonts w:ascii="Times New Roman"/>
        </w:rPr>
      </w:pPr>
      <w:r>
        <w:rPr>
          <w:rFonts w:ascii="Times New Roman"/>
        </w:rPr>
        <w:t>除从小区周边迁入的三类企业之外，严格控制新建三类重污染企业数量和排污总量。所有三类企业污水必须纳管；</w:t>
      </w:r>
    </w:p>
    <w:p>
      <w:pPr>
        <w:pStyle w:val="835"/>
        <w:spacing w:before="0" w:line="480" w:lineRule="exact"/>
        <w:ind w:firstLine="486"/>
        <w:rPr>
          <w:rFonts w:ascii="Times New Roman"/>
        </w:rPr>
      </w:pPr>
      <w:r>
        <w:rPr>
          <w:rFonts w:ascii="Times New Roman"/>
        </w:rPr>
        <w:t>西苕溪岸线两侧各1000米范围内，禁止新建、扩建化工、医药生产及其他涉及危险化学品、重金属污染排放的项目；</w:t>
      </w:r>
    </w:p>
    <w:p>
      <w:pPr>
        <w:pStyle w:val="835"/>
        <w:spacing w:before="0" w:line="480" w:lineRule="exact"/>
        <w:ind w:firstLine="486"/>
        <w:rPr>
          <w:rFonts w:ascii="Times New Roman"/>
        </w:rPr>
      </w:pPr>
      <w:r>
        <w:rPr>
          <w:rFonts w:ascii="Times New Roman"/>
        </w:rPr>
        <w:t>调整和优化产业结构，严格控制重污染企业布局，逐步提高产业准入条件；</w:t>
      </w:r>
    </w:p>
    <w:p>
      <w:pPr>
        <w:pStyle w:val="835"/>
        <w:spacing w:before="0" w:line="480" w:lineRule="exact"/>
        <w:ind w:firstLine="486"/>
        <w:rPr>
          <w:rFonts w:ascii="Times New Roman"/>
        </w:rPr>
      </w:pPr>
      <w:r>
        <w:rPr>
          <w:rFonts w:ascii="Times New Roman"/>
        </w:rPr>
        <w:t>对于污染物超标排放或者污染物排放总量超过规定限额的污染严重企业，以及生产中使用或排放</w:t>
      </w:r>
      <w:r>
        <w:fldChar w:fldCharType="begin"/>
      </w:r>
      <w:r>
        <w:instrText xml:space="preserve"> HYPERLINK "http://zhidao.baidu.com/search?word=%E6%9C%89%E6%AF%92%E6%9C%89%E5%AE%B3%E7%89%A9%E8%B4%A8&amp;fr=qb_search_exp&amp;ie=utf8" \t "_blank" </w:instrText>
      </w:r>
      <w:r>
        <w:fldChar w:fldCharType="separate"/>
      </w:r>
      <w:r>
        <w:rPr>
          <w:rFonts w:ascii="Times New Roman"/>
        </w:rPr>
        <w:t>有毒有害物质</w:t>
      </w:r>
      <w:r>
        <w:rPr>
          <w:rFonts w:ascii="Times New Roman"/>
        </w:rPr>
        <w:fldChar w:fldCharType="end"/>
      </w:r>
      <w:r>
        <w:rPr>
          <w:rFonts w:ascii="Times New Roman"/>
        </w:rPr>
        <w:t>的企业必须进行清洁生产审核；</w:t>
      </w:r>
    </w:p>
    <w:p>
      <w:pPr>
        <w:pStyle w:val="835"/>
        <w:spacing w:before="0" w:line="480" w:lineRule="exact"/>
        <w:ind w:firstLine="486"/>
        <w:rPr>
          <w:rFonts w:ascii="Times New Roman"/>
        </w:rPr>
      </w:pPr>
      <w:r>
        <w:rPr>
          <w:rFonts w:ascii="Times New Roman"/>
        </w:rPr>
        <w:t>禁止新建、扩建规模化畜禽养殖项目；</w:t>
      </w:r>
    </w:p>
    <w:p>
      <w:pPr>
        <w:pStyle w:val="835"/>
        <w:spacing w:before="0" w:line="480" w:lineRule="exact"/>
        <w:ind w:firstLine="486"/>
        <w:rPr>
          <w:rFonts w:ascii="Times New Roman"/>
        </w:rPr>
      </w:pPr>
      <w:r>
        <w:rPr>
          <w:rFonts w:ascii="Times New Roman"/>
        </w:rPr>
        <w:t>禁止新建入河漾排污口，现有的排污口应限期纳管；</w:t>
      </w:r>
    </w:p>
    <w:p>
      <w:pPr>
        <w:pStyle w:val="835"/>
        <w:spacing w:before="0" w:line="480" w:lineRule="exact"/>
        <w:ind w:firstLine="486"/>
        <w:rPr>
          <w:rFonts w:ascii="Times New Roman"/>
        </w:rPr>
      </w:pPr>
      <w:r>
        <w:rPr>
          <w:rFonts w:ascii="Times New Roman"/>
        </w:rPr>
        <w:t>居住区和工业园、工业企业之间必须设置隔离带；</w:t>
      </w:r>
    </w:p>
    <w:p>
      <w:pPr>
        <w:pStyle w:val="835"/>
        <w:spacing w:before="0" w:line="480" w:lineRule="exact"/>
        <w:ind w:firstLine="486"/>
        <w:rPr>
          <w:rFonts w:ascii="Times New Roman"/>
        </w:rPr>
      </w:pPr>
      <w:r>
        <w:rPr>
          <w:rFonts w:ascii="Times New Roman"/>
        </w:rPr>
        <w:t>对于医药、化工等存在较多废气排放的重点企业须安装在线监测设备，控制废气排放总量。</w:t>
      </w:r>
    </w:p>
    <w:p>
      <w:pPr>
        <w:pStyle w:val="835"/>
        <w:spacing w:before="0" w:line="480" w:lineRule="exact"/>
        <w:ind w:firstLine="486"/>
        <w:rPr>
          <w:rFonts w:ascii="Times New Roman" w:hAnsi="Times New Roman"/>
          <w:bCs/>
        </w:rPr>
      </w:pPr>
      <w:r>
        <w:rPr>
          <w:rFonts w:ascii="Times New Roman" w:hAnsi="Times New Roman"/>
          <w:bCs/>
        </w:rPr>
        <w:t>4.负面清单</w:t>
      </w:r>
    </w:p>
    <w:p>
      <w:pPr>
        <w:pStyle w:val="4"/>
        <w:rPr>
          <w:rFonts w:ascii="Times New Roman" w:hAnsi="Times New Roman" w:cs="Times New Roman"/>
          <w:spacing w:val="0"/>
        </w:rPr>
      </w:pPr>
      <w:r>
        <w:rPr>
          <w:rFonts w:hint="eastAsia" w:ascii="Times New Roman"/>
          <w:spacing w:val="0"/>
        </w:rPr>
        <w:t>禁止新建废水排放量较大的以及不符合集聚区产业规划的三类工业项目，禁止扩建、改建有增加水污染物排放和水环境风险的三类工业项目。新建三类工业项目污染物排放水平需达到同行业国内先进水平</w:t>
      </w:r>
      <w:r>
        <w:rPr>
          <w:rFonts w:ascii="Times New Roman" w:hAnsi="Times New Roman" w:cs="Times New Roman"/>
          <w:spacing w:val="0"/>
        </w:rPr>
        <w:t>。</w:t>
      </w:r>
    </w:p>
    <w:p>
      <w:pPr>
        <w:pStyle w:val="5"/>
        <w:numPr>
          <w:ilvl w:val="2"/>
          <w:numId w:val="24"/>
        </w:numPr>
        <w:spacing w:line="360" w:lineRule="exact"/>
        <w:rPr>
          <w:rFonts w:ascii="Times New Roman"/>
        </w:rPr>
      </w:pPr>
      <w:r>
        <w:rPr>
          <w:rFonts w:ascii="Times New Roman"/>
        </w:rPr>
        <w:t>环境功能区划符合性分析</w:t>
      </w:r>
    </w:p>
    <w:p>
      <w:pPr>
        <w:pStyle w:val="835"/>
        <w:spacing w:before="0" w:line="480" w:lineRule="exact"/>
        <w:ind w:firstLine="486"/>
        <w:rPr>
          <w:rFonts w:ascii="Times New Roman" w:hAnsi="Times New Roman"/>
        </w:rPr>
      </w:pPr>
      <w:r>
        <w:rPr>
          <w:rFonts w:ascii="Times New Roman" w:hAnsi="Times New Roman"/>
        </w:rPr>
        <w:t>根据《</w:t>
      </w:r>
      <w:r>
        <w:rPr>
          <w:rFonts w:hint="eastAsia" w:ascii="Times New Roman" w:hAnsi="Times New Roman"/>
        </w:rPr>
        <w:t>湖州</w:t>
      </w:r>
      <w:r>
        <w:rPr>
          <w:rFonts w:ascii="Times New Roman" w:hAnsi="Times New Roman"/>
        </w:rPr>
        <w:t>市</w:t>
      </w:r>
      <w:r>
        <w:rPr>
          <w:rFonts w:hint="eastAsia" w:ascii="Times New Roman" w:hAnsi="Times New Roman"/>
        </w:rPr>
        <w:t>区</w:t>
      </w:r>
      <w:r>
        <w:rPr>
          <w:rFonts w:ascii="Times New Roman" w:hAnsi="Times New Roman"/>
        </w:rPr>
        <w:t>环境功能区划》，项目所在地位于</w:t>
      </w:r>
      <w:r>
        <w:rPr>
          <w:rFonts w:hint="eastAsia" w:ascii="Times New Roman" w:hAnsi="Times New Roman"/>
          <w:bCs/>
        </w:rPr>
        <w:t>国家开发区环境重点</w:t>
      </w:r>
      <w:r>
        <w:rPr>
          <w:rFonts w:ascii="Times New Roman" w:hAnsi="Times New Roman"/>
          <w:bCs/>
        </w:rPr>
        <w:t>准入区(050</w:t>
      </w:r>
      <w:r>
        <w:rPr>
          <w:rFonts w:hint="eastAsia" w:ascii="Times New Roman" w:hAnsi="Times New Roman"/>
          <w:bCs/>
        </w:rPr>
        <w:t>2</w:t>
      </w:r>
      <w:r>
        <w:rPr>
          <w:rFonts w:ascii="Times New Roman" w:hAnsi="Times New Roman"/>
          <w:bCs/>
        </w:rPr>
        <w:t>-</w:t>
      </w:r>
      <w:r>
        <w:rPr>
          <w:rFonts w:hint="eastAsia" w:ascii="宋体" w:hAnsi="宋体"/>
          <w:bCs/>
        </w:rPr>
        <w:t>Ⅵ</w:t>
      </w:r>
      <w:r>
        <w:rPr>
          <w:rFonts w:ascii="Times New Roman" w:hAnsi="Times New Roman"/>
          <w:bCs/>
        </w:rPr>
        <w:t>-0-</w:t>
      </w:r>
      <w:r>
        <w:rPr>
          <w:rFonts w:hint="eastAsia" w:ascii="Times New Roman" w:hAnsi="Times New Roman"/>
          <w:bCs/>
        </w:rPr>
        <w:t>1</w:t>
      </w:r>
      <w:r>
        <w:rPr>
          <w:rFonts w:ascii="Times New Roman" w:hAnsi="Times New Roman"/>
          <w:bCs/>
        </w:rPr>
        <w:t>)</w:t>
      </w:r>
      <w:r>
        <w:rPr>
          <w:rFonts w:hint="eastAsia" w:ascii="Times New Roman" w:hAnsi="Times New Roman"/>
        </w:rPr>
        <w:t>，其管控措施为：“</w:t>
      </w:r>
      <w:r>
        <w:rPr>
          <w:rFonts w:ascii="Times New Roman"/>
        </w:rPr>
        <w:t>除从小区周边迁入的三类企业之外，严格控制新建三类重污染企业数量和排污总量。所有三类企业污水必须纳管</w:t>
      </w:r>
      <w:r>
        <w:rPr>
          <w:rFonts w:hint="eastAsia" w:ascii="Times New Roman"/>
        </w:rPr>
        <w:t>。</w:t>
      </w:r>
      <w:r>
        <w:rPr>
          <w:rFonts w:ascii="Times New Roman"/>
        </w:rPr>
        <w:t>西苕溪岸线两侧各1000米范围内，禁止新建、扩建化工、医药生产及其他涉及危险化学品、重金属污染排放的项目</w:t>
      </w:r>
      <w:r>
        <w:rPr>
          <w:rFonts w:hint="eastAsia" w:ascii="Times New Roman"/>
        </w:rPr>
        <w:t>。</w:t>
      </w:r>
      <w:r>
        <w:rPr>
          <w:rFonts w:hint="eastAsia" w:ascii="Times New Roman" w:hAnsi="Times New Roman"/>
        </w:rPr>
        <w:t>”负面清单为：“</w:t>
      </w:r>
      <w:r>
        <w:rPr>
          <w:rFonts w:hint="eastAsia" w:ascii="Times New Roman"/>
        </w:rPr>
        <w:t>禁止新建废水排放量较大的以及不符合集聚区产业规划的三类工业项目，禁止扩建、改建有增加水污染物排放和水环境风险的三类工业项目。新建三类工业项目污染物排放水平需达到同行业国内先进水平。</w:t>
      </w:r>
      <w:r>
        <w:rPr>
          <w:rFonts w:hint="eastAsia" w:ascii="Times New Roman" w:hAnsi="Times New Roman"/>
        </w:rPr>
        <w:t>”</w:t>
      </w:r>
    </w:p>
    <w:p>
      <w:pPr>
        <w:pStyle w:val="835"/>
        <w:spacing w:before="0" w:line="480" w:lineRule="exact"/>
        <w:ind w:firstLine="486"/>
        <w:rPr>
          <w:rFonts w:ascii="Times New Roman" w:hAnsi="Times New Roman"/>
          <w:bCs/>
        </w:rPr>
      </w:pPr>
      <w:r>
        <w:rPr>
          <w:rFonts w:hint="eastAsia" w:ascii="Times New Roman" w:hAnsi="Times New Roman"/>
          <w:bCs/>
        </w:rPr>
        <w:t>本项目不新增炼钢产能，为现有工程技改（技改内容为进行精炼和连铸），属于炼钢行业，为三类工业。项目无生产废水排放，不新增</w:t>
      </w:r>
      <w:r>
        <w:rPr>
          <w:rFonts w:hint="eastAsia" w:ascii="Times New Roman"/>
        </w:rPr>
        <w:t>水污染物排放和</w:t>
      </w:r>
      <w:r>
        <w:rPr>
          <w:rFonts w:hint="eastAsia" w:ascii="Times New Roman" w:hAnsi="Times New Roman"/>
          <w:bCs/>
        </w:rPr>
        <w:t>水环境风险；企业现有废水纳入市政污水管网，由凤凰污水处理厂处理后排放。项目距离西苕溪1250m，因此项目建设符合该环境功能小区的管控措施要求，且未列入负面清单。</w:t>
      </w:r>
    </w:p>
    <w:p>
      <w:pPr>
        <w:pStyle w:val="835"/>
        <w:spacing w:before="0" w:line="480" w:lineRule="exact"/>
        <w:ind w:firstLine="486"/>
        <w:rPr>
          <w:rFonts w:ascii="Times New Roman" w:hAnsi="Times New Roman"/>
          <w:bCs/>
        </w:rPr>
        <w:sectPr>
          <w:footerReference r:id="rId10" w:type="default"/>
          <w:pgSz w:w="11907" w:h="16840"/>
          <w:pgMar w:top="1531" w:right="1406" w:bottom="1531" w:left="1406" w:header="964" w:footer="851" w:gutter="284"/>
          <w:pgNumType w:fmt="numberInDash"/>
          <w:cols w:space="720" w:num="1"/>
          <w:docGrid w:type="linesAndChars" w:linePitch="421" w:charSpace="640"/>
        </w:sectPr>
      </w:pPr>
      <w:r>
        <w:rPr>
          <w:rFonts w:hint="eastAsia" w:ascii="Times New Roman" w:hAnsi="Times New Roman"/>
        </w:rPr>
        <w:t>综上，项目建设符合湖州</w:t>
      </w:r>
      <w:r>
        <w:rPr>
          <w:rFonts w:ascii="Times New Roman" w:hAnsi="Times New Roman"/>
        </w:rPr>
        <w:t>市</w:t>
      </w:r>
      <w:r>
        <w:rPr>
          <w:rFonts w:hint="eastAsia" w:ascii="Times New Roman" w:hAnsi="Times New Roman"/>
        </w:rPr>
        <w:t>区</w:t>
      </w:r>
      <w:r>
        <w:rPr>
          <w:rFonts w:ascii="Times New Roman" w:hAnsi="Times New Roman"/>
        </w:rPr>
        <w:t>环境功能区划</w:t>
      </w:r>
      <w:r>
        <w:rPr>
          <w:rFonts w:hint="eastAsia" w:ascii="Times New Roman" w:hAnsi="Times New Roman"/>
        </w:rPr>
        <w:t>要求</w:t>
      </w:r>
      <w:r>
        <w:rPr>
          <w:rFonts w:hint="eastAsia" w:ascii="Times New Roman" w:hAnsi="Times New Roman"/>
          <w:bCs/>
        </w:rPr>
        <w:t>。</w:t>
      </w:r>
    </w:p>
    <w:p>
      <w:pPr>
        <w:pStyle w:val="2"/>
        <w:numPr>
          <w:ilvl w:val="0"/>
          <w:numId w:val="1"/>
        </w:numPr>
        <w:rPr>
          <w:lang w:eastAsia="zh-CN"/>
        </w:rPr>
      </w:pPr>
      <w:bookmarkStart w:id="77" w:name="_Toc10637139"/>
      <w:bookmarkStart w:id="78" w:name="_Toc90088497"/>
      <w:r>
        <w:t>现有企业概况及污染源调查</w:t>
      </w:r>
      <w:bookmarkEnd w:id="77"/>
    </w:p>
    <w:p>
      <w:pPr>
        <w:pStyle w:val="3"/>
        <w:rPr>
          <w:rFonts w:ascii="Times New Roman" w:hAnsi="Times New Roman"/>
        </w:rPr>
      </w:pPr>
      <w:bookmarkStart w:id="79" w:name="_Toc10637140"/>
      <w:r>
        <w:rPr>
          <w:rFonts w:hint="eastAsia" w:ascii="Times New Roman" w:hAnsi="Times New Roman"/>
          <w:lang w:eastAsia="zh-CN"/>
        </w:rPr>
        <w:t>企业审批概况</w:t>
      </w:r>
      <w:bookmarkEnd w:id="79"/>
    </w:p>
    <w:p>
      <w:pPr>
        <w:pStyle w:val="5"/>
        <w:numPr>
          <w:ilvl w:val="2"/>
          <w:numId w:val="25"/>
        </w:numPr>
        <w:spacing w:line="360" w:lineRule="exact"/>
        <w:rPr>
          <w:rFonts w:ascii="Times New Roman"/>
        </w:rPr>
      </w:pPr>
      <w:r>
        <w:rPr>
          <w:rFonts w:ascii="Times New Roman"/>
        </w:rPr>
        <w:t>企业环评审批及验收情况</w:t>
      </w:r>
      <w:r>
        <w:rPr>
          <w:rFonts w:hint="eastAsia" w:ascii="Times New Roman"/>
          <w:lang w:eastAsia="zh-CN"/>
        </w:rPr>
        <w:t>调查</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永兴特种不锈钢股份有限公司（以下简称为永兴特钢），公司总占地面积20万平方米，以敢山东路为界分为东西两个地块，其中东地块位于敢山东路以东，主要炼钢一厂的制氧车间；西地块位于敢山东路以西，为主要的生产车间，为方便管理企业自主将西地块厂区分为5个车间(或分厂)，自东向西依次为精整酸洗厂、轧钢厂、炼钢一厂、炼钢二厂、</w:t>
      </w:r>
      <w:r>
        <w:rPr>
          <w:rFonts w:ascii="Times New Roman" w:hAnsi="Times New Roman" w:cs="Times New Roman"/>
          <w:spacing w:val="0"/>
          <w:szCs w:val="21"/>
        </w:rPr>
        <w:t>钢渣车间</w:t>
      </w:r>
      <w:r>
        <w:rPr>
          <w:rFonts w:hint="eastAsia" w:ascii="Times New Roman" w:hAnsi="Times New Roman" w:cs="Times New Roman"/>
          <w:spacing w:val="0"/>
          <w:szCs w:val="21"/>
        </w:rPr>
        <w:t>。</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公司成立至今，已分别向湖州市环境保护局、湖州市环境保护局开发区分局报批了炼钢技改、轧钢技改和配套工程等合计1</w:t>
      </w:r>
      <w:r>
        <w:rPr>
          <w:rFonts w:ascii="Times New Roman" w:hAnsi="Times New Roman" w:cs="Times New Roman"/>
          <w:spacing w:val="0"/>
          <w:szCs w:val="21"/>
        </w:rPr>
        <w:t>8个项目</w:t>
      </w:r>
      <w:r>
        <w:rPr>
          <w:rFonts w:hint="eastAsia" w:ascii="Times New Roman" w:hAnsi="Times New Roman" w:cs="Times New Roman"/>
          <w:spacing w:val="0"/>
          <w:szCs w:val="21"/>
        </w:rPr>
        <w:t>，且已分别通过环保验收，</w:t>
      </w:r>
      <w:r>
        <w:rPr>
          <w:rFonts w:ascii="Times New Roman" w:hAnsi="Times New Roman" w:cs="Times New Roman"/>
          <w:spacing w:val="0"/>
          <w:szCs w:val="21"/>
        </w:rPr>
        <w:t>具体详见表3-1。其中年产5万吨耐高温、抗腐蚀、高强度特种不锈钢深加工项目</w:t>
      </w:r>
      <w:r>
        <w:rPr>
          <w:rFonts w:hint="eastAsia" w:ascii="Times New Roman" w:hAnsi="Times New Roman" w:cs="Times New Roman"/>
          <w:spacing w:val="0"/>
          <w:szCs w:val="21"/>
        </w:rPr>
        <w:t>，</w:t>
      </w:r>
      <w:r>
        <w:rPr>
          <w:rFonts w:ascii="Times New Roman" w:hAnsi="Times New Roman" w:cs="Times New Roman"/>
          <w:spacing w:val="0"/>
          <w:szCs w:val="21"/>
        </w:rPr>
        <w:t>7500吨核电、航空、高铁合金新材料项目</w:t>
      </w:r>
      <w:r>
        <w:rPr>
          <w:rFonts w:hint="eastAsia" w:ascii="Times New Roman" w:hAnsi="Times New Roman" w:cs="Times New Roman"/>
          <w:spacing w:val="0"/>
          <w:szCs w:val="21"/>
        </w:rPr>
        <w:t>已整体</w:t>
      </w:r>
      <w:r>
        <w:rPr>
          <w:rFonts w:ascii="Times New Roman" w:hAnsi="Times New Roman" w:cs="Times New Roman"/>
          <w:spacing w:val="0"/>
          <w:szCs w:val="21"/>
        </w:rPr>
        <w:t>转让给</w:t>
      </w:r>
      <w:r>
        <w:rPr>
          <w:rFonts w:hint="eastAsia" w:ascii="Times New Roman" w:hAnsi="Times New Roman" w:cs="Times New Roman"/>
          <w:spacing w:val="0"/>
          <w:szCs w:val="21"/>
        </w:rPr>
        <w:t>湖州久立永兴特种合金材料有限公司。</w:t>
      </w:r>
    </w:p>
    <w:p>
      <w:pPr>
        <w:pStyle w:val="313"/>
        <w:tabs>
          <w:tab w:val="clear" w:pos="3908"/>
        </w:tabs>
        <w:ind w:left="1122" w:hanging="561"/>
        <w:rPr>
          <w:rFonts w:ascii="Times New Roman" w:hAnsi="Times New Roman"/>
        </w:rPr>
      </w:pPr>
      <w:r>
        <w:rPr>
          <w:rFonts w:hint="eastAsia" w:ascii="Times New Roman" w:hAnsi="Times New Roman"/>
        </w:rPr>
        <w:t>企业</w:t>
      </w:r>
      <w:r>
        <w:rPr>
          <w:rFonts w:hint="eastAsia" w:ascii="Times New Roman" w:hAnsi="Times New Roman"/>
          <w:lang w:eastAsia="zh-CN"/>
        </w:rPr>
        <w:t>环评审批及验收</w:t>
      </w:r>
      <w:r>
        <w:rPr>
          <w:rFonts w:hint="eastAsia" w:ascii="Times New Roman" w:hAnsi="Times New Roman"/>
        </w:rPr>
        <w:t>情况</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3080"/>
        <w:gridCol w:w="2031"/>
        <w:gridCol w:w="1382"/>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序号</w:t>
            </w:r>
          </w:p>
        </w:tc>
        <w:tc>
          <w:tcPr>
            <w:tcW w:w="3080" w:type="dxa"/>
            <w:vAlign w:val="center"/>
          </w:tcPr>
          <w:p>
            <w:pPr>
              <w:pStyle w:val="4"/>
              <w:spacing w:line="0" w:lineRule="atLeast"/>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项目名称</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批准文号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验收情况及验收文号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分属车间(或分厂)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4万吨不锈钢炼钢，浙计经技（1994（603））号文“湖州钢铁股份有限公司不锈钢管坯项目”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炼钢一厂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湖经技[2001]83号，“湖州久立特钢有限公司年产4万吨不锈钢材生产线技改项目”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炼钢一厂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不锈钢连轧技改项目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湖建管[2004]163号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有验收会议记录</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无验收文号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轧钢厂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年产7万吨不锈钢冶炼技术改造项目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湖建管[2004]164号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湖环建验[2007]22号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炼钢一厂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制氧车间异地搬迁项目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湖建管[2006]248号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湖环建验[2007]82号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炼钢一厂制氧车间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年产3万吨不锈钢高速线材及酸洗搬迁改造项目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湖建管[2006]267号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湖环建验[2007]81号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轧钢厂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淘汰20吨电弧炉氩氧炉等量建设40吨超高功率电弧炉顶底吹氩氧精炼炉真空吹氧脱碳炉及弧形连铸技改项目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湖环建[2007]195号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已通过阶段性竣工验收，湖环建验[2011]12号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年产5万吨耐高温、抗腐蚀、高强度特种不锈钢深加工项目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湖环建[2013]70号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湖环建验[2016]12号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原锻压车间，已于2019.4整体转让</w:t>
            </w:r>
            <w:r>
              <w:rPr>
                <w:rFonts w:ascii="Times New Roman" w:hAnsi="Times New Roman" w:cs="Times New Roman" w:eastAsiaTheme="minorEastAsia"/>
                <w:spacing w:val="0"/>
                <w:sz w:val="21"/>
                <w:szCs w:val="21"/>
              </w:rPr>
              <w:t>给湖州</w:t>
            </w:r>
            <w:r>
              <w:rPr>
                <w:rFonts w:hint="eastAsia" w:ascii="Times New Roman" w:hAnsi="Times New Roman" w:cs="Times New Roman" w:eastAsiaTheme="minorEastAsia"/>
                <w:spacing w:val="0"/>
                <w:sz w:val="21"/>
                <w:szCs w:val="21"/>
              </w:rPr>
              <w:t>久立</w:t>
            </w:r>
            <w:r>
              <w:rPr>
                <w:rFonts w:ascii="Times New Roman" w:hAnsi="Times New Roman" w:cs="Times New Roman" w:eastAsiaTheme="minorEastAsia"/>
                <w:spacing w:val="0"/>
                <w:sz w:val="21"/>
                <w:szCs w:val="21"/>
              </w:rPr>
              <w:t>永兴特种合金材料有限公司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新建技改配套机修车间项目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湖环建[2010]249号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湖环建验备[2011]52号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炼钢一厂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不锈钢线材后整理系统技术改造项目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湖环建[2011] 15号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湖环建验[2013]37号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精整酸洗车间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7500吨核电、航空、高铁合金新材料项目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湖环建[2011] 73号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湖环建验（2016）11号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实施主体已变更为湖州久立永兴特种合金材料有限公司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2012年不锈钢盘条表面处理技术改造项目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湖环建[2012] 78号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项目取消建设</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不锈钢钢渣资源循环利用项目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湖环开建[2014]31号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湖环开建验[2017]3号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钢渣车间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spacing w:val="0"/>
                <w:sz w:val="21"/>
                <w:szCs w:val="24"/>
                <w:lang w:val="en-GB"/>
              </w:rPr>
              <w:t>原料码头工程项目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spacing w:val="0"/>
                <w:sz w:val="21"/>
                <w:szCs w:val="24"/>
                <w:lang w:val="en-GB"/>
              </w:rPr>
              <w:t>湖环开建[2014]54号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项目取消建设</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2015年不锈钢盘条表面处理技术改造项目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湖环开建[2015]14号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湖环开建验[2016]42号</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精整酸洗车间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应急气源工程项目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湖环开建[2015]28号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已验收</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公用配套工程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年产25万吨高品质不锈钢和特种合金棒线项目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湖环开建[2016]3号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已自主验收</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轧钢厂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1" w:type="dxa"/>
            <w:vAlign w:val="center"/>
          </w:tcPr>
          <w:p>
            <w:pPr>
              <w:pStyle w:val="4"/>
              <w:numPr>
                <w:ilvl w:val="0"/>
                <w:numId w:val="26"/>
              </w:numPr>
              <w:spacing w:line="0" w:lineRule="atLeast"/>
              <w:jc w:val="right"/>
              <w:rPr>
                <w:rFonts w:ascii="Times New Roman" w:hAnsi="Times New Roman" w:cs="Times New Roman" w:eastAsiaTheme="minorEastAsia"/>
                <w:spacing w:val="0"/>
                <w:sz w:val="21"/>
                <w:szCs w:val="21"/>
              </w:rPr>
            </w:pPr>
          </w:p>
        </w:tc>
        <w:tc>
          <w:tcPr>
            <w:tcW w:w="3080"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spacing w:val="0"/>
                <w:sz w:val="21"/>
                <w:szCs w:val="24"/>
                <w:lang w:val="en-GB"/>
              </w:rPr>
              <w:t>永兴特种不锈钢股份有限公司永兴特钢后勤设施改建项目</w:t>
            </w:r>
          </w:p>
        </w:tc>
        <w:tc>
          <w:tcPr>
            <w:tcW w:w="2031"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spacing w:val="0"/>
                <w:sz w:val="21"/>
                <w:szCs w:val="24"/>
                <w:lang w:val="en-GB"/>
              </w:rPr>
              <w:t>湖环开建[2015]50号</w:t>
            </w:r>
          </w:p>
        </w:tc>
        <w:tc>
          <w:tcPr>
            <w:tcW w:w="1382"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已验收</w:t>
            </w:r>
          </w:p>
        </w:tc>
        <w:tc>
          <w:tcPr>
            <w:tcW w:w="1507"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w:t>
            </w:r>
          </w:p>
        </w:tc>
      </w:tr>
    </w:tbl>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2016年3月，永兴特钢公司委托浙江省工业环保设计研究院有限公司对企业现有炼钢项目(包括</w:t>
      </w:r>
      <w:r>
        <w:rPr>
          <w:rFonts w:ascii="Times New Roman" w:hAnsi="Times New Roman" w:cs="Times New Roman"/>
          <w:spacing w:val="0"/>
          <w:szCs w:val="21"/>
        </w:rPr>
        <w:t>炼钢一厂、炼钢二厂</w:t>
      </w:r>
      <w:r>
        <w:rPr>
          <w:rFonts w:hint="eastAsia" w:ascii="Times New Roman" w:hAnsi="Times New Roman" w:cs="Times New Roman"/>
          <w:spacing w:val="0"/>
          <w:szCs w:val="21"/>
        </w:rPr>
        <w:t>)进行了现状评价，编制了《永兴特种不锈钢股份有限公司年产35万吨不锈钢和镍基合金技改项目环保现状核查报告》（其中炼钢一厂产能10万吨/年，炼钢二厂产能25万吨/年），该报告于2016年7月11日经湖州市环保局开发区分局备案，备案号为“湖环开建备[2016]3号”(备案意见详见附件2)。</w:t>
      </w:r>
    </w:p>
    <w:p>
      <w:pPr>
        <w:pStyle w:val="5"/>
        <w:numPr>
          <w:ilvl w:val="2"/>
          <w:numId w:val="25"/>
        </w:numPr>
        <w:spacing w:line="360" w:lineRule="exact"/>
        <w:rPr>
          <w:rFonts w:ascii="Times New Roman"/>
        </w:rPr>
      </w:pPr>
      <w:r>
        <w:rPr>
          <w:rFonts w:ascii="Times New Roman"/>
        </w:rPr>
        <w:t>审批</w:t>
      </w:r>
      <w:r>
        <w:rPr>
          <w:rFonts w:hint="eastAsia" w:ascii="Times New Roman"/>
          <w:lang w:eastAsia="zh-CN"/>
        </w:rPr>
        <w:t>污染物</w:t>
      </w:r>
      <w:r>
        <w:rPr>
          <w:rFonts w:ascii="Times New Roman"/>
        </w:rPr>
        <w:t>总量</w:t>
      </w:r>
      <w:r>
        <w:rPr>
          <w:rFonts w:hint="eastAsia" w:ascii="Times New Roman"/>
          <w:lang w:eastAsia="zh-CN"/>
        </w:rPr>
        <w:t>调查</w:t>
      </w:r>
    </w:p>
    <w:p>
      <w:pPr>
        <w:pStyle w:val="835"/>
        <w:ind w:firstLine="486"/>
        <w:rPr>
          <w:rFonts w:ascii="Times New Roman" w:hAnsi="Times New Roman"/>
        </w:rPr>
      </w:pPr>
      <w:r>
        <w:rPr>
          <w:rFonts w:ascii="Times New Roman" w:hAnsi="Times New Roman"/>
          <w:szCs w:val="21"/>
        </w:rPr>
        <w:t>永兴特种不锈钢股份有限公司已于201</w:t>
      </w:r>
      <w:r>
        <w:rPr>
          <w:rFonts w:hint="eastAsia" w:ascii="Times New Roman" w:hAnsi="Times New Roman"/>
          <w:szCs w:val="21"/>
        </w:rPr>
        <w:t>7</w:t>
      </w:r>
      <w:r>
        <w:rPr>
          <w:rFonts w:ascii="Times New Roman" w:hAnsi="Times New Roman"/>
          <w:szCs w:val="21"/>
        </w:rPr>
        <w:t>年</w:t>
      </w:r>
      <w:r>
        <w:rPr>
          <w:rFonts w:hint="eastAsia" w:ascii="Times New Roman" w:hAnsi="Times New Roman"/>
          <w:szCs w:val="21"/>
        </w:rPr>
        <w:t>12</w:t>
      </w:r>
      <w:r>
        <w:rPr>
          <w:rFonts w:ascii="Times New Roman" w:hAnsi="Times New Roman"/>
          <w:szCs w:val="21"/>
        </w:rPr>
        <w:t>月2</w:t>
      </w:r>
      <w:r>
        <w:rPr>
          <w:rFonts w:hint="eastAsia" w:ascii="Times New Roman" w:hAnsi="Times New Roman"/>
          <w:szCs w:val="21"/>
        </w:rPr>
        <w:t>5</w:t>
      </w:r>
      <w:r>
        <w:rPr>
          <w:rFonts w:ascii="Times New Roman" w:hAnsi="Times New Roman"/>
          <w:szCs w:val="21"/>
        </w:rPr>
        <w:t>日申领了排污许可证</w:t>
      </w:r>
      <w:r>
        <w:rPr>
          <w:rFonts w:hint="eastAsia" w:ascii="Times New Roman" w:hAnsi="Times New Roman"/>
          <w:szCs w:val="21"/>
        </w:rPr>
        <w:t>(详见附件4)</w:t>
      </w:r>
      <w:r>
        <w:rPr>
          <w:rFonts w:hint="eastAsia" w:ascii="Times New Roman" w:hAnsi="Times New Roman"/>
        </w:rPr>
        <w:t>，并于2018年12月17日</w:t>
      </w:r>
      <w:r>
        <w:rPr>
          <w:rFonts w:ascii="Times New Roman" w:hAnsi="Times New Roman"/>
        </w:rPr>
        <w:t>进行了变更，排污许可证</w:t>
      </w:r>
      <w:r>
        <w:rPr>
          <w:rFonts w:hint="eastAsia" w:ascii="Times New Roman" w:hAnsi="Times New Roman"/>
        </w:rPr>
        <w:t>编号：</w:t>
      </w:r>
      <w:r>
        <w:rPr>
          <w:rFonts w:ascii="Times New Roman" w:hAnsi="Times New Roman"/>
        </w:rPr>
        <w:t>9133</w:t>
      </w:r>
      <w:r>
        <w:rPr>
          <w:rFonts w:hint="eastAsia" w:ascii="Times New Roman" w:hAnsi="Times New Roman"/>
        </w:rPr>
        <w:t>0000722762533U</w:t>
      </w:r>
      <w:r>
        <w:rPr>
          <w:rFonts w:ascii="Times New Roman" w:hAnsi="Times New Roman"/>
        </w:rPr>
        <w:t>001P</w:t>
      </w:r>
      <w:r>
        <w:rPr>
          <w:rFonts w:hint="eastAsia" w:ascii="Times New Roman" w:hAnsi="Times New Roman"/>
        </w:rPr>
        <w:t>。</w:t>
      </w:r>
      <w:r>
        <w:rPr>
          <w:rFonts w:ascii="Times New Roman" w:hAnsi="Times New Roman"/>
        </w:rPr>
        <w:t>排污许可证</w:t>
      </w:r>
      <w:r>
        <w:rPr>
          <w:rFonts w:hint="eastAsia" w:ascii="Times New Roman" w:hAnsi="Times New Roman"/>
        </w:rPr>
        <w:t>上</w:t>
      </w:r>
      <w:r>
        <w:rPr>
          <w:rFonts w:ascii="Times New Roman" w:hAnsi="Times New Roman"/>
        </w:rPr>
        <w:t>的</w:t>
      </w:r>
      <w:r>
        <w:rPr>
          <w:rFonts w:hint="eastAsia" w:ascii="Times New Roman" w:hAnsi="Times New Roman"/>
        </w:rPr>
        <w:t>载明</w:t>
      </w:r>
      <w:r>
        <w:rPr>
          <w:rFonts w:ascii="Times New Roman" w:hAnsi="Times New Roman"/>
        </w:rPr>
        <w:t>总量见表3-2。</w:t>
      </w:r>
    </w:p>
    <w:p>
      <w:pPr>
        <w:pStyle w:val="313"/>
        <w:tabs>
          <w:tab w:val="clear" w:pos="3908"/>
        </w:tabs>
        <w:ind w:left="1122" w:hanging="561"/>
        <w:rPr>
          <w:rFonts w:ascii="Times New Roman" w:hAnsi="Times New Roman"/>
        </w:rPr>
      </w:pPr>
      <w:r>
        <w:rPr>
          <w:rFonts w:hint="eastAsia" w:ascii="Times New Roman" w:hAnsi="Times New Roman"/>
          <w:lang w:eastAsia="zh-CN"/>
        </w:rPr>
        <w:t>排污许可证载明</w:t>
      </w:r>
      <w:r>
        <w:rPr>
          <w:rFonts w:ascii="Times New Roman" w:hAnsi="Times New Roman"/>
          <w:lang w:eastAsia="zh-CN"/>
        </w:rPr>
        <w:t>总量情况</w:t>
      </w:r>
    </w:p>
    <w:tbl>
      <w:tblPr>
        <w:tblStyle w:val="88"/>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914"/>
        <w:gridCol w:w="799"/>
        <w:gridCol w:w="961"/>
        <w:gridCol w:w="1075"/>
        <w:gridCol w:w="1049"/>
        <w:gridCol w:w="1199"/>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7" w:type="dxa"/>
            <w:vMerge w:val="restart"/>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统计来源</w:t>
            </w:r>
          </w:p>
        </w:tc>
        <w:tc>
          <w:tcPr>
            <w:tcW w:w="7344" w:type="dxa"/>
            <w:gridSpan w:val="7"/>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排污许可证载明量</w:t>
            </w:r>
            <w:r>
              <w:rPr>
                <w:rFonts w:ascii="Times New Roman" w:hAnsi="Times New Roman"/>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7" w:type="dxa"/>
            <w:vMerge w:val="continue"/>
            <w:vAlign w:val="center"/>
          </w:tcPr>
          <w:p>
            <w:pPr>
              <w:pStyle w:val="835"/>
              <w:widowControl w:val="0"/>
              <w:spacing w:before="0" w:line="360" w:lineRule="exact"/>
              <w:ind w:firstLine="0" w:firstLineChars="0"/>
              <w:jc w:val="center"/>
              <w:rPr>
                <w:rFonts w:ascii="Times New Roman" w:hAnsi="Times New Roman"/>
                <w:sz w:val="21"/>
                <w:szCs w:val="21"/>
              </w:rPr>
            </w:pPr>
          </w:p>
        </w:tc>
        <w:tc>
          <w:tcPr>
            <w:tcW w:w="914" w:type="dxa"/>
            <w:vAlign w:val="center"/>
          </w:tcPr>
          <w:p>
            <w:pPr>
              <w:pStyle w:val="835"/>
              <w:widowControl w:val="0"/>
              <w:spacing w:before="0" w:line="360" w:lineRule="exact"/>
              <w:ind w:firstLine="0" w:firstLineChars="0"/>
              <w:jc w:val="center"/>
              <w:rPr>
                <w:rFonts w:ascii="Times New Roman" w:hAnsi="Times New Roman"/>
                <w:sz w:val="21"/>
                <w:szCs w:val="21"/>
              </w:rPr>
            </w:pPr>
            <w:r>
              <w:rPr>
                <w:rFonts w:ascii="Times New Roman" w:hAnsi="Times New Roman"/>
                <w:sz w:val="21"/>
                <w:szCs w:val="21"/>
              </w:rPr>
              <w:t>COD</w:t>
            </w:r>
            <w:r>
              <w:rPr>
                <w:rFonts w:ascii="Times New Roman" w:hAnsi="Times New Roman"/>
                <w:sz w:val="21"/>
                <w:szCs w:val="21"/>
                <w:vertAlign w:val="subscript"/>
              </w:rPr>
              <w:t>Cr</w:t>
            </w:r>
          </w:p>
        </w:tc>
        <w:tc>
          <w:tcPr>
            <w:tcW w:w="799" w:type="dxa"/>
            <w:vAlign w:val="center"/>
          </w:tcPr>
          <w:p>
            <w:pPr>
              <w:pStyle w:val="835"/>
              <w:widowControl w:val="0"/>
              <w:spacing w:before="0" w:line="360" w:lineRule="exact"/>
              <w:ind w:firstLine="0" w:firstLineChars="0"/>
              <w:jc w:val="center"/>
              <w:rPr>
                <w:rFonts w:ascii="Times New Roman" w:hAnsi="Times New Roman"/>
                <w:sz w:val="21"/>
                <w:szCs w:val="21"/>
              </w:rPr>
            </w:pPr>
            <w:r>
              <w:rPr>
                <w:rFonts w:ascii="Times New Roman" w:hAnsi="Times New Roman"/>
                <w:sz w:val="21"/>
                <w:szCs w:val="21"/>
              </w:rPr>
              <w:t>氨氮</w:t>
            </w:r>
          </w:p>
        </w:tc>
        <w:tc>
          <w:tcPr>
            <w:tcW w:w="961" w:type="dxa"/>
            <w:vAlign w:val="center"/>
          </w:tcPr>
          <w:p>
            <w:pPr>
              <w:pStyle w:val="835"/>
              <w:widowControl w:val="0"/>
              <w:spacing w:before="0" w:line="360" w:lineRule="exact"/>
              <w:ind w:firstLine="0" w:firstLineChars="0"/>
              <w:jc w:val="center"/>
              <w:rPr>
                <w:rFonts w:ascii="Times New Roman" w:hAnsi="Times New Roman"/>
                <w:sz w:val="21"/>
                <w:szCs w:val="21"/>
              </w:rPr>
            </w:pPr>
            <w:r>
              <w:rPr>
                <w:rFonts w:ascii="Times New Roman" w:hAnsi="Times New Roman"/>
                <w:sz w:val="21"/>
                <w:szCs w:val="21"/>
              </w:rPr>
              <w:t>颗粒物</w:t>
            </w:r>
          </w:p>
        </w:tc>
        <w:tc>
          <w:tcPr>
            <w:tcW w:w="1075" w:type="dxa"/>
            <w:vAlign w:val="center"/>
          </w:tcPr>
          <w:p>
            <w:pPr>
              <w:pStyle w:val="835"/>
              <w:widowControl w:val="0"/>
              <w:spacing w:before="0" w:line="360" w:lineRule="exact"/>
              <w:ind w:firstLine="0" w:firstLineChars="0"/>
              <w:jc w:val="center"/>
              <w:rPr>
                <w:rFonts w:ascii="Times New Roman" w:hAnsi="Times New Roman"/>
                <w:sz w:val="21"/>
                <w:szCs w:val="21"/>
              </w:rPr>
            </w:pPr>
            <w:r>
              <w:rPr>
                <w:rFonts w:ascii="Times New Roman" w:hAnsi="Times New Roman"/>
                <w:sz w:val="21"/>
                <w:szCs w:val="21"/>
              </w:rPr>
              <w:t>SO</w:t>
            </w:r>
            <w:r>
              <w:rPr>
                <w:rFonts w:ascii="Times New Roman" w:hAnsi="Times New Roman"/>
                <w:sz w:val="21"/>
                <w:szCs w:val="21"/>
                <w:vertAlign w:val="subscript"/>
              </w:rPr>
              <w:t>2</w:t>
            </w:r>
          </w:p>
        </w:tc>
        <w:tc>
          <w:tcPr>
            <w:tcW w:w="1049" w:type="dxa"/>
            <w:vAlign w:val="center"/>
          </w:tcPr>
          <w:p>
            <w:pPr>
              <w:pStyle w:val="835"/>
              <w:widowControl w:val="0"/>
              <w:spacing w:before="0" w:line="360" w:lineRule="exact"/>
              <w:ind w:firstLine="0" w:firstLineChars="0"/>
              <w:jc w:val="center"/>
              <w:rPr>
                <w:rFonts w:ascii="Times New Roman" w:hAnsi="Times New Roman"/>
                <w:sz w:val="21"/>
                <w:szCs w:val="21"/>
              </w:rPr>
            </w:pPr>
            <w:r>
              <w:rPr>
                <w:rFonts w:ascii="Times New Roman" w:hAnsi="Times New Roman"/>
                <w:sz w:val="21"/>
                <w:szCs w:val="21"/>
              </w:rPr>
              <w:t>NOx</w:t>
            </w:r>
          </w:p>
        </w:tc>
        <w:tc>
          <w:tcPr>
            <w:tcW w:w="1199"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氟化物</w:t>
            </w:r>
          </w:p>
        </w:tc>
        <w:tc>
          <w:tcPr>
            <w:tcW w:w="1347"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57"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排污许可证</w:t>
            </w:r>
          </w:p>
        </w:tc>
        <w:tc>
          <w:tcPr>
            <w:tcW w:w="914"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5.152</w:t>
            </w:r>
          </w:p>
        </w:tc>
        <w:tc>
          <w:tcPr>
            <w:tcW w:w="799"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0.515</w:t>
            </w:r>
          </w:p>
        </w:tc>
        <w:tc>
          <w:tcPr>
            <w:tcW w:w="961"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39.4576</w:t>
            </w:r>
          </w:p>
        </w:tc>
        <w:tc>
          <w:tcPr>
            <w:tcW w:w="1075"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23.861</w:t>
            </w:r>
          </w:p>
        </w:tc>
        <w:tc>
          <w:tcPr>
            <w:tcW w:w="1049"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47.835</w:t>
            </w:r>
          </w:p>
        </w:tc>
        <w:tc>
          <w:tcPr>
            <w:tcW w:w="1199"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w:t>
            </w:r>
          </w:p>
        </w:tc>
        <w:tc>
          <w:tcPr>
            <w:tcW w:w="1347" w:type="dxa"/>
            <w:vAlign w:val="center"/>
          </w:tcPr>
          <w:p>
            <w:pPr>
              <w:pStyle w:val="835"/>
              <w:widowControl w:val="0"/>
              <w:spacing w:before="0" w:line="360" w:lineRule="exact"/>
              <w:ind w:firstLine="0" w:firstLineChars="0"/>
              <w:jc w:val="center"/>
              <w:rPr>
                <w:rFonts w:ascii="Times New Roman" w:hAnsi="Times New Roman"/>
                <w:sz w:val="21"/>
                <w:szCs w:val="21"/>
              </w:rPr>
            </w:pPr>
            <w:r>
              <w:rPr>
                <w:rFonts w:hint="eastAsia" w:ascii="Times New Roman" w:hAnsi="Times New Roman"/>
                <w:sz w:val="21"/>
                <w:szCs w:val="21"/>
              </w:rPr>
              <w:t>/</w:t>
            </w:r>
          </w:p>
        </w:tc>
      </w:tr>
    </w:tbl>
    <w:p>
      <w:pPr>
        <w:pStyle w:val="3"/>
        <w:rPr>
          <w:rFonts w:ascii="Times New Roman" w:hAnsi="Times New Roman"/>
          <w:lang w:eastAsia="zh-CN"/>
        </w:rPr>
      </w:pPr>
      <w:bookmarkStart w:id="80" w:name="_Toc527722488"/>
      <w:bookmarkStart w:id="81" w:name="_Toc10637141"/>
      <w:r>
        <w:rPr>
          <w:rFonts w:ascii="Times New Roman" w:hAnsi="Times New Roman"/>
          <w:lang w:eastAsia="zh-CN"/>
        </w:rPr>
        <w:t>企业现</w:t>
      </w:r>
      <w:bookmarkEnd w:id="80"/>
      <w:r>
        <w:rPr>
          <w:rFonts w:hint="eastAsia" w:ascii="Times New Roman" w:hAnsi="Times New Roman"/>
          <w:lang w:eastAsia="zh-CN"/>
        </w:rPr>
        <w:t>状实际情况调查</w:t>
      </w:r>
      <w:bookmarkEnd w:id="81"/>
    </w:p>
    <w:p>
      <w:pPr>
        <w:pStyle w:val="5"/>
        <w:numPr>
          <w:ilvl w:val="2"/>
          <w:numId w:val="25"/>
        </w:numPr>
        <w:spacing w:line="360" w:lineRule="exact"/>
        <w:rPr>
          <w:rFonts w:ascii="Times New Roman"/>
          <w:lang w:eastAsia="zh-CN"/>
        </w:rPr>
      </w:pPr>
      <w:r>
        <w:rPr>
          <w:rFonts w:ascii="Times New Roman"/>
        </w:rPr>
        <w:t>企业</w:t>
      </w:r>
      <w:r>
        <w:rPr>
          <w:rFonts w:hint="eastAsia" w:ascii="Times New Roman"/>
          <w:lang w:eastAsia="zh-CN"/>
        </w:rPr>
        <w:t>现状实际生产情况</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一、湖州久立永兴特种合金材料有限公司依托</w:t>
      </w:r>
      <w:r>
        <w:rPr>
          <w:rFonts w:ascii="Times New Roman" w:hAnsi="Times New Roman" w:cs="Times New Roman" w:eastAsiaTheme="minorEastAsia"/>
          <w:spacing w:val="0"/>
          <w:szCs w:val="24"/>
        </w:rPr>
        <w:t>情况</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根据</w:t>
      </w:r>
      <w:r>
        <w:rPr>
          <w:rFonts w:ascii="Times New Roman" w:hAnsi="Times New Roman" w:cs="Times New Roman" w:eastAsiaTheme="minorEastAsia"/>
          <w:spacing w:val="0"/>
          <w:szCs w:val="24"/>
        </w:rPr>
        <w:t>调查，企业</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年产5万吨耐高温、抗腐蚀、高强度特种不锈钢深加工项目</w:t>
      </w:r>
      <w:r>
        <w:rPr>
          <w:rFonts w:hint="eastAsia" w:ascii="Times New Roman" w:hAnsi="Times New Roman" w:cs="Times New Roman" w:eastAsiaTheme="minorEastAsia"/>
          <w:spacing w:val="0"/>
          <w:szCs w:val="24"/>
        </w:rPr>
        <w:t>》(原锻压车间)、《</w:t>
      </w:r>
      <w:r>
        <w:rPr>
          <w:rFonts w:ascii="Times New Roman" w:hAnsi="Times New Roman" w:cs="Times New Roman" w:eastAsiaTheme="minorEastAsia"/>
          <w:spacing w:val="0"/>
          <w:szCs w:val="24"/>
        </w:rPr>
        <w:t>7500吨核电、航空、高铁合金新材料项目</w:t>
      </w:r>
      <w:r>
        <w:rPr>
          <w:rFonts w:hint="eastAsia" w:ascii="Times New Roman" w:hAnsi="Times New Roman" w:cs="Times New Roman" w:eastAsiaTheme="minorEastAsia"/>
          <w:spacing w:val="0"/>
          <w:szCs w:val="24"/>
        </w:rPr>
        <w:t>》已</w:t>
      </w:r>
      <w:r>
        <w:rPr>
          <w:rFonts w:ascii="Times New Roman" w:hAnsi="Times New Roman" w:cs="Times New Roman" w:eastAsiaTheme="minorEastAsia"/>
          <w:spacing w:val="0"/>
          <w:szCs w:val="24"/>
        </w:rPr>
        <w:t>整体转让给</w:t>
      </w:r>
      <w:r>
        <w:rPr>
          <w:rFonts w:hint="eastAsia" w:ascii="Times New Roman" w:hAnsi="Times New Roman" w:cs="Times New Roman" w:eastAsiaTheme="minorEastAsia"/>
          <w:spacing w:val="0"/>
          <w:szCs w:val="24"/>
        </w:rPr>
        <w:t>湖州久立永兴特种合金材料有限公司(简称</w:t>
      </w:r>
      <w:r>
        <w:rPr>
          <w:rFonts w:ascii="Times New Roman" w:hAnsi="Times New Roman" w:cs="Times New Roman" w:eastAsiaTheme="minorEastAsia"/>
          <w:spacing w:val="0"/>
          <w:szCs w:val="24"/>
        </w:rPr>
        <w:t>为久立永兴</w:t>
      </w:r>
      <w:r>
        <w:rPr>
          <w:rFonts w:hint="eastAsia" w:ascii="Times New Roman" w:hAnsi="Times New Roman" w:cs="Times New Roman" w:eastAsiaTheme="minorEastAsia"/>
          <w:spacing w:val="0"/>
          <w:szCs w:val="24"/>
        </w:rPr>
        <w:t>)，上述两个项目</w:t>
      </w:r>
      <w:r>
        <w:rPr>
          <w:rFonts w:ascii="Times New Roman" w:hAnsi="Times New Roman" w:cs="Times New Roman" w:eastAsiaTheme="minorEastAsia"/>
          <w:spacing w:val="0"/>
          <w:szCs w:val="24"/>
        </w:rPr>
        <w:t>所占用的土地也一并转让。久立永兴位于本企业西地块厂区的西北角</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该公司</w:t>
      </w:r>
      <w:r>
        <w:rPr>
          <w:rFonts w:hint="eastAsia" w:ascii="Times New Roman" w:hAnsi="Times New Roman" w:cs="Times New Roman" w:eastAsiaTheme="minorEastAsia"/>
          <w:spacing w:val="0"/>
          <w:szCs w:val="24"/>
        </w:rPr>
        <w:t>有</w:t>
      </w:r>
      <w:r>
        <w:rPr>
          <w:rFonts w:ascii="Times New Roman" w:hAnsi="Times New Roman" w:cs="Times New Roman" w:eastAsiaTheme="minorEastAsia"/>
          <w:spacing w:val="0"/>
          <w:szCs w:val="24"/>
        </w:rPr>
        <w:t>独立的生产车间和</w:t>
      </w:r>
      <w:r>
        <w:rPr>
          <w:rFonts w:hint="eastAsia" w:ascii="Times New Roman" w:hAnsi="Times New Roman" w:cs="Times New Roman" w:eastAsiaTheme="minorEastAsia"/>
          <w:spacing w:val="0"/>
          <w:szCs w:val="24"/>
        </w:rPr>
        <w:t>配套</w:t>
      </w:r>
      <w:r>
        <w:rPr>
          <w:rFonts w:ascii="Times New Roman" w:hAnsi="Times New Roman" w:cs="Times New Roman" w:eastAsiaTheme="minorEastAsia"/>
          <w:spacing w:val="0"/>
          <w:szCs w:val="24"/>
        </w:rPr>
        <w:t>环保设施，</w:t>
      </w:r>
      <w:r>
        <w:rPr>
          <w:rFonts w:hint="eastAsia" w:ascii="Times New Roman" w:hAnsi="Times New Roman" w:cs="Times New Roman" w:eastAsiaTheme="minorEastAsia"/>
          <w:spacing w:val="0"/>
          <w:szCs w:val="24"/>
        </w:rPr>
        <w:t>并</w:t>
      </w:r>
      <w:r>
        <w:rPr>
          <w:rFonts w:ascii="Times New Roman" w:hAnsi="Times New Roman" w:cs="Times New Roman" w:eastAsiaTheme="minorEastAsia"/>
          <w:spacing w:val="0"/>
          <w:szCs w:val="24"/>
        </w:rPr>
        <w:t>设有独立的废水排放口、废气排放口，其</w:t>
      </w:r>
      <w:r>
        <w:rPr>
          <w:rFonts w:hint="eastAsia" w:ascii="Times New Roman" w:hAnsi="Times New Roman" w:cs="Times New Roman" w:eastAsiaTheme="minorEastAsia"/>
          <w:spacing w:val="0"/>
          <w:szCs w:val="24"/>
        </w:rPr>
        <w:t>在</w:t>
      </w:r>
      <w:r>
        <w:rPr>
          <w:rFonts w:ascii="Times New Roman" w:hAnsi="Times New Roman" w:cs="Times New Roman" w:eastAsiaTheme="minorEastAsia"/>
          <w:spacing w:val="0"/>
          <w:szCs w:val="24"/>
        </w:rPr>
        <w:t>公用工程方面</w:t>
      </w:r>
      <w:r>
        <w:rPr>
          <w:rFonts w:hint="eastAsia" w:ascii="Times New Roman" w:hAnsi="Times New Roman" w:cs="Times New Roman" w:eastAsiaTheme="minorEastAsia"/>
          <w:spacing w:val="0"/>
          <w:szCs w:val="24"/>
        </w:rPr>
        <w:t>与永兴</w:t>
      </w:r>
      <w:r>
        <w:rPr>
          <w:rFonts w:ascii="Times New Roman" w:hAnsi="Times New Roman" w:cs="Times New Roman" w:eastAsiaTheme="minorEastAsia"/>
          <w:spacing w:val="0"/>
          <w:szCs w:val="24"/>
        </w:rPr>
        <w:t>特钢的依托关系为：</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1</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久立永兴所需压缩空气</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天然气、</w:t>
      </w:r>
      <w:r>
        <w:rPr>
          <w:rFonts w:hint="eastAsia" w:ascii="Times New Roman" w:hAnsi="Times New Roman" w:cs="Times New Roman" w:eastAsiaTheme="minorEastAsia"/>
          <w:spacing w:val="0"/>
          <w:szCs w:val="24"/>
        </w:rPr>
        <w:t>从</w:t>
      </w:r>
      <w:r>
        <w:rPr>
          <w:rFonts w:ascii="Times New Roman" w:hAnsi="Times New Roman" w:cs="Times New Roman"/>
          <w:spacing w:val="0"/>
          <w:szCs w:val="24"/>
        </w:rPr>
        <w:t>永兴特种不锈钢股份有限公司</w:t>
      </w:r>
      <w:r>
        <w:rPr>
          <w:rFonts w:ascii="Times New Roman" w:hAnsi="Times New Roman" w:cs="Times New Roman" w:eastAsiaTheme="minorEastAsia"/>
          <w:spacing w:val="0"/>
          <w:szCs w:val="24"/>
        </w:rPr>
        <w:t>的现有</w:t>
      </w:r>
      <w:r>
        <w:rPr>
          <w:rFonts w:hint="eastAsia" w:ascii="Times New Roman" w:hAnsi="Times New Roman" w:cs="Times New Roman" w:eastAsiaTheme="minorEastAsia"/>
          <w:spacing w:val="0"/>
          <w:szCs w:val="24"/>
        </w:rPr>
        <w:t>管道接入，压缩空气使用量</w:t>
      </w:r>
      <w:r>
        <w:rPr>
          <w:rFonts w:ascii="Times New Roman" w:hAnsi="Times New Roman" w:cs="Times New Roman" w:eastAsiaTheme="minorEastAsia"/>
          <w:spacing w:val="0"/>
          <w:szCs w:val="24"/>
        </w:rPr>
        <w:t>为77</w:t>
      </w:r>
      <w:r>
        <w:rPr>
          <w:rFonts w:hint="eastAsia" w:ascii="Times New Roman" w:hAnsi="Times New Roman" w:cs="Times New Roman" w:eastAsiaTheme="minorEastAsia"/>
          <w:spacing w:val="0"/>
          <w:szCs w:val="24"/>
        </w:rPr>
        <w:t>万</w:t>
      </w:r>
      <w:r>
        <w:rPr>
          <w:rFonts w:ascii="Times New Roman" w:hAnsi="Times New Roman" w:cs="Times New Roman" w:eastAsiaTheme="minorEastAsia"/>
          <w:spacing w:val="0"/>
          <w:szCs w:val="24"/>
        </w:rPr>
        <w:t>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w:t>
      </w:r>
      <w:r>
        <w:rPr>
          <w:rFonts w:hint="eastAsia" w:ascii="Times New Roman" w:hAnsi="Times New Roman" w:cs="Times New Roman" w:eastAsiaTheme="minorEastAsia"/>
          <w:spacing w:val="0"/>
          <w:szCs w:val="24"/>
        </w:rPr>
        <w:t>a、年天然气</w:t>
      </w:r>
      <w:r>
        <w:rPr>
          <w:rFonts w:ascii="Times New Roman" w:hAnsi="Times New Roman" w:cs="Times New Roman" w:eastAsiaTheme="minorEastAsia"/>
          <w:spacing w:val="0"/>
          <w:szCs w:val="24"/>
        </w:rPr>
        <w:t>消耗量为8.6</w:t>
      </w:r>
      <w:r>
        <w:rPr>
          <w:rFonts w:hint="eastAsia" w:ascii="Times New Roman" w:hAnsi="Times New Roman" w:cs="Times New Roman" w:eastAsiaTheme="minorEastAsia"/>
          <w:spacing w:val="0"/>
          <w:szCs w:val="24"/>
        </w:rPr>
        <w:t>万</w:t>
      </w:r>
      <w:r>
        <w:rPr>
          <w:rFonts w:ascii="Times New Roman" w:hAnsi="Times New Roman" w:cs="Times New Roman" w:eastAsiaTheme="minorEastAsia"/>
          <w:spacing w:val="0"/>
          <w:szCs w:val="24"/>
        </w:rPr>
        <w:t>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w:t>
      </w:r>
      <w:r>
        <w:rPr>
          <w:rFonts w:hint="eastAsia" w:ascii="Times New Roman" w:hAnsi="Times New Roman" w:cs="Times New Roman" w:eastAsiaTheme="minorEastAsia"/>
          <w:spacing w:val="0"/>
          <w:szCs w:val="24"/>
        </w:rPr>
        <w:t>a，均</w:t>
      </w:r>
      <w:r>
        <w:rPr>
          <w:rFonts w:ascii="Times New Roman" w:hAnsi="Times New Roman" w:cs="Times New Roman" w:eastAsiaTheme="minorEastAsia"/>
          <w:spacing w:val="0"/>
          <w:szCs w:val="24"/>
        </w:rPr>
        <w:t>为外购。</w:t>
      </w:r>
    </w:p>
    <w:p>
      <w:pPr>
        <w:pStyle w:val="4"/>
        <w:spacing w:line="480" w:lineRule="exact"/>
        <w:rPr>
          <w:rFonts w:ascii="Times New Roman" w:hAnsi="Times New Roman" w:cs="Times New Roman"/>
          <w:spacing w:val="0"/>
          <w:szCs w:val="24"/>
        </w:rPr>
      </w:pP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2</w:t>
      </w:r>
      <w:r>
        <w:rPr>
          <w:rFonts w:hint="eastAsia" w:ascii="Times New Roman" w:hAnsi="Times New Roman" w:cs="Times New Roman" w:eastAsiaTheme="minorEastAsia"/>
          <w:spacing w:val="0"/>
          <w:szCs w:val="24"/>
        </w:rPr>
        <w:t>)久立永</w:t>
      </w:r>
      <w:r>
        <w:rPr>
          <w:rFonts w:ascii="Times New Roman" w:hAnsi="Times New Roman" w:cs="Times New Roman" w:eastAsiaTheme="minorEastAsia"/>
          <w:spacing w:val="0"/>
          <w:szCs w:val="24"/>
        </w:rPr>
        <w:t>兴</w:t>
      </w:r>
      <w:r>
        <w:rPr>
          <w:rFonts w:ascii="Times New Roman" w:hAnsi="Times New Roman" w:cs="Times New Roman"/>
          <w:spacing w:val="0"/>
          <w:szCs w:val="24"/>
        </w:rPr>
        <w:t>真空感应炉、电渣重熔炉使用的氩气由永兴特种不锈钢股份有限公司管道提供，使用量为14万m</w:t>
      </w:r>
      <w:r>
        <w:rPr>
          <w:rFonts w:ascii="Times New Roman" w:hAnsi="Times New Roman" w:cs="Times New Roman"/>
          <w:spacing w:val="0"/>
          <w:szCs w:val="24"/>
          <w:vertAlign w:val="superscript"/>
        </w:rPr>
        <w:t>3</w:t>
      </w:r>
      <w:r>
        <w:rPr>
          <w:rFonts w:ascii="Times New Roman" w:hAnsi="Times New Roman" w:cs="Times New Roman"/>
          <w:spacing w:val="0"/>
          <w:szCs w:val="24"/>
        </w:rPr>
        <w:t>/a</w:t>
      </w:r>
      <w:r>
        <w:rPr>
          <w:rFonts w:hint="eastAsia" w:ascii="Times New Roman" w:hAnsi="Times New Roman" w:cs="Times New Roman"/>
          <w:spacing w:val="0"/>
          <w:szCs w:val="24"/>
        </w:rPr>
        <w:t>。</w:t>
      </w:r>
      <w:r>
        <w:rPr>
          <w:rFonts w:ascii="Times New Roman" w:hAnsi="Times New Roman" w:cs="Times New Roman"/>
          <w:spacing w:val="0"/>
          <w:szCs w:val="24"/>
        </w:rPr>
        <w:t>氩气</w:t>
      </w:r>
      <w:r>
        <w:rPr>
          <w:rFonts w:hint="eastAsia" w:ascii="Times New Roman" w:hAnsi="Times New Roman" w:cs="Times New Roman"/>
          <w:spacing w:val="0"/>
          <w:szCs w:val="24"/>
        </w:rPr>
        <w:t>外购</w:t>
      </w:r>
      <w:r>
        <w:rPr>
          <w:rFonts w:ascii="Times New Roman" w:hAnsi="Times New Roman" w:cs="Times New Roman"/>
          <w:spacing w:val="0"/>
          <w:szCs w:val="24"/>
        </w:rPr>
        <w:t>，</w:t>
      </w:r>
      <w:r>
        <w:rPr>
          <w:rFonts w:hint="eastAsia" w:ascii="Times New Roman" w:hAnsi="Times New Roman" w:cs="Times New Roman" w:eastAsiaTheme="minorEastAsia"/>
          <w:spacing w:val="0"/>
          <w:szCs w:val="24"/>
        </w:rPr>
        <w:t>此</w:t>
      </w:r>
      <w:r>
        <w:rPr>
          <w:rFonts w:ascii="Times New Roman" w:hAnsi="Times New Roman" w:cs="Times New Roman" w:eastAsiaTheme="minorEastAsia"/>
          <w:spacing w:val="0"/>
          <w:szCs w:val="24"/>
        </w:rPr>
        <w:t>依托工程</w:t>
      </w:r>
      <w:r>
        <w:rPr>
          <w:rFonts w:ascii="Times New Roman" w:hAnsi="Times New Roman" w:cs="Times New Roman"/>
          <w:spacing w:val="0"/>
          <w:szCs w:val="24"/>
        </w:rPr>
        <w:t>无污染物产生。</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综上所述，</w:t>
      </w:r>
      <w:r>
        <w:rPr>
          <w:rFonts w:ascii="Times New Roman" w:hAnsi="Times New Roman" w:cs="Times New Roman"/>
          <w:spacing w:val="0"/>
          <w:szCs w:val="24"/>
        </w:rPr>
        <w:t>久立永兴依托</w:t>
      </w:r>
      <w:r>
        <w:rPr>
          <w:rFonts w:hint="eastAsia" w:ascii="Times New Roman" w:hAnsi="Times New Roman" w:cs="Times New Roman"/>
          <w:spacing w:val="0"/>
          <w:szCs w:val="24"/>
        </w:rPr>
        <w:t>工程</w:t>
      </w:r>
      <w:r>
        <w:rPr>
          <w:rFonts w:ascii="Times New Roman" w:hAnsi="Times New Roman" w:cs="Times New Roman"/>
          <w:spacing w:val="0"/>
          <w:szCs w:val="24"/>
        </w:rPr>
        <w:t>对永兴特钢的污染物排放量</w:t>
      </w:r>
      <w:r>
        <w:rPr>
          <w:rFonts w:hint="eastAsia" w:ascii="Times New Roman" w:hAnsi="Times New Roman" w:cs="Times New Roman"/>
          <w:spacing w:val="0"/>
          <w:szCs w:val="24"/>
        </w:rPr>
        <w:t>无影响。</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二、</w:t>
      </w:r>
      <w:r>
        <w:rPr>
          <w:rFonts w:ascii="Times New Roman" w:hAnsi="Times New Roman" w:cs="Times New Roman" w:eastAsiaTheme="minorEastAsia"/>
          <w:spacing w:val="0"/>
          <w:szCs w:val="24"/>
        </w:rPr>
        <w:t>企业现有生产情况调查</w:t>
      </w:r>
    </w:p>
    <w:p>
      <w:pPr>
        <w:pStyle w:val="4"/>
        <w:spacing w:line="480" w:lineRule="exact"/>
        <w:rPr>
          <w:rFonts w:ascii="Times New Roman" w:hAnsi="Times New Roman" w:cs="Times New Roman"/>
          <w:spacing w:val="0"/>
          <w:szCs w:val="21"/>
        </w:rPr>
      </w:pPr>
      <w:r>
        <w:rPr>
          <w:rFonts w:ascii="Times New Roman" w:hAnsi="Times New Roman" w:cs="Times New Roman"/>
          <w:spacing w:val="0"/>
          <w:szCs w:val="21"/>
        </w:rPr>
        <w:t>现有已审批项目按分厂或车间统计如下：</w:t>
      </w:r>
    </w:p>
    <w:p>
      <w:pPr>
        <w:pStyle w:val="4"/>
        <w:spacing w:line="480" w:lineRule="exact"/>
        <w:rPr>
          <w:rFonts w:ascii="Times New Roman" w:hAnsi="Times New Roman" w:cs="Times New Roman"/>
          <w:spacing w:val="0"/>
          <w:szCs w:val="21"/>
        </w:rPr>
      </w:pPr>
      <w:r>
        <w:rPr>
          <w:rFonts w:ascii="Times New Roman" w:hAnsi="Times New Roman" w:cs="Times New Roman"/>
          <w:spacing w:val="0"/>
          <w:szCs w:val="21"/>
        </w:rPr>
        <w:t>1、炼钢一厂概况</w:t>
      </w:r>
    </w:p>
    <w:p>
      <w:pPr>
        <w:pStyle w:val="4"/>
        <w:spacing w:line="480" w:lineRule="exact"/>
        <w:rPr>
          <w:rFonts w:ascii="Times New Roman" w:hAnsi="Times New Roman" w:cs="Times New Roman"/>
          <w:spacing w:val="0"/>
          <w:szCs w:val="21"/>
        </w:rPr>
      </w:pPr>
      <w:r>
        <w:rPr>
          <w:rFonts w:ascii="Times New Roman" w:hAnsi="Times New Roman" w:cs="Times New Roman"/>
          <w:spacing w:val="0"/>
          <w:szCs w:val="21"/>
        </w:rPr>
        <w:t>炼钢一厂设有炼钢车间和制氧车间。</w:t>
      </w:r>
    </w:p>
    <w:p>
      <w:pPr>
        <w:pStyle w:val="4"/>
        <w:spacing w:line="480" w:lineRule="exact"/>
        <w:rPr>
          <w:rFonts w:ascii="Times New Roman" w:hAnsi="Times New Roman" w:cs="Times New Roman"/>
          <w:spacing w:val="0"/>
          <w:szCs w:val="21"/>
        </w:rPr>
      </w:pPr>
      <w:r>
        <w:rPr>
          <w:rFonts w:ascii="Times New Roman" w:hAnsi="Times New Roman" w:cs="Times New Roman"/>
          <w:spacing w:val="0"/>
          <w:szCs w:val="21"/>
        </w:rPr>
        <w:t>对于炼钢车间，企业经报批《</w:t>
      </w:r>
      <w:r>
        <w:rPr>
          <w:rFonts w:ascii="Times New Roman" w:hAnsi="Times New Roman" w:cs="Times New Roman"/>
          <w:lang w:val="en-GB"/>
        </w:rPr>
        <w:t>4万吨不锈钢管坯项目</w:t>
      </w:r>
      <w:r>
        <w:rPr>
          <w:rFonts w:ascii="Times New Roman" w:hAnsi="Times New Roman" w:cs="Times New Roman"/>
          <w:spacing w:val="0"/>
          <w:szCs w:val="21"/>
        </w:rPr>
        <w:t>》</w:t>
      </w:r>
      <w:r>
        <w:rPr>
          <w:rFonts w:ascii="Times New Roman" w:hAnsi="Times New Roman" w:cs="Times New Roman"/>
          <w:lang w:val="en-GB"/>
        </w:rPr>
        <w:t>、《湖州久立特钢有限公司年产4万吨不锈钢材生产线技改项目》、</w:t>
      </w:r>
      <w:r>
        <w:rPr>
          <w:rFonts w:ascii="Times New Roman" w:hAnsi="Times New Roman" w:cs="Times New Roman"/>
          <w:spacing w:val="0"/>
          <w:szCs w:val="21"/>
        </w:rPr>
        <w:t>《年产7万吨不锈钢冶炼技术改造项目》、《新建技改配套机修车间项目》、《永兴特种不锈钢股份有限公司年产35万吨不锈钢和镍基合金技改项目环保现状核查报告》后，经审批的生产内容为年产</w:t>
      </w:r>
      <w:r>
        <w:rPr>
          <w:rFonts w:hint="eastAsia" w:ascii="Times New Roman" w:hAnsi="Times New Roman" w:cs="Times New Roman"/>
          <w:spacing w:val="0"/>
          <w:szCs w:val="21"/>
        </w:rPr>
        <w:t>高品质</w:t>
      </w:r>
      <w:r>
        <w:rPr>
          <w:rFonts w:ascii="Times New Roman" w:hAnsi="Times New Roman" w:cs="Times New Roman"/>
          <w:spacing w:val="0"/>
          <w:szCs w:val="21"/>
        </w:rPr>
        <w:t>不锈钢</w:t>
      </w:r>
      <w:r>
        <w:rPr>
          <w:rFonts w:hint="eastAsia" w:ascii="Times New Roman" w:hAnsi="Times New Roman" w:cs="Times New Roman"/>
          <w:spacing w:val="0"/>
          <w:szCs w:val="21"/>
        </w:rPr>
        <w:t>和</w:t>
      </w:r>
      <w:r>
        <w:rPr>
          <w:rFonts w:ascii="Times New Roman" w:hAnsi="Times New Roman" w:cs="Times New Roman"/>
          <w:spacing w:val="0"/>
          <w:szCs w:val="21"/>
        </w:rPr>
        <w:t>特殊合金钢钢锭10万t/a，主要生产设备为30t电弧炉、30tAOD炉、30tLF炉，2018年现状实际生产规模为7.2万t/a，均为模铸钢锭。</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制氧车间为炼钢一厂的配套车间，位于东</w:t>
      </w:r>
      <w:r>
        <w:rPr>
          <w:rFonts w:ascii="Times New Roman" w:hAnsi="Times New Roman" w:cs="Times New Roman"/>
          <w:spacing w:val="0"/>
          <w:szCs w:val="21"/>
        </w:rPr>
        <w:t>地块，</w:t>
      </w:r>
      <w:r>
        <w:rPr>
          <w:rFonts w:hint="eastAsia" w:ascii="Times New Roman" w:hAnsi="Times New Roman" w:cs="Times New Roman"/>
          <w:spacing w:val="0"/>
          <w:szCs w:val="21"/>
        </w:rPr>
        <w:t>经报批《</w:t>
      </w:r>
      <w:r>
        <w:rPr>
          <w:rFonts w:ascii="Times New Roman" w:hAnsi="Times New Roman" w:cs="Times New Roman"/>
          <w:spacing w:val="0"/>
          <w:szCs w:val="21"/>
        </w:rPr>
        <w:t>制氧车间异地搬迁项目</w:t>
      </w:r>
      <w:r>
        <w:rPr>
          <w:rFonts w:hint="eastAsia" w:ascii="Times New Roman" w:hAnsi="Times New Roman" w:cs="Times New Roman"/>
          <w:spacing w:val="0"/>
          <w:szCs w:val="21"/>
        </w:rPr>
        <w:t>》后审批产能为年制氧1500万Nm</w:t>
      </w:r>
      <w:r>
        <w:rPr>
          <w:rFonts w:hint="eastAsia" w:ascii="Times New Roman" w:hAnsi="Times New Roman" w:cs="Times New Roman"/>
          <w:spacing w:val="0"/>
          <w:szCs w:val="21"/>
          <w:vertAlign w:val="superscript"/>
        </w:rPr>
        <w:t>3</w:t>
      </w:r>
      <w:r>
        <w:rPr>
          <w:rFonts w:hint="eastAsia" w:ascii="Times New Roman" w:hAnsi="Times New Roman" w:cs="Times New Roman"/>
          <w:spacing w:val="0"/>
          <w:szCs w:val="21"/>
        </w:rPr>
        <w:t>/a、纯度为≥99.6%，制氮1000万Nm</w:t>
      </w:r>
      <w:r>
        <w:rPr>
          <w:rFonts w:hint="eastAsia" w:ascii="Times New Roman" w:hAnsi="Times New Roman" w:cs="Times New Roman"/>
          <w:spacing w:val="0"/>
          <w:szCs w:val="21"/>
          <w:vertAlign w:val="superscript"/>
        </w:rPr>
        <w:t>3</w:t>
      </w:r>
      <w:r>
        <w:rPr>
          <w:rFonts w:hint="eastAsia" w:ascii="Times New Roman" w:hAnsi="Times New Roman" w:cs="Times New Roman"/>
          <w:spacing w:val="0"/>
          <w:szCs w:val="21"/>
        </w:rPr>
        <w:t>/a、纯度为≥99.99%， 2018年实际产能为年制氧1448万Nm</w:t>
      </w:r>
      <w:r>
        <w:rPr>
          <w:rFonts w:hint="eastAsia" w:ascii="Times New Roman" w:hAnsi="Times New Roman" w:cs="Times New Roman"/>
          <w:spacing w:val="0"/>
          <w:szCs w:val="21"/>
          <w:vertAlign w:val="superscript"/>
        </w:rPr>
        <w:t>3</w:t>
      </w:r>
      <w:r>
        <w:rPr>
          <w:rFonts w:hint="eastAsia" w:ascii="Times New Roman" w:hAnsi="Times New Roman" w:cs="Times New Roman"/>
          <w:spacing w:val="0"/>
          <w:szCs w:val="21"/>
        </w:rPr>
        <w:t>/a、制氮950万Nm</w:t>
      </w:r>
      <w:r>
        <w:rPr>
          <w:rFonts w:hint="eastAsia" w:ascii="Times New Roman" w:hAnsi="Times New Roman" w:cs="Times New Roman"/>
          <w:spacing w:val="0"/>
          <w:szCs w:val="21"/>
          <w:vertAlign w:val="superscript"/>
        </w:rPr>
        <w:t>3</w:t>
      </w:r>
      <w:r>
        <w:rPr>
          <w:rFonts w:hint="eastAsia" w:ascii="Times New Roman" w:hAnsi="Times New Roman" w:cs="Times New Roman"/>
          <w:spacing w:val="0"/>
          <w:szCs w:val="21"/>
        </w:rPr>
        <w:t>/a。</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2、炼钢二厂</w:t>
      </w:r>
    </w:p>
    <w:p>
      <w:pPr>
        <w:pStyle w:val="4"/>
        <w:spacing w:line="480" w:lineRule="exact"/>
        <w:rPr>
          <w:rFonts w:ascii="Times New Roman" w:hAnsi="Times New Roman" w:cs="Times New Roman"/>
          <w:spacing w:val="0"/>
          <w:szCs w:val="21"/>
        </w:rPr>
      </w:pPr>
      <w:r>
        <w:rPr>
          <w:rFonts w:hint="eastAsia" w:ascii="Times New Roman" w:hAnsi="Times New Roman" w:cs="Times New Roman"/>
          <w:spacing w:val="0"/>
          <w:szCs w:val="21"/>
        </w:rPr>
        <w:t>通过报批《</w:t>
      </w:r>
      <w:r>
        <w:rPr>
          <w:rFonts w:ascii="Times New Roman" w:hAnsi="Times New Roman" w:cs="Times New Roman"/>
          <w:spacing w:val="0"/>
          <w:szCs w:val="21"/>
        </w:rPr>
        <w:t>淘汰20吨电弧炉氩氧炉等量建设40吨超高功率电弧炉顶底吹氩氧精炼炉真空吹氧脱碳炉及弧形连铸技改项目</w:t>
      </w:r>
      <w:r>
        <w:rPr>
          <w:rFonts w:hint="eastAsia" w:ascii="Times New Roman" w:hAnsi="Times New Roman" w:cs="Times New Roman"/>
          <w:spacing w:val="0"/>
          <w:szCs w:val="21"/>
        </w:rPr>
        <w:t>》、《永兴特种不锈钢股份有限公司年产35万吨不锈钢和镍基合金技改项目环保现状核查报告》，炼钢二厂经审批的生产内容为年产不锈钢锭、连铸方坯25万t/a，经现状核查后审批主要</w:t>
      </w:r>
      <w:r>
        <w:rPr>
          <w:rFonts w:ascii="Times New Roman" w:hAnsi="Times New Roman" w:cs="Times New Roman"/>
          <w:spacing w:val="0"/>
          <w:szCs w:val="21"/>
        </w:rPr>
        <w:t>生产设备为</w:t>
      </w:r>
      <w:r>
        <w:rPr>
          <w:rFonts w:hint="eastAsia" w:ascii="Times New Roman" w:hAnsi="Times New Roman" w:cs="Times New Roman"/>
          <w:spacing w:val="0"/>
          <w:szCs w:val="21"/>
        </w:rPr>
        <w:t>50</w:t>
      </w:r>
      <w:r>
        <w:rPr>
          <w:rFonts w:ascii="Times New Roman" w:hAnsi="Times New Roman" w:cs="Times New Roman"/>
          <w:spacing w:val="0"/>
          <w:szCs w:val="21"/>
        </w:rPr>
        <w:t>t</w:t>
      </w:r>
      <w:r>
        <w:rPr>
          <w:rFonts w:hint="eastAsia" w:ascii="Times New Roman" w:hAnsi="Times New Roman" w:cs="Times New Roman"/>
          <w:spacing w:val="0"/>
          <w:szCs w:val="21"/>
        </w:rPr>
        <w:t>电弧炉、</w:t>
      </w:r>
      <w:r>
        <w:rPr>
          <w:rFonts w:ascii="Times New Roman" w:hAnsi="Times New Roman" w:cs="Times New Roman"/>
          <w:spacing w:val="0"/>
          <w:szCs w:val="21"/>
        </w:rPr>
        <w:t>50tAOD-L</w:t>
      </w:r>
      <w:r>
        <w:rPr>
          <w:rFonts w:hint="eastAsia" w:ascii="Times New Roman" w:hAnsi="Times New Roman" w:cs="Times New Roman"/>
          <w:spacing w:val="0"/>
          <w:szCs w:val="21"/>
        </w:rPr>
        <w:t>炉</w:t>
      </w:r>
      <w:r>
        <w:rPr>
          <w:rFonts w:ascii="Times New Roman" w:hAnsi="Times New Roman" w:cs="Times New Roman"/>
          <w:spacing w:val="0"/>
          <w:szCs w:val="21"/>
        </w:rPr>
        <w:t>、</w:t>
      </w:r>
      <w:r>
        <w:rPr>
          <w:rFonts w:hint="eastAsia" w:ascii="Times New Roman" w:hAnsi="Times New Roman" w:cs="Times New Roman"/>
          <w:spacing w:val="0"/>
          <w:szCs w:val="21"/>
        </w:rPr>
        <w:t>50</w:t>
      </w:r>
      <w:r>
        <w:rPr>
          <w:rFonts w:ascii="Times New Roman" w:hAnsi="Times New Roman" w:cs="Times New Roman"/>
          <w:spacing w:val="0"/>
          <w:szCs w:val="21"/>
        </w:rPr>
        <w:t>tLF</w:t>
      </w:r>
      <w:r>
        <w:rPr>
          <w:rFonts w:hint="eastAsia" w:ascii="Times New Roman" w:hAnsi="Times New Roman" w:cs="Times New Roman"/>
          <w:spacing w:val="0"/>
          <w:szCs w:val="21"/>
        </w:rPr>
        <w:t>炉、</w:t>
      </w:r>
      <w:r>
        <w:rPr>
          <w:rFonts w:ascii="Times New Roman" w:hAnsi="Times New Roman" w:cs="Times New Roman"/>
          <w:spacing w:val="0"/>
          <w:szCs w:val="21"/>
        </w:rPr>
        <w:t>2机</w:t>
      </w:r>
      <w:r>
        <w:rPr>
          <w:rFonts w:hint="eastAsia" w:ascii="Times New Roman" w:hAnsi="Times New Roman" w:cs="Times New Roman"/>
          <w:spacing w:val="0"/>
          <w:szCs w:val="21"/>
        </w:rPr>
        <w:t>2流</w:t>
      </w:r>
      <w:r>
        <w:rPr>
          <w:rFonts w:ascii="Times New Roman" w:hAnsi="Times New Roman" w:cs="Times New Roman"/>
          <w:spacing w:val="0"/>
          <w:szCs w:val="21"/>
        </w:rPr>
        <w:t>不锈钢连铸机</w:t>
      </w:r>
      <w:r>
        <w:rPr>
          <w:rFonts w:hint="eastAsia" w:ascii="Times New Roman" w:hAnsi="Times New Roman" w:cs="Times New Roman"/>
          <w:spacing w:val="0"/>
          <w:szCs w:val="21"/>
        </w:rPr>
        <w:t>，根据</w:t>
      </w:r>
      <w:r>
        <w:rPr>
          <w:rFonts w:ascii="Times New Roman" w:hAnsi="Times New Roman" w:cs="Times New Roman"/>
          <w:spacing w:val="0"/>
          <w:szCs w:val="21"/>
        </w:rPr>
        <w:t>统计</w:t>
      </w:r>
      <w:r>
        <w:rPr>
          <w:rFonts w:hint="eastAsia" w:ascii="Times New Roman" w:hAnsi="Times New Roman" w:cs="Times New Roman"/>
          <w:spacing w:val="0"/>
          <w:szCs w:val="21"/>
        </w:rPr>
        <w:t>2018年现状实际产量为22.4万t/a。</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3、轧钢分厂</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老轧钢厂</w:t>
      </w:r>
      <w:r>
        <w:rPr>
          <w:rFonts w:ascii="Times New Roman" w:hAnsi="Times New Roman" w:cs="Times New Roman"/>
          <w:spacing w:val="0"/>
          <w:szCs w:val="24"/>
        </w:rPr>
        <w:t>于</w:t>
      </w:r>
      <w:r>
        <w:rPr>
          <w:rFonts w:hint="eastAsia" w:ascii="Times New Roman" w:hAnsi="Times New Roman" w:cs="Times New Roman"/>
          <w:spacing w:val="0"/>
          <w:szCs w:val="24"/>
        </w:rPr>
        <w:t>2018.7停产，</w:t>
      </w:r>
      <w:r>
        <w:rPr>
          <w:rFonts w:ascii="Times New Roman" w:hAnsi="Times New Roman" w:cs="Times New Roman"/>
          <w:spacing w:val="0"/>
          <w:szCs w:val="24"/>
        </w:rPr>
        <w:t>新轧钢厂于</w:t>
      </w:r>
      <w:r>
        <w:rPr>
          <w:rFonts w:hint="eastAsia" w:ascii="Times New Roman" w:hAnsi="Times New Roman" w:cs="Times New Roman"/>
          <w:spacing w:val="0"/>
          <w:szCs w:val="24"/>
        </w:rPr>
        <w:t>2018.4开始</w:t>
      </w:r>
      <w:r>
        <w:rPr>
          <w:rFonts w:ascii="Times New Roman" w:hAnsi="Times New Roman" w:cs="Times New Roman"/>
          <w:spacing w:val="0"/>
          <w:szCs w:val="24"/>
        </w:rPr>
        <w:t>投入运行。</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对于</w:t>
      </w:r>
      <w:r>
        <w:rPr>
          <w:rFonts w:ascii="Times New Roman" w:hAnsi="Times New Roman" w:cs="Times New Roman"/>
          <w:spacing w:val="0"/>
          <w:szCs w:val="24"/>
        </w:rPr>
        <w:t>老轧钢厂，</w:t>
      </w:r>
      <w:r>
        <w:rPr>
          <w:rFonts w:hint="eastAsia" w:ascii="Times New Roman" w:hAnsi="Times New Roman" w:cs="Times New Roman"/>
          <w:spacing w:val="0"/>
          <w:szCs w:val="24"/>
        </w:rPr>
        <w:t>通过报批《</w:t>
      </w:r>
      <w:r>
        <w:rPr>
          <w:rFonts w:ascii="Times New Roman" w:hAnsi="Times New Roman" w:cs="Times New Roman" w:eastAsiaTheme="minorEastAsia"/>
          <w:szCs w:val="24"/>
        </w:rPr>
        <w:t>不锈钢连轧技改项目</w:t>
      </w:r>
      <w:r>
        <w:rPr>
          <w:rFonts w:hint="eastAsia" w:ascii="Times New Roman" w:hAnsi="Times New Roman" w:cs="Times New Roman"/>
          <w:spacing w:val="0"/>
          <w:szCs w:val="24"/>
        </w:rPr>
        <w:t>》，审批规模为年连轧20万t/a的棒线材。后通过报批《</w:t>
      </w:r>
      <w:r>
        <w:rPr>
          <w:rFonts w:ascii="Times New Roman" w:hAnsi="Times New Roman" w:cs="Times New Roman" w:eastAsiaTheme="minorEastAsia"/>
          <w:szCs w:val="24"/>
        </w:rPr>
        <w:t>年产3万吨不锈钢高速线材及酸洗搬迁改造项目</w:t>
      </w:r>
      <w:r>
        <w:rPr>
          <w:rFonts w:hint="eastAsia" w:ascii="Times New Roman" w:hAnsi="Times New Roman" w:cs="Times New Roman"/>
          <w:spacing w:val="0"/>
          <w:szCs w:val="24"/>
        </w:rPr>
        <w:t>》，将原20万t/a中的3万t/a棒线材进一步酸洗加工，经调查，现状已淘汰该部分酸洗生产内容。老轧钢厂实际产量为年轧钢4.64万t/a(2018.1</w:t>
      </w:r>
      <w:r>
        <w:rPr>
          <w:rFonts w:hint="eastAsia" w:ascii="宋体" w:hAnsi="宋体" w:cs="Times New Roman"/>
          <w:spacing w:val="0"/>
          <w:szCs w:val="24"/>
        </w:rPr>
        <w:t>～</w:t>
      </w:r>
      <w:r>
        <w:rPr>
          <w:rFonts w:hint="eastAsia" w:ascii="Times New Roman" w:hAnsi="Times New Roman" w:cs="Times New Roman"/>
          <w:spacing w:val="0"/>
          <w:szCs w:val="24"/>
        </w:rPr>
        <w:t>2018.6)，并已于2018.7停产。</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对</w:t>
      </w:r>
      <w:r>
        <w:rPr>
          <w:rFonts w:ascii="Times New Roman" w:hAnsi="Times New Roman" w:cs="Times New Roman"/>
          <w:spacing w:val="0"/>
          <w:szCs w:val="24"/>
        </w:rPr>
        <w:t>于新轧钢厂，企业2015年报批了《年产25万吨高品质不锈钢和特种合金棒线项目》，该项目实施后原轧钢线均拆除，成立新轧钢厂，轧钢产能为年产25万吨高品质不锈钢及特种合金棒材、线材和发卷盘，同</w:t>
      </w:r>
      <w:r>
        <w:rPr>
          <w:rFonts w:ascii="Times New Roman" w:hAnsi="Times New Roman" w:cs="Times New Roman"/>
        </w:rPr>
        <w:t>时配套建设有10万吨/年酸洗能力的酸洗车间</w:t>
      </w:r>
      <w:r>
        <w:rPr>
          <w:rFonts w:ascii="Times New Roman" w:hAnsi="Times New Roman" w:cs="Times New Roman"/>
          <w:spacing w:val="0"/>
          <w:szCs w:val="24"/>
        </w:rPr>
        <w:t>。该项目于2018.4月建成投产，并且该项目酸洗均安排到酸洗精整车间，新轧钢厂内不再设置酸洗线，即新轧钢厂内仅设置了轧钢车间。</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综上所述，轧钢厂经审批的最终生产规模为年轧25万t/a的棒、线材(不含</w:t>
      </w:r>
      <w:r>
        <w:rPr>
          <w:rFonts w:ascii="Times New Roman" w:hAnsi="Times New Roman" w:cs="Times New Roman"/>
          <w:spacing w:val="0"/>
          <w:szCs w:val="24"/>
        </w:rPr>
        <w:t>酸洗</w:t>
      </w:r>
      <w:r>
        <w:rPr>
          <w:rFonts w:hint="eastAsia" w:ascii="Times New Roman" w:hAnsi="Times New Roman" w:cs="Times New Roman"/>
          <w:spacing w:val="0"/>
          <w:szCs w:val="24"/>
        </w:rPr>
        <w:t>)，2018年4月</w:t>
      </w:r>
      <w:r>
        <w:rPr>
          <w:rFonts w:hint="eastAsia" w:ascii="宋体" w:hAnsi="宋体" w:cs="Times New Roman"/>
          <w:spacing w:val="0"/>
          <w:szCs w:val="24"/>
        </w:rPr>
        <w:t>～</w:t>
      </w:r>
      <w:r>
        <w:rPr>
          <w:rFonts w:hint="eastAsia" w:ascii="Times New Roman" w:hAnsi="Times New Roman" w:cs="Times New Roman"/>
          <w:spacing w:val="0"/>
          <w:szCs w:val="24"/>
        </w:rPr>
        <w:t xml:space="preserve">12月(合计9个月)实际产量为15.47万t/a(不含酸洗)，同时老轧钢厂已停产。 </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4、精整酸洗车间</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通过报批《</w:t>
      </w:r>
      <w:r>
        <w:rPr>
          <w:rFonts w:ascii="Times New Roman" w:hAnsi="Times New Roman" w:cs="Times New Roman" w:eastAsiaTheme="minorEastAsia"/>
          <w:szCs w:val="24"/>
        </w:rPr>
        <w:t>不锈钢线材后整理系统技术改造项目</w:t>
      </w:r>
      <w:r>
        <w:rPr>
          <w:rFonts w:hint="eastAsia" w:ascii="Times New Roman" w:hAnsi="Times New Roman" w:cs="Times New Roman"/>
          <w:spacing w:val="0"/>
          <w:szCs w:val="24"/>
        </w:rPr>
        <w:t>》，审批规模为不锈钢线材年后整理量10万t/a(均需酸洗)，其中需固溶规模为5万t/a。随后，企业</w:t>
      </w:r>
      <w:r>
        <w:rPr>
          <w:rFonts w:ascii="Times New Roman" w:hAnsi="Times New Roman" w:cs="Times New Roman"/>
          <w:spacing w:val="0"/>
          <w:szCs w:val="24"/>
        </w:rPr>
        <w:t>于</w:t>
      </w:r>
      <w:r>
        <w:rPr>
          <w:rFonts w:hint="eastAsia" w:ascii="Times New Roman" w:hAnsi="Times New Roman" w:cs="Times New Roman"/>
          <w:spacing w:val="0"/>
          <w:szCs w:val="24"/>
        </w:rPr>
        <w:t>2012年报批了《</w:t>
      </w:r>
      <w:r>
        <w:rPr>
          <w:rFonts w:ascii="Times New Roman" w:hAnsi="Times New Roman" w:cs="Times New Roman" w:eastAsiaTheme="minorEastAsia"/>
          <w:szCs w:val="24"/>
        </w:rPr>
        <w:t>不锈钢盘条表面处理技术改造项目</w:t>
      </w:r>
      <w:r>
        <w:rPr>
          <w:rFonts w:hint="eastAsia" w:ascii="Times New Roman" w:hAnsi="Times New Roman" w:cs="Times New Roman"/>
          <w:spacing w:val="0"/>
          <w:szCs w:val="24"/>
        </w:rPr>
        <w:t>》(已取消)、2015年报批了《</w:t>
      </w:r>
      <w:r>
        <w:rPr>
          <w:rFonts w:ascii="Times New Roman" w:hAnsi="Times New Roman" w:cs="Times New Roman" w:eastAsiaTheme="minorEastAsia"/>
          <w:szCs w:val="24"/>
        </w:rPr>
        <w:t>不锈钢盘条表面处理技术改造项目</w:t>
      </w:r>
      <w:r>
        <w:rPr>
          <w:rFonts w:hint="eastAsia" w:ascii="Times New Roman" w:hAnsi="Times New Roman" w:cs="Times New Roman"/>
          <w:spacing w:val="0"/>
          <w:szCs w:val="24"/>
        </w:rPr>
        <w:t>》，调整后形成年处理不锈钢表面12万吨的生产能力，产品为不锈钢盘条、棒材，内设2条酸洗线。</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根据调查，企业2018年实际产能为年</w:t>
      </w:r>
      <w:r>
        <w:rPr>
          <w:rFonts w:ascii="Times New Roman" w:hAnsi="Times New Roman" w:cs="Times New Roman"/>
          <w:spacing w:val="0"/>
          <w:szCs w:val="24"/>
        </w:rPr>
        <w:t>酸洗处理</w:t>
      </w:r>
      <w:r>
        <w:rPr>
          <w:rFonts w:hint="eastAsia" w:ascii="Times New Roman" w:hAnsi="Times New Roman" w:cs="Times New Roman"/>
          <w:spacing w:val="0"/>
          <w:szCs w:val="24"/>
        </w:rPr>
        <w:t>不锈钢盘条、棒材10.91万t/a。</w:t>
      </w:r>
    </w:p>
    <w:p>
      <w:pPr>
        <w:pStyle w:val="4"/>
        <w:spacing w:line="480" w:lineRule="exact"/>
        <w:rPr>
          <w:rFonts w:ascii="Times New Roman" w:hAnsi="Times New Roman" w:cs="Times New Roman"/>
          <w:spacing w:val="0"/>
          <w:szCs w:val="24"/>
        </w:rPr>
      </w:pPr>
      <w:r>
        <w:rPr>
          <w:rFonts w:ascii="Times New Roman" w:hAnsi="Times New Roman" w:cs="Times New Roman"/>
          <w:spacing w:val="0"/>
          <w:szCs w:val="24"/>
        </w:rPr>
        <w:t>5、公用配套工程</w:t>
      </w:r>
    </w:p>
    <w:p>
      <w:pPr>
        <w:pStyle w:val="4"/>
        <w:spacing w:line="480" w:lineRule="exact"/>
        <w:rPr>
          <w:rFonts w:ascii="Times New Roman" w:hAnsi="Times New Roman" w:cs="Times New Roman"/>
          <w:spacing w:val="0"/>
          <w:szCs w:val="24"/>
        </w:rPr>
      </w:pPr>
      <w:r>
        <w:rPr>
          <w:rFonts w:ascii="Times New Roman" w:hAnsi="Times New Roman" w:cs="Times New Roman"/>
          <w:spacing w:val="0"/>
          <w:szCs w:val="24"/>
        </w:rPr>
        <w:t>2014年报批了《</w:t>
      </w:r>
      <w:r>
        <w:rPr>
          <w:rFonts w:ascii="Times New Roman" w:hAnsi="Times New Roman" w:cs="Times New Roman" w:eastAsiaTheme="minorEastAsia"/>
          <w:spacing w:val="0"/>
          <w:szCs w:val="24"/>
        </w:rPr>
        <w:t>不锈钢钢渣资源循环利用项目</w:t>
      </w:r>
      <w:r>
        <w:rPr>
          <w:rFonts w:ascii="Times New Roman" w:hAnsi="Times New Roman" w:cs="Times New Roman"/>
          <w:spacing w:val="0"/>
          <w:szCs w:val="24"/>
        </w:rPr>
        <w:t>》，</w:t>
      </w:r>
      <w:r>
        <w:rPr>
          <w:rFonts w:ascii="Times New Roman" w:hAnsi="Times New Roman" w:cs="Times New Roman"/>
          <w:spacing w:val="0"/>
          <w:lang w:val="en-GB"/>
        </w:rPr>
        <w:t>采用高温焖渣、物理裂解工艺，提升炉渣处理效率，可提高废渣钢回收率10%，废渣可供水泥行业作为原料，达到资源的综合利用。项目建成后具备与目前熔炼工序匹配的炉渣处理能力，年钢渣处理能力10万吨，年回收不锈废钢3000吨，出售含钢废渣97000吨。</w:t>
      </w:r>
      <w:r>
        <w:rPr>
          <w:rFonts w:ascii="Times New Roman" w:hAnsi="Times New Roman" w:cs="Times New Roman"/>
          <w:spacing w:val="0"/>
          <w:szCs w:val="24"/>
        </w:rPr>
        <w:t>根据调查，2018年实际处理钢渣量为8.2498万t/a。</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lang w:val="en-GB"/>
        </w:rPr>
        <w:t>考虑</w:t>
      </w:r>
      <w:r>
        <w:rPr>
          <w:rFonts w:ascii="Times New Roman" w:hAnsi="Times New Roman" w:cs="Times New Roman"/>
          <w:spacing w:val="0"/>
          <w:lang w:val="en-GB"/>
        </w:rPr>
        <w:t>到管道天然气优先保障居民用气的情况，永兴特种不锈钢股份有限公司上马</w:t>
      </w:r>
      <w:r>
        <w:rPr>
          <w:rFonts w:hint="eastAsia" w:ascii="Times New Roman" w:hAnsi="Times New Roman" w:cs="Times New Roman"/>
          <w:spacing w:val="0"/>
          <w:lang w:val="en-GB"/>
        </w:rPr>
        <w:t>了</w:t>
      </w:r>
      <w:r>
        <w:rPr>
          <w:rFonts w:ascii="Times New Roman" w:hAnsi="Times New Roman" w:cs="Times New Roman"/>
          <w:spacing w:val="0"/>
          <w:lang w:val="en-GB"/>
        </w:rPr>
        <w:t>LNG应急气源技改项目，投资建设一座储量200m</w:t>
      </w:r>
      <w:r>
        <w:rPr>
          <w:rFonts w:ascii="Times New Roman" w:hAnsi="Times New Roman" w:cs="Times New Roman"/>
          <w:spacing w:val="0"/>
          <w:vertAlign w:val="superscript"/>
          <w:lang w:val="en-GB"/>
        </w:rPr>
        <w:t>3</w:t>
      </w:r>
      <w:r>
        <w:rPr>
          <w:rFonts w:ascii="Times New Roman" w:hAnsi="Times New Roman" w:cs="Times New Roman"/>
          <w:spacing w:val="0"/>
          <w:lang w:val="en-GB"/>
        </w:rPr>
        <w:t>的LNG气化站，实现保障生产与经济效益的两利，因此企业于</w:t>
      </w:r>
      <w:r>
        <w:rPr>
          <w:rFonts w:ascii="Times New Roman" w:hAnsi="Times New Roman" w:cs="Times New Roman"/>
          <w:spacing w:val="0"/>
          <w:szCs w:val="24"/>
        </w:rPr>
        <w:t>2015年报批了《</w:t>
      </w:r>
      <w:r>
        <w:rPr>
          <w:rFonts w:ascii="Times New Roman" w:hAnsi="Times New Roman" w:cs="Times New Roman" w:eastAsiaTheme="minorEastAsia"/>
          <w:spacing w:val="0"/>
          <w:szCs w:val="24"/>
        </w:rPr>
        <w:t>应急气源工程项目</w:t>
      </w:r>
      <w:r>
        <w:rPr>
          <w:rFonts w:ascii="Times New Roman" w:hAnsi="Times New Roman" w:cs="Times New Roman"/>
          <w:spacing w:val="0"/>
          <w:szCs w:val="24"/>
        </w:rPr>
        <w:t>》，增加2个LNG低温储罐，年供气能力为1.8×10</w:t>
      </w:r>
      <w:r>
        <w:rPr>
          <w:rFonts w:ascii="Times New Roman" w:hAnsi="Times New Roman" w:cs="Times New Roman"/>
          <w:spacing w:val="0"/>
          <w:szCs w:val="24"/>
          <w:vertAlign w:val="superscript"/>
        </w:rPr>
        <w:t>7</w:t>
      </w:r>
      <w:r>
        <w:rPr>
          <w:rFonts w:ascii="Times New Roman" w:hAnsi="Times New Roman" w:cs="Times New Roman"/>
          <w:spacing w:val="0"/>
          <w:szCs w:val="24"/>
        </w:rPr>
        <w:t>Nm</w:t>
      </w:r>
      <w:r>
        <w:rPr>
          <w:rFonts w:ascii="Times New Roman" w:hAnsi="Times New Roman" w:cs="Times New Roman"/>
          <w:spacing w:val="0"/>
          <w:szCs w:val="24"/>
          <w:vertAlign w:val="superscript"/>
        </w:rPr>
        <w:t>3</w:t>
      </w:r>
      <w:r>
        <w:rPr>
          <w:rFonts w:hint="eastAsia" w:ascii="Times New Roman" w:hAnsi="Times New Roman" w:cs="Times New Roman"/>
          <w:spacing w:val="0"/>
          <w:szCs w:val="24"/>
        </w:rPr>
        <w:t>，该项目</w:t>
      </w:r>
      <w:r>
        <w:rPr>
          <w:rFonts w:ascii="Times New Roman" w:hAnsi="Times New Roman" w:cs="Times New Roman"/>
          <w:spacing w:val="0"/>
          <w:szCs w:val="24"/>
        </w:rPr>
        <w:t>已建成并</w:t>
      </w:r>
      <w:r>
        <w:rPr>
          <w:rFonts w:hint="eastAsia" w:ascii="Times New Roman" w:hAnsi="Times New Roman" w:cs="Times New Roman"/>
          <w:spacing w:val="0"/>
          <w:szCs w:val="24"/>
        </w:rPr>
        <w:t>通过</w:t>
      </w:r>
      <w:r>
        <w:rPr>
          <w:rFonts w:ascii="Times New Roman" w:hAnsi="Times New Roman" w:cs="Times New Roman"/>
          <w:spacing w:val="0"/>
          <w:szCs w:val="24"/>
        </w:rPr>
        <w:t>验收。</w:t>
      </w:r>
      <w:r>
        <w:rPr>
          <w:rFonts w:hint="eastAsia" w:ascii="Times New Roman" w:hAnsi="Times New Roman" w:cs="Times New Roman"/>
          <w:spacing w:val="0"/>
          <w:szCs w:val="24"/>
        </w:rPr>
        <w:t>根据</w:t>
      </w:r>
      <w:r>
        <w:rPr>
          <w:rFonts w:ascii="Times New Roman" w:hAnsi="Times New Roman" w:cs="Times New Roman"/>
          <w:spacing w:val="0"/>
          <w:szCs w:val="24"/>
        </w:rPr>
        <w:t>调查，2018</w:t>
      </w:r>
      <w:r>
        <w:rPr>
          <w:rFonts w:hint="eastAsia" w:ascii="Times New Roman" w:hAnsi="Times New Roman" w:cs="Times New Roman"/>
          <w:spacing w:val="0"/>
          <w:szCs w:val="24"/>
        </w:rPr>
        <w:t>年8月前使用LNG和管道天然气联合供气，由于价格</w:t>
      </w:r>
      <w:r>
        <w:rPr>
          <w:rFonts w:ascii="Times New Roman" w:hAnsi="Times New Roman" w:cs="Times New Roman"/>
          <w:spacing w:val="0"/>
          <w:szCs w:val="24"/>
        </w:rPr>
        <w:t>原因，</w:t>
      </w:r>
      <w:r>
        <w:rPr>
          <w:rFonts w:hint="eastAsia" w:ascii="Times New Roman" w:hAnsi="Times New Roman" w:cs="Times New Roman"/>
          <w:spacing w:val="0"/>
          <w:szCs w:val="24"/>
        </w:rPr>
        <w:t>2018年9月起均使用管道天然气，未使用</w:t>
      </w:r>
      <w:r>
        <w:rPr>
          <w:rFonts w:ascii="Times New Roman" w:hAnsi="Times New Roman" w:cs="Times New Roman"/>
          <w:spacing w:val="0"/>
          <w:szCs w:val="24"/>
        </w:rPr>
        <w:t>LNG</w:t>
      </w:r>
      <w:r>
        <w:rPr>
          <w:rFonts w:hint="eastAsia" w:ascii="Times New Roman" w:hAnsi="Times New Roman" w:cs="Times New Roman"/>
          <w:spacing w:val="0"/>
          <w:szCs w:val="24"/>
        </w:rPr>
        <w:t>低温储罐</w:t>
      </w:r>
      <w:r>
        <w:rPr>
          <w:rFonts w:ascii="Times New Roman" w:hAnsi="Times New Roman" w:cs="Times New Roman"/>
          <w:spacing w:val="0"/>
          <w:szCs w:val="24"/>
        </w:rPr>
        <w:t>。</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lang w:val="en-GB"/>
        </w:rPr>
        <w:t>企业于2015年7月报批了《永兴特种不锈钢股份有限公司永兴特钢后勤设施改建项目环境影响登记表》，拆除原有食堂及办公楼，新建集食堂、浴室为一体的后勤用房，</w:t>
      </w:r>
      <w:r>
        <w:rPr>
          <w:rFonts w:hint="eastAsia" w:ascii="Times New Roman" w:hAnsi="Times New Roman" w:cs="Times New Roman" w:eastAsiaTheme="minorEastAsia"/>
          <w:spacing w:val="0"/>
          <w:lang w:val="en-GB"/>
        </w:rPr>
        <w:t>根据</w:t>
      </w:r>
      <w:r>
        <w:rPr>
          <w:rFonts w:ascii="Times New Roman" w:hAnsi="Times New Roman" w:cs="Times New Roman" w:eastAsiaTheme="minorEastAsia"/>
          <w:spacing w:val="0"/>
          <w:lang w:val="en-GB"/>
        </w:rPr>
        <w:t>调查该项目已建设完成并通过验收。</w:t>
      </w:r>
      <w:r>
        <w:rPr>
          <w:rFonts w:ascii="Times New Roman" w:hAnsi="Times New Roman" w:cs="Times New Roman" w:eastAsiaTheme="minorEastAsia"/>
          <w:spacing w:val="0"/>
          <w:szCs w:val="24"/>
        </w:rPr>
        <w:t xml:space="preserve"> </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综上所述，企业现状各分厂(车间)审批规模及2018年实际生产规模详见表3-3。</w:t>
      </w:r>
    </w:p>
    <w:p>
      <w:pPr>
        <w:pStyle w:val="313"/>
        <w:tabs>
          <w:tab w:val="clear" w:pos="3908"/>
        </w:tabs>
        <w:ind w:left="1122" w:hanging="561"/>
        <w:rPr>
          <w:rFonts w:ascii="Times New Roman" w:hAnsi="Times New Roman"/>
        </w:rPr>
      </w:pPr>
      <w:r>
        <w:rPr>
          <w:rFonts w:hint="eastAsia" w:ascii="Times New Roman" w:hAnsi="Times New Roman"/>
        </w:rPr>
        <w:t>企业</w:t>
      </w:r>
      <w:r>
        <w:rPr>
          <w:rFonts w:hint="eastAsia" w:ascii="Times New Roman" w:hAnsi="Times New Roman"/>
          <w:lang w:eastAsia="zh-CN"/>
        </w:rPr>
        <w:t>各分厂(车间)审批规模及实际生产情况一览表</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024"/>
        <w:gridCol w:w="1134"/>
        <w:gridCol w:w="1044"/>
        <w:gridCol w:w="1545"/>
        <w:gridCol w:w="2334"/>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厂区（车间）</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产品情况</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审批规模</w:t>
            </w:r>
          </w:p>
        </w:tc>
        <w:tc>
          <w:tcPr>
            <w:tcW w:w="2334" w:type="dxa"/>
            <w:vAlign w:val="center"/>
          </w:tcPr>
          <w:p>
            <w:pPr>
              <w:jc w:val="center"/>
              <w:rPr>
                <w:rFonts w:eastAsiaTheme="minorEastAsia"/>
                <w:sz w:val="21"/>
                <w:szCs w:val="21"/>
              </w:rPr>
            </w:pPr>
            <w:r>
              <w:rPr>
                <w:rFonts w:eastAsiaTheme="minorEastAsia"/>
                <w:sz w:val="21"/>
                <w:szCs w:val="21"/>
              </w:rPr>
              <w:t>2018年度产量</w:t>
            </w:r>
          </w:p>
        </w:tc>
        <w:tc>
          <w:tcPr>
            <w:tcW w:w="1188" w:type="dxa"/>
            <w:vAlign w:val="center"/>
          </w:tcPr>
          <w:p>
            <w:pPr>
              <w:jc w:val="center"/>
              <w:rPr>
                <w:rFonts w:eastAsiaTheme="minorEastAsia"/>
                <w:sz w:val="21"/>
                <w:szCs w:val="21"/>
              </w:rPr>
            </w:pPr>
            <w:r>
              <w:rPr>
                <w:rFonts w:hint="eastAsia" w:eastAsiaTheme="minorEastAsia"/>
                <w:sz w:val="21"/>
                <w:szCs w:val="21"/>
              </w:rPr>
              <w:t>达产率(%)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Merge w:val="restart"/>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炼钢一厂</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不锈钢钢锭</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10万</w:t>
            </w:r>
            <w:r>
              <w:rPr>
                <w:rFonts w:hint="eastAsia" w:ascii="Times New Roman" w:hAnsi="Times New Roman" w:cs="Times New Roman" w:eastAsiaTheme="minorEastAsia"/>
                <w:spacing w:val="0"/>
                <w:sz w:val="21"/>
                <w:szCs w:val="21"/>
              </w:rPr>
              <w:t>t/a</w:t>
            </w:r>
          </w:p>
        </w:tc>
        <w:tc>
          <w:tcPr>
            <w:tcW w:w="2334" w:type="dxa"/>
            <w:vAlign w:val="center"/>
          </w:tcPr>
          <w:p>
            <w:pPr>
              <w:jc w:val="center"/>
              <w:rPr>
                <w:rFonts w:eastAsiaTheme="minorEastAsia"/>
                <w:sz w:val="21"/>
                <w:szCs w:val="21"/>
              </w:rPr>
            </w:pPr>
            <w:r>
              <w:rPr>
                <w:rFonts w:eastAsiaTheme="minorEastAsia"/>
                <w:sz w:val="21"/>
                <w:szCs w:val="21"/>
              </w:rPr>
              <w:t>7.2万</w:t>
            </w:r>
            <w:r>
              <w:rPr>
                <w:rFonts w:hint="eastAsia" w:eastAsiaTheme="minorEastAsia"/>
                <w:sz w:val="21"/>
                <w:szCs w:val="21"/>
              </w:rPr>
              <w:t>t/a</w:t>
            </w:r>
          </w:p>
        </w:tc>
        <w:tc>
          <w:tcPr>
            <w:tcW w:w="1188" w:type="dxa"/>
            <w:vAlign w:val="center"/>
          </w:tcPr>
          <w:p>
            <w:pPr>
              <w:jc w:val="center"/>
              <w:rPr>
                <w:rFonts w:eastAsiaTheme="minorEastAsia"/>
                <w:sz w:val="21"/>
                <w:szCs w:val="21"/>
              </w:rPr>
            </w:pPr>
            <w:r>
              <w:rPr>
                <w:rFonts w:eastAsiaTheme="minorEastAsia"/>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Merge w:val="continue"/>
            <w:vAlign w:val="center"/>
          </w:tcPr>
          <w:p>
            <w:pPr>
              <w:pStyle w:val="4"/>
              <w:spacing w:line="0" w:lineRule="atLeast"/>
              <w:ind w:firstLine="0"/>
              <w:jc w:val="center"/>
              <w:rPr>
                <w:rFonts w:ascii="Times New Roman" w:hAnsi="Times New Roman" w:cs="Times New Roman" w:eastAsiaTheme="minorEastAsia"/>
                <w:spacing w:val="0"/>
                <w:sz w:val="21"/>
                <w:szCs w:val="21"/>
              </w:rPr>
            </w:pPr>
          </w:p>
        </w:tc>
        <w:tc>
          <w:tcPr>
            <w:tcW w:w="1134" w:type="dxa"/>
            <w:vMerge w:val="restart"/>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制氧车间</w:t>
            </w:r>
          </w:p>
        </w:tc>
        <w:tc>
          <w:tcPr>
            <w:tcW w:w="1044"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氧气</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1</w:t>
            </w:r>
            <w:r>
              <w:rPr>
                <w:rFonts w:ascii="Times New Roman" w:hAnsi="Times New Roman" w:cs="Times New Roman" w:eastAsiaTheme="minorEastAsia"/>
                <w:spacing w:val="0"/>
                <w:sz w:val="21"/>
                <w:szCs w:val="21"/>
              </w:rPr>
              <w:t>500万</w:t>
            </w:r>
            <w:r>
              <w:rPr>
                <w:rFonts w:hint="eastAsia" w:ascii="Times New Roman" w:hAnsi="Times New Roman" w:cs="Times New Roman" w:eastAsiaTheme="minorEastAsia"/>
                <w:spacing w:val="0"/>
                <w:sz w:val="21"/>
                <w:szCs w:val="21"/>
              </w:rPr>
              <w:t>N</w:t>
            </w:r>
            <w:r>
              <w:rPr>
                <w:rFonts w:ascii="Times New Roman" w:hAnsi="Times New Roman" w:cs="Times New Roman" w:eastAsiaTheme="minorEastAsia"/>
                <w:spacing w:val="0"/>
                <w:sz w:val="21"/>
                <w:szCs w:val="21"/>
              </w:rPr>
              <w:t>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r>
              <w:rPr>
                <w:rFonts w:hint="eastAsia" w:ascii="Times New Roman" w:hAnsi="Times New Roman" w:cs="Times New Roman" w:eastAsiaTheme="minorEastAsia"/>
                <w:spacing w:val="0"/>
                <w:sz w:val="21"/>
                <w:szCs w:val="21"/>
              </w:rPr>
              <w:t>a</w:t>
            </w:r>
          </w:p>
        </w:tc>
        <w:tc>
          <w:tcPr>
            <w:tcW w:w="2334" w:type="dxa"/>
            <w:vAlign w:val="center"/>
          </w:tcPr>
          <w:p>
            <w:pPr>
              <w:jc w:val="center"/>
              <w:rPr>
                <w:rFonts w:eastAsiaTheme="minorEastAsia"/>
                <w:sz w:val="21"/>
                <w:szCs w:val="21"/>
              </w:rPr>
            </w:pPr>
            <w:r>
              <w:rPr>
                <w:rFonts w:eastAsiaTheme="minorEastAsia"/>
                <w:sz w:val="21"/>
                <w:szCs w:val="21"/>
              </w:rPr>
              <w:t>1</w:t>
            </w:r>
            <w:r>
              <w:rPr>
                <w:rFonts w:hint="eastAsia" w:eastAsiaTheme="minorEastAsia"/>
                <w:sz w:val="21"/>
                <w:szCs w:val="21"/>
              </w:rPr>
              <w:t>448</w:t>
            </w:r>
            <w:r>
              <w:rPr>
                <w:rFonts w:eastAsiaTheme="minorEastAsia"/>
                <w:sz w:val="21"/>
                <w:szCs w:val="21"/>
              </w:rPr>
              <w:t>万</w:t>
            </w:r>
            <w:r>
              <w:rPr>
                <w:rFonts w:hint="eastAsia" w:eastAsiaTheme="minorEastAsia"/>
                <w:sz w:val="21"/>
                <w:szCs w:val="21"/>
              </w:rPr>
              <w:t>N</w:t>
            </w:r>
            <w:r>
              <w:rPr>
                <w:rFonts w:eastAsiaTheme="minorEastAsia"/>
                <w:sz w:val="21"/>
                <w:szCs w:val="21"/>
              </w:rPr>
              <w:t>m</w:t>
            </w:r>
            <w:r>
              <w:rPr>
                <w:rFonts w:eastAsiaTheme="minorEastAsia"/>
                <w:sz w:val="21"/>
                <w:szCs w:val="21"/>
                <w:vertAlign w:val="superscript"/>
              </w:rPr>
              <w:t>3</w:t>
            </w:r>
            <w:r>
              <w:rPr>
                <w:rFonts w:eastAsiaTheme="minorEastAsia"/>
                <w:sz w:val="21"/>
                <w:szCs w:val="21"/>
              </w:rPr>
              <w:t>/</w:t>
            </w:r>
            <w:r>
              <w:rPr>
                <w:rFonts w:hint="eastAsia" w:eastAsiaTheme="minorEastAsia"/>
                <w:sz w:val="21"/>
                <w:szCs w:val="21"/>
              </w:rPr>
              <w:t>a</w:t>
            </w:r>
          </w:p>
        </w:tc>
        <w:tc>
          <w:tcPr>
            <w:tcW w:w="1188" w:type="dxa"/>
            <w:vAlign w:val="center"/>
          </w:tcPr>
          <w:p>
            <w:pPr>
              <w:jc w:val="center"/>
              <w:rPr>
                <w:rFonts w:eastAsiaTheme="minorEastAsia"/>
                <w:sz w:val="21"/>
                <w:szCs w:val="21"/>
              </w:rPr>
            </w:pPr>
            <w:r>
              <w:rPr>
                <w:rFonts w:hint="eastAsia" w:eastAsiaTheme="minorEastAsia"/>
                <w:sz w:val="21"/>
                <w:szCs w:val="21"/>
              </w:rPr>
              <w:t>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Merge w:val="continue"/>
            <w:vAlign w:val="center"/>
          </w:tcPr>
          <w:p>
            <w:pPr>
              <w:pStyle w:val="4"/>
              <w:spacing w:line="0" w:lineRule="atLeast"/>
              <w:ind w:firstLine="0"/>
              <w:jc w:val="center"/>
              <w:rPr>
                <w:rFonts w:ascii="Times New Roman" w:hAnsi="Times New Roman" w:cs="Times New Roman" w:eastAsiaTheme="minorEastAsia"/>
                <w:spacing w:val="0"/>
                <w:sz w:val="21"/>
                <w:szCs w:val="21"/>
              </w:rPr>
            </w:pPr>
          </w:p>
        </w:tc>
        <w:tc>
          <w:tcPr>
            <w:tcW w:w="1134" w:type="dxa"/>
            <w:vMerge w:val="continue"/>
            <w:vAlign w:val="center"/>
          </w:tcPr>
          <w:p>
            <w:pPr>
              <w:pStyle w:val="4"/>
              <w:spacing w:line="0" w:lineRule="atLeast"/>
              <w:ind w:firstLine="0"/>
              <w:jc w:val="center"/>
              <w:rPr>
                <w:rFonts w:ascii="Times New Roman" w:hAnsi="Times New Roman" w:cs="Times New Roman" w:eastAsiaTheme="minorEastAsia"/>
                <w:spacing w:val="0"/>
                <w:sz w:val="21"/>
                <w:szCs w:val="21"/>
              </w:rPr>
            </w:pPr>
          </w:p>
        </w:tc>
        <w:tc>
          <w:tcPr>
            <w:tcW w:w="1044"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氮气</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w:t>
            </w:r>
            <w:r>
              <w:rPr>
                <w:rFonts w:hint="eastAsia" w:ascii="Times New Roman" w:hAnsi="Times New Roman" w:cs="Times New Roman" w:eastAsiaTheme="minorEastAsia"/>
                <w:spacing w:val="0"/>
                <w:sz w:val="21"/>
                <w:szCs w:val="21"/>
              </w:rPr>
              <w:t>0</w:t>
            </w:r>
            <w:r>
              <w:rPr>
                <w:rFonts w:ascii="Times New Roman" w:hAnsi="Times New Roman" w:cs="Times New Roman" w:eastAsiaTheme="minorEastAsia"/>
                <w:spacing w:val="0"/>
                <w:sz w:val="21"/>
                <w:szCs w:val="21"/>
              </w:rPr>
              <w:t>00万</w:t>
            </w:r>
            <w:r>
              <w:rPr>
                <w:rFonts w:hint="eastAsia" w:ascii="Times New Roman" w:hAnsi="Times New Roman" w:cs="Times New Roman" w:eastAsiaTheme="minorEastAsia"/>
                <w:spacing w:val="0"/>
                <w:sz w:val="21"/>
                <w:szCs w:val="21"/>
              </w:rPr>
              <w:t>N</w:t>
            </w:r>
            <w:r>
              <w:rPr>
                <w:rFonts w:ascii="Times New Roman" w:hAnsi="Times New Roman" w:cs="Times New Roman" w:eastAsiaTheme="minorEastAsia"/>
                <w:spacing w:val="0"/>
                <w:sz w:val="21"/>
                <w:szCs w:val="21"/>
              </w:rPr>
              <w:t>m</w:t>
            </w:r>
            <w:r>
              <w:rPr>
                <w:rFonts w:ascii="Times New Roman" w:hAnsi="Times New Roman" w:cs="Times New Roman" w:eastAsiaTheme="minorEastAsia"/>
                <w:spacing w:val="0"/>
                <w:sz w:val="21"/>
                <w:szCs w:val="21"/>
                <w:vertAlign w:val="superscript"/>
              </w:rPr>
              <w:t>3</w:t>
            </w:r>
            <w:r>
              <w:rPr>
                <w:rFonts w:ascii="Times New Roman" w:hAnsi="Times New Roman" w:cs="Times New Roman" w:eastAsiaTheme="minorEastAsia"/>
                <w:spacing w:val="0"/>
                <w:sz w:val="21"/>
                <w:szCs w:val="21"/>
              </w:rPr>
              <w:t>/</w:t>
            </w:r>
            <w:r>
              <w:rPr>
                <w:rFonts w:hint="eastAsia" w:ascii="Times New Roman" w:hAnsi="Times New Roman" w:cs="Times New Roman" w:eastAsiaTheme="minorEastAsia"/>
                <w:spacing w:val="0"/>
                <w:sz w:val="21"/>
                <w:szCs w:val="21"/>
              </w:rPr>
              <w:t>a</w:t>
            </w:r>
          </w:p>
        </w:tc>
        <w:tc>
          <w:tcPr>
            <w:tcW w:w="2334" w:type="dxa"/>
            <w:vAlign w:val="center"/>
          </w:tcPr>
          <w:p>
            <w:pPr>
              <w:jc w:val="center"/>
              <w:rPr>
                <w:rFonts w:eastAsiaTheme="minorEastAsia"/>
                <w:sz w:val="21"/>
                <w:szCs w:val="21"/>
              </w:rPr>
            </w:pPr>
            <w:r>
              <w:rPr>
                <w:rFonts w:hint="eastAsia" w:eastAsiaTheme="minorEastAsia"/>
                <w:b/>
                <w:bCs/>
                <w:sz w:val="21"/>
                <w:szCs w:val="21"/>
              </w:rPr>
              <w:t>950</w:t>
            </w:r>
            <w:r>
              <w:rPr>
                <w:rFonts w:eastAsiaTheme="minorEastAsia"/>
                <w:sz w:val="21"/>
                <w:szCs w:val="21"/>
              </w:rPr>
              <w:t>万</w:t>
            </w:r>
            <w:r>
              <w:rPr>
                <w:rFonts w:hint="eastAsia" w:eastAsiaTheme="minorEastAsia"/>
                <w:sz w:val="21"/>
                <w:szCs w:val="21"/>
              </w:rPr>
              <w:t>N</w:t>
            </w:r>
            <w:r>
              <w:rPr>
                <w:rFonts w:eastAsiaTheme="minorEastAsia"/>
                <w:sz w:val="21"/>
                <w:szCs w:val="21"/>
              </w:rPr>
              <w:t>m</w:t>
            </w:r>
            <w:r>
              <w:rPr>
                <w:rFonts w:eastAsiaTheme="minorEastAsia"/>
                <w:sz w:val="21"/>
                <w:szCs w:val="21"/>
                <w:vertAlign w:val="superscript"/>
              </w:rPr>
              <w:t>3</w:t>
            </w:r>
            <w:r>
              <w:rPr>
                <w:rFonts w:eastAsiaTheme="minorEastAsia"/>
                <w:sz w:val="21"/>
                <w:szCs w:val="21"/>
              </w:rPr>
              <w:t>/</w:t>
            </w:r>
            <w:r>
              <w:rPr>
                <w:rFonts w:hint="eastAsia" w:eastAsiaTheme="minorEastAsia"/>
                <w:sz w:val="21"/>
                <w:szCs w:val="21"/>
              </w:rPr>
              <w:t>a</w:t>
            </w:r>
          </w:p>
        </w:tc>
        <w:tc>
          <w:tcPr>
            <w:tcW w:w="1188" w:type="dxa"/>
            <w:vAlign w:val="center"/>
          </w:tcPr>
          <w:p>
            <w:pPr>
              <w:jc w:val="center"/>
              <w:rPr>
                <w:rFonts w:eastAsiaTheme="minorEastAsia"/>
                <w:sz w:val="21"/>
                <w:szCs w:val="21"/>
              </w:rPr>
            </w:pPr>
            <w:r>
              <w:rPr>
                <w:rFonts w:hint="eastAsia" w:eastAsiaTheme="minorEastAsia"/>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炼钢二厂</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不锈钢连铸坯</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25万</w:t>
            </w:r>
            <w:r>
              <w:rPr>
                <w:rFonts w:hint="eastAsia" w:ascii="Times New Roman" w:hAnsi="Times New Roman" w:cs="Times New Roman" w:eastAsiaTheme="minorEastAsia"/>
                <w:spacing w:val="0"/>
                <w:sz w:val="21"/>
                <w:szCs w:val="21"/>
              </w:rPr>
              <w:t>t/a</w:t>
            </w:r>
          </w:p>
        </w:tc>
        <w:tc>
          <w:tcPr>
            <w:tcW w:w="2334" w:type="dxa"/>
            <w:vAlign w:val="center"/>
          </w:tcPr>
          <w:p>
            <w:pPr>
              <w:jc w:val="center"/>
              <w:rPr>
                <w:rFonts w:eastAsiaTheme="minorEastAsia"/>
                <w:sz w:val="21"/>
                <w:szCs w:val="21"/>
              </w:rPr>
            </w:pPr>
            <w:r>
              <w:rPr>
                <w:rFonts w:eastAsiaTheme="minorEastAsia"/>
                <w:sz w:val="21"/>
                <w:szCs w:val="21"/>
              </w:rPr>
              <w:t>22.40万</w:t>
            </w:r>
            <w:r>
              <w:rPr>
                <w:rFonts w:hint="eastAsia" w:eastAsiaTheme="minorEastAsia"/>
                <w:sz w:val="21"/>
                <w:szCs w:val="21"/>
              </w:rPr>
              <w:t>t/a</w:t>
            </w:r>
          </w:p>
        </w:tc>
        <w:tc>
          <w:tcPr>
            <w:tcW w:w="1188" w:type="dxa"/>
            <w:vAlign w:val="center"/>
          </w:tcPr>
          <w:p>
            <w:pPr>
              <w:jc w:val="center"/>
              <w:rPr>
                <w:rFonts w:eastAsiaTheme="minorEastAsia"/>
                <w:sz w:val="21"/>
                <w:szCs w:val="21"/>
              </w:rPr>
            </w:pPr>
            <w:r>
              <w:rPr>
                <w:rFonts w:hint="eastAsia" w:eastAsiaTheme="minorEastAsia"/>
                <w:sz w:val="21"/>
                <w:szCs w:val="21"/>
              </w:rPr>
              <w:t>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Merge w:val="restart"/>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轧钢厂</w:t>
            </w:r>
            <w:r>
              <w:rPr>
                <w:rFonts w:hint="eastAsia" w:ascii="Times New Roman" w:hAnsi="Times New Roman" w:cs="Times New Roman" w:eastAsiaTheme="minorEastAsia"/>
                <w:spacing w:val="0"/>
                <w:sz w:val="21"/>
                <w:szCs w:val="21"/>
              </w:rPr>
              <w:t>*</w:t>
            </w:r>
          </w:p>
        </w:tc>
        <w:tc>
          <w:tcPr>
            <w:tcW w:w="1024"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老轧钢厂</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不锈钢盘条、直条</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20万t/a</w:t>
            </w:r>
          </w:p>
        </w:tc>
        <w:tc>
          <w:tcPr>
            <w:tcW w:w="2334" w:type="dxa"/>
            <w:vAlign w:val="center"/>
          </w:tcPr>
          <w:p>
            <w:pPr>
              <w:jc w:val="center"/>
              <w:rPr>
                <w:rFonts w:eastAsiaTheme="minorEastAsia"/>
                <w:sz w:val="21"/>
                <w:szCs w:val="21"/>
              </w:rPr>
            </w:pPr>
            <w:r>
              <w:rPr>
                <w:rFonts w:hint="eastAsia" w:eastAsiaTheme="minorEastAsia"/>
                <w:sz w:val="21"/>
                <w:szCs w:val="21"/>
              </w:rPr>
              <w:t>4.64万t/a(6个月)</w:t>
            </w:r>
          </w:p>
        </w:tc>
        <w:tc>
          <w:tcPr>
            <w:tcW w:w="1188" w:type="dxa"/>
            <w:vAlign w:val="center"/>
          </w:tcPr>
          <w:p>
            <w:pPr>
              <w:jc w:val="center"/>
              <w:rPr>
                <w:rFonts w:eastAsiaTheme="minorEastAsia"/>
                <w:sz w:val="21"/>
                <w:szCs w:val="21"/>
              </w:rPr>
            </w:pPr>
            <w:r>
              <w:rPr>
                <w:rFonts w:hint="eastAsia" w:eastAsiaTheme="minorEastAsia"/>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532" w:type="dxa"/>
            <w:vMerge w:val="continue"/>
            <w:vAlign w:val="center"/>
          </w:tcPr>
          <w:p>
            <w:pPr>
              <w:pStyle w:val="4"/>
              <w:spacing w:line="0" w:lineRule="atLeast"/>
              <w:ind w:firstLine="0"/>
              <w:jc w:val="center"/>
              <w:rPr>
                <w:rFonts w:ascii="Times New Roman" w:hAnsi="Times New Roman" w:cs="Times New Roman" w:eastAsiaTheme="minorEastAsia"/>
                <w:spacing w:val="0"/>
                <w:sz w:val="21"/>
                <w:szCs w:val="21"/>
              </w:rPr>
            </w:pPr>
          </w:p>
        </w:tc>
        <w:tc>
          <w:tcPr>
            <w:tcW w:w="1024"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新轧钢厂</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不锈钢盘条、直条</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w:t>
            </w:r>
            <w:r>
              <w:rPr>
                <w:rFonts w:hint="eastAsia" w:ascii="Times New Roman" w:hAnsi="Times New Roman" w:cs="Times New Roman" w:eastAsiaTheme="minorEastAsia"/>
                <w:spacing w:val="0"/>
                <w:sz w:val="21"/>
                <w:szCs w:val="21"/>
              </w:rPr>
              <w:t>5</w:t>
            </w:r>
            <w:r>
              <w:rPr>
                <w:rFonts w:ascii="Times New Roman" w:hAnsi="Times New Roman" w:cs="Times New Roman" w:eastAsiaTheme="minorEastAsia"/>
                <w:spacing w:val="0"/>
                <w:sz w:val="21"/>
                <w:szCs w:val="21"/>
              </w:rPr>
              <w:t>万</w:t>
            </w:r>
            <w:r>
              <w:rPr>
                <w:rFonts w:hint="eastAsia" w:ascii="Times New Roman" w:hAnsi="Times New Roman" w:cs="Times New Roman" w:eastAsiaTheme="minorEastAsia"/>
                <w:spacing w:val="0"/>
                <w:sz w:val="21"/>
                <w:szCs w:val="21"/>
              </w:rPr>
              <w:t>t/a</w:t>
            </w:r>
          </w:p>
        </w:tc>
        <w:tc>
          <w:tcPr>
            <w:tcW w:w="2334" w:type="dxa"/>
            <w:vAlign w:val="center"/>
          </w:tcPr>
          <w:p>
            <w:pPr>
              <w:jc w:val="center"/>
              <w:rPr>
                <w:rFonts w:eastAsiaTheme="minorEastAsia"/>
                <w:sz w:val="21"/>
                <w:szCs w:val="21"/>
              </w:rPr>
            </w:pPr>
            <w:r>
              <w:rPr>
                <w:rFonts w:hint="eastAsia" w:eastAsiaTheme="minorEastAsia"/>
                <w:sz w:val="21"/>
                <w:szCs w:val="21"/>
              </w:rPr>
              <w:t>15.47</w:t>
            </w:r>
            <w:r>
              <w:rPr>
                <w:rFonts w:eastAsiaTheme="minorEastAsia"/>
                <w:sz w:val="21"/>
                <w:szCs w:val="21"/>
              </w:rPr>
              <w:t>万</w:t>
            </w:r>
            <w:r>
              <w:rPr>
                <w:rFonts w:hint="eastAsia" w:eastAsiaTheme="minorEastAsia"/>
                <w:sz w:val="21"/>
                <w:szCs w:val="21"/>
              </w:rPr>
              <w:t>t/a (9个月)</w:t>
            </w:r>
          </w:p>
        </w:tc>
        <w:tc>
          <w:tcPr>
            <w:tcW w:w="1188" w:type="dxa"/>
            <w:vAlign w:val="center"/>
          </w:tcPr>
          <w:p>
            <w:pPr>
              <w:jc w:val="center"/>
              <w:rPr>
                <w:rFonts w:eastAsiaTheme="minorEastAsia"/>
                <w:sz w:val="21"/>
                <w:szCs w:val="21"/>
              </w:rPr>
            </w:pPr>
            <w:r>
              <w:rPr>
                <w:rFonts w:hint="eastAsia" w:eastAsiaTheme="minorEastAsia"/>
                <w:sz w:val="21"/>
                <w:szCs w:val="21"/>
              </w:rPr>
              <w:t>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精整酸洗厂</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不锈钢盘条、线材</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12万</w:t>
            </w:r>
            <w:r>
              <w:rPr>
                <w:rFonts w:hint="eastAsia" w:ascii="Times New Roman" w:hAnsi="Times New Roman" w:cs="Times New Roman" w:eastAsiaTheme="minorEastAsia"/>
                <w:spacing w:val="0"/>
                <w:sz w:val="21"/>
                <w:szCs w:val="21"/>
              </w:rPr>
              <w:t>t/a</w:t>
            </w:r>
          </w:p>
        </w:tc>
        <w:tc>
          <w:tcPr>
            <w:tcW w:w="2334" w:type="dxa"/>
            <w:vAlign w:val="center"/>
          </w:tcPr>
          <w:p>
            <w:pPr>
              <w:jc w:val="center"/>
              <w:rPr>
                <w:rFonts w:eastAsiaTheme="minorEastAsia"/>
                <w:sz w:val="21"/>
                <w:szCs w:val="21"/>
              </w:rPr>
            </w:pPr>
            <w:r>
              <w:rPr>
                <w:rFonts w:eastAsiaTheme="minorEastAsia"/>
                <w:sz w:val="21"/>
                <w:szCs w:val="21"/>
              </w:rPr>
              <w:t>10.91万</w:t>
            </w:r>
            <w:r>
              <w:rPr>
                <w:rFonts w:hint="eastAsia" w:eastAsiaTheme="minorEastAsia"/>
                <w:sz w:val="21"/>
                <w:szCs w:val="21"/>
              </w:rPr>
              <w:t>t/a</w:t>
            </w:r>
          </w:p>
        </w:tc>
        <w:tc>
          <w:tcPr>
            <w:tcW w:w="1188" w:type="dxa"/>
            <w:vAlign w:val="center"/>
          </w:tcPr>
          <w:p>
            <w:pPr>
              <w:jc w:val="center"/>
              <w:rPr>
                <w:rFonts w:eastAsiaTheme="minorEastAsia"/>
                <w:sz w:val="21"/>
                <w:szCs w:val="21"/>
              </w:rPr>
            </w:pPr>
            <w:r>
              <w:rPr>
                <w:rFonts w:hint="eastAsia" w:eastAsiaTheme="minorEastAsia"/>
                <w:sz w:val="21"/>
                <w:szCs w:val="21"/>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56"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钢渣车间</w:t>
            </w:r>
          </w:p>
        </w:tc>
        <w:tc>
          <w:tcPr>
            <w:tcW w:w="2178" w:type="dxa"/>
            <w:gridSpan w:val="2"/>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处理不锈钢钢渣</w:t>
            </w:r>
          </w:p>
        </w:tc>
        <w:tc>
          <w:tcPr>
            <w:tcW w:w="1545" w:type="dxa"/>
            <w:vAlign w:val="center"/>
          </w:tcPr>
          <w:p>
            <w:pPr>
              <w:pStyle w:val="4"/>
              <w:spacing w:line="0" w:lineRule="atLeast"/>
              <w:ind w:firstLine="0"/>
              <w:jc w:val="center"/>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10万</w:t>
            </w:r>
            <w:r>
              <w:rPr>
                <w:rFonts w:hint="eastAsia" w:ascii="Times New Roman" w:hAnsi="Times New Roman" w:cs="Times New Roman" w:eastAsiaTheme="minorEastAsia"/>
                <w:spacing w:val="0"/>
                <w:sz w:val="21"/>
                <w:szCs w:val="21"/>
              </w:rPr>
              <w:t>t/a</w:t>
            </w:r>
          </w:p>
        </w:tc>
        <w:tc>
          <w:tcPr>
            <w:tcW w:w="2334" w:type="dxa"/>
            <w:vAlign w:val="center"/>
          </w:tcPr>
          <w:p>
            <w:pPr>
              <w:jc w:val="center"/>
              <w:rPr>
                <w:rFonts w:eastAsiaTheme="minorEastAsia"/>
                <w:sz w:val="21"/>
                <w:szCs w:val="21"/>
              </w:rPr>
            </w:pPr>
            <w:r>
              <w:rPr>
                <w:rFonts w:eastAsiaTheme="minorEastAsia"/>
                <w:sz w:val="21"/>
                <w:szCs w:val="21"/>
              </w:rPr>
              <w:t>8.2498万</w:t>
            </w:r>
            <w:r>
              <w:rPr>
                <w:rFonts w:hint="eastAsia" w:eastAsiaTheme="minorEastAsia"/>
                <w:sz w:val="21"/>
                <w:szCs w:val="21"/>
              </w:rPr>
              <w:t>t/a</w:t>
            </w:r>
          </w:p>
        </w:tc>
        <w:tc>
          <w:tcPr>
            <w:tcW w:w="1188" w:type="dxa"/>
            <w:vAlign w:val="center"/>
          </w:tcPr>
          <w:p>
            <w:pPr>
              <w:jc w:val="center"/>
              <w:rPr>
                <w:rFonts w:eastAsiaTheme="minorEastAsia"/>
                <w:sz w:val="21"/>
                <w:szCs w:val="21"/>
              </w:rPr>
            </w:pPr>
            <w:r>
              <w:rPr>
                <w:rFonts w:hint="eastAsia" w:eastAsiaTheme="minorEastAsia"/>
                <w:sz w:val="21"/>
                <w:szCs w:val="21"/>
              </w:rPr>
              <w:t>82.498</w:t>
            </w:r>
          </w:p>
        </w:tc>
      </w:tr>
    </w:tbl>
    <w:p>
      <w:pPr>
        <w:pStyle w:val="4"/>
        <w:spacing w:line="480" w:lineRule="exact"/>
        <w:ind w:firstLine="0"/>
        <w:rPr>
          <w:rFonts w:ascii="Times New Roman" w:hAnsi="Times New Roman" w:cs="Times New Roman"/>
          <w:spacing w:val="0"/>
          <w:sz w:val="21"/>
          <w:szCs w:val="21"/>
        </w:rPr>
      </w:pPr>
      <w:r>
        <w:rPr>
          <w:rFonts w:hint="eastAsia" w:ascii="Times New Roman" w:hAnsi="Times New Roman" w:cs="Times New Roman"/>
          <w:spacing w:val="0"/>
          <w:sz w:val="21"/>
          <w:szCs w:val="21"/>
        </w:rPr>
        <w:t>*注</w:t>
      </w:r>
      <w:r>
        <w:rPr>
          <w:rFonts w:ascii="Times New Roman" w:hAnsi="Times New Roman" w:cs="Times New Roman"/>
          <w:spacing w:val="0"/>
          <w:sz w:val="21"/>
          <w:szCs w:val="21"/>
        </w:rPr>
        <w:t>：</w:t>
      </w:r>
      <w:r>
        <w:rPr>
          <w:rFonts w:hint="eastAsia" w:ascii="Times New Roman" w:hAnsi="Times New Roman" w:cs="Times New Roman"/>
          <w:spacing w:val="0"/>
          <w:sz w:val="21"/>
          <w:szCs w:val="21"/>
        </w:rPr>
        <w:t>老轧钢厂</w:t>
      </w:r>
      <w:r>
        <w:rPr>
          <w:rFonts w:ascii="Times New Roman" w:hAnsi="Times New Roman" w:cs="Times New Roman"/>
          <w:spacing w:val="0"/>
          <w:sz w:val="21"/>
          <w:szCs w:val="21"/>
        </w:rPr>
        <w:t>于</w:t>
      </w:r>
      <w:r>
        <w:rPr>
          <w:rFonts w:hint="eastAsia" w:ascii="Times New Roman" w:hAnsi="Times New Roman" w:cs="Times New Roman"/>
          <w:spacing w:val="0"/>
          <w:sz w:val="21"/>
          <w:szCs w:val="21"/>
        </w:rPr>
        <w:t>2018.7停产，</w:t>
      </w:r>
      <w:r>
        <w:rPr>
          <w:rFonts w:ascii="Times New Roman" w:hAnsi="Times New Roman" w:cs="Times New Roman"/>
          <w:spacing w:val="0"/>
          <w:sz w:val="21"/>
          <w:szCs w:val="21"/>
        </w:rPr>
        <w:t>新轧钢厂于</w:t>
      </w:r>
      <w:r>
        <w:rPr>
          <w:rFonts w:hint="eastAsia" w:ascii="Times New Roman" w:hAnsi="Times New Roman" w:cs="Times New Roman"/>
          <w:spacing w:val="0"/>
          <w:sz w:val="21"/>
          <w:szCs w:val="21"/>
        </w:rPr>
        <w:t>2018.4开始</w:t>
      </w:r>
      <w:r>
        <w:rPr>
          <w:rFonts w:ascii="Times New Roman" w:hAnsi="Times New Roman" w:cs="Times New Roman"/>
          <w:spacing w:val="0"/>
          <w:sz w:val="21"/>
          <w:szCs w:val="21"/>
        </w:rPr>
        <w:t>投入运行</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根据</w:t>
      </w:r>
      <w:r>
        <w:rPr>
          <w:rFonts w:ascii="Times New Roman" w:hAnsi="Times New Roman" w:cs="Times New Roman"/>
          <w:spacing w:val="0"/>
          <w:szCs w:val="24"/>
        </w:rPr>
        <w:t>调查，</w:t>
      </w:r>
      <w:r>
        <w:rPr>
          <w:rFonts w:hint="eastAsia" w:ascii="Times New Roman" w:hAnsi="Times New Roman" w:cs="Times New Roman"/>
          <w:spacing w:val="0"/>
          <w:szCs w:val="24"/>
        </w:rPr>
        <w:t>企业</w:t>
      </w:r>
      <w:r>
        <w:rPr>
          <w:rFonts w:ascii="Times New Roman" w:hAnsi="Times New Roman" w:cs="Times New Roman"/>
          <w:spacing w:val="0"/>
          <w:szCs w:val="24"/>
        </w:rPr>
        <w:t>现状</w:t>
      </w:r>
      <w:r>
        <w:rPr>
          <w:rFonts w:hint="eastAsia" w:ascii="Times New Roman" w:hAnsi="Times New Roman" w:cs="Times New Roman"/>
          <w:spacing w:val="0"/>
          <w:szCs w:val="24"/>
        </w:rPr>
        <w:t>产品</w:t>
      </w:r>
      <w:r>
        <w:rPr>
          <w:rFonts w:ascii="Times New Roman" w:hAnsi="Times New Roman" w:cs="Times New Roman"/>
          <w:spacing w:val="0"/>
          <w:szCs w:val="24"/>
        </w:rPr>
        <w:t>走向详见图</w:t>
      </w:r>
      <w:r>
        <w:rPr>
          <w:rFonts w:hint="eastAsia" w:ascii="Times New Roman" w:hAnsi="Times New Roman" w:cs="Times New Roman"/>
          <w:spacing w:val="0"/>
          <w:szCs w:val="24"/>
        </w:rPr>
        <w:t>3-1，其中2.0236万吨</w:t>
      </w:r>
      <w:r>
        <w:rPr>
          <w:rFonts w:ascii="Times New Roman" w:hAnsi="Times New Roman" w:cs="Times New Roman"/>
          <w:spacing w:val="0"/>
          <w:szCs w:val="24"/>
        </w:rPr>
        <w:t>的钢锭</w:t>
      </w:r>
      <w:r>
        <w:rPr>
          <w:rFonts w:hint="eastAsia" w:ascii="Times New Roman" w:hAnsi="Times New Roman" w:cs="Times New Roman"/>
          <w:spacing w:val="0"/>
          <w:szCs w:val="24"/>
        </w:rPr>
        <w:t>/连铸坯</w:t>
      </w:r>
      <w:r>
        <w:rPr>
          <w:rFonts w:ascii="Times New Roman" w:hAnsi="Times New Roman" w:cs="Times New Roman"/>
          <w:spacing w:val="0"/>
          <w:szCs w:val="24"/>
        </w:rPr>
        <w:t>由</w:t>
      </w:r>
      <w:r>
        <w:rPr>
          <w:rFonts w:hint="eastAsia" w:ascii="Times New Roman" w:hAnsi="Times New Roman" w:cs="Times New Roman" w:eastAsiaTheme="minorEastAsia"/>
          <w:spacing w:val="0"/>
          <w:szCs w:val="24"/>
        </w:rPr>
        <w:t>湖州久立永兴特种合金材料有限公司锻压车间</w:t>
      </w:r>
      <w:r>
        <w:rPr>
          <w:rFonts w:ascii="Times New Roman" w:hAnsi="Times New Roman" w:cs="Times New Roman" w:eastAsiaTheme="minorEastAsia"/>
          <w:spacing w:val="0"/>
          <w:szCs w:val="24"/>
        </w:rPr>
        <w:t>进行</w:t>
      </w:r>
      <w:r>
        <w:rPr>
          <w:rFonts w:hint="eastAsia" w:ascii="Times New Roman" w:hAnsi="Times New Roman" w:cs="Times New Roman" w:eastAsiaTheme="minorEastAsia"/>
          <w:spacing w:val="0"/>
          <w:szCs w:val="24"/>
        </w:rPr>
        <w:t>加工，</w:t>
      </w:r>
      <w:r>
        <w:rPr>
          <w:rFonts w:ascii="Times New Roman" w:hAnsi="Times New Roman" w:cs="Times New Roman" w:eastAsiaTheme="minorEastAsia"/>
          <w:spacing w:val="0"/>
          <w:szCs w:val="24"/>
        </w:rPr>
        <w:t>不在本报告现状</w:t>
      </w:r>
      <w:r>
        <w:rPr>
          <w:rFonts w:hint="eastAsia" w:ascii="Times New Roman" w:hAnsi="Times New Roman" w:cs="Times New Roman" w:eastAsiaTheme="minorEastAsia"/>
          <w:spacing w:val="0"/>
          <w:szCs w:val="24"/>
        </w:rPr>
        <w:t>污染调查范围</w:t>
      </w:r>
      <w:r>
        <w:rPr>
          <w:rFonts w:ascii="Times New Roman" w:hAnsi="Times New Roman" w:cs="Times New Roman" w:eastAsiaTheme="minorEastAsia"/>
          <w:spacing w:val="0"/>
          <w:szCs w:val="24"/>
        </w:rPr>
        <w:t>内。</w:t>
      </w:r>
      <w:r>
        <w:rPr>
          <w:rFonts w:hint="eastAsia" w:ascii="Times New Roman" w:hAnsi="Times New Roman" w:cs="Times New Roman" w:eastAsiaTheme="minorEastAsia"/>
          <w:spacing w:val="0"/>
          <w:szCs w:val="24"/>
        </w:rPr>
        <w:t>久立</w:t>
      </w:r>
      <w:r>
        <w:rPr>
          <w:rFonts w:ascii="Times New Roman" w:hAnsi="Times New Roman" w:cs="Times New Roman" w:eastAsiaTheme="minorEastAsia"/>
          <w:spacing w:val="0"/>
          <w:szCs w:val="24"/>
        </w:rPr>
        <w:t>永兴仅在</w:t>
      </w:r>
      <w:r>
        <w:rPr>
          <w:rFonts w:hint="eastAsia" w:ascii="Times New Roman" w:hAnsi="Times New Roman" w:cs="Times New Roman" w:eastAsiaTheme="minorEastAsia"/>
          <w:spacing w:val="0"/>
          <w:szCs w:val="24"/>
        </w:rPr>
        <w:t>压缩</w:t>
      </w:r>
      <w:r>
        <w:rPr>
          <w:rFonts w:ascii="Times New Roman" w:hAnsi="Times New Roman" w:cs="Times New Roman" w:eastAsiaTheme="minorEastAsia"/>
          <w:spacing w:val="0"/>
          <w:szCs w:val="24"/>
        </w:rPr>
        <w:t>空气管道及氩气供应</w:t>
      </w:r>
      <w:r>
        <w:rPr>
          <w:rFonts w:hint="eastAsia" w:ascii="Times New Roman" w:hAnsi="Times New Roman" w:cs="Times New Roman" w:eastAsiaTheme="minorEastAsia"/>
          <w:spacing w:val="0"/>
          <w:szCs w:val="24"/>
        </w:rPr>
        <w:t>上</w:t>
      </w:r>
      <w:r>
        <w:rPr>
          <w:rFonts w:ascii="Times New Roman" w:hAnsi="Times New Roman" w:cs="Times New Roman" w:eastAsiaTheme="minorEastAsia"/>
          <w:spacing w:val="0"/>
          <w:szCs w:val="24"/>
        </w:rPr>
        <w:t>与本公司存在依托关系，且依托工程未增加</w:t>
      </w:r>
      <w:r>
        <w:rPr>
          <w:rFonts w:hint="eastAsia" w:ascii="Times New Roman" w:hAnsi="Times New Roman" w:cs="Times New Roman" w:eastAsiaTheme="minorEastAsia"/>
          <w:spacing w:val="0"/>
          <w:szCs w:val="24"/>
        </w:rPr>
        <w:t>本企业</w:t>
      </w:r>
      <w:r>
        <w:rPr>
          <w:rFonts w:ascii="Times New Roman" w:hAnsi="Times New Roman" w:cs="Times New Roman" w:eastAsiaTheme="minorEastAsia"/>
          <w:spacing w:val="0"/>
          <w:szCs w:val="24"/>
        </w:rPr>
        <w:t>污染物的排放量</w:t>
      </w:r>
      <w:r>
        <w:rPr>
          <w:rFonts w:hint="eastAsia" w:ascii="Times New Roman" w:hAnsi="Times New Roman" w:cs="Times New Roman" w:eastAsiaTheme="minorEastAsia"/>
          <w:spacing w:val="0"/>
          <w:szCs w:val="24"/>
        </w:rPr>
        <w:t>。</w:t>
      </w:r>
      <w:r>
        <w:rPr>
          <w:rFonts w:ascii="Times New Roman" w:hAnsi="Times New Roman" w:cs="Times New Roman"/>
          <w:spacing w:val="0"/>
          <w:szCs w:val="24"/>
        </w:rPr>
        <w:t xml:space="preserve"> </w:t>
      </w:r>
    </w:p>
    <w:p>
      <w:pPr>
        <w:ind w:firstLine="570"/>
        <w:jc w:val="center"/>
      </w:pPr>
      <w:r>
        <w:object>
          <v:shape id="_x0000_i1025" o:spt="75" type="#_x0000_t75" style="height:306.75pt;width:283.5pt;" o:ole="t" filled="f" o:preferrelative="t" stroked="f" coordsize="21600,21600">
            <v:path/>
            <v:fill on="f" focussize="0,0"/>
            <v:stroke on="f" joinstyle="miter"/>
            <v:imagedata r:id="rId22" cropbottom="11105f" o:title=""/>
            <o:lock v:ext="edit" aspectratio="t"/>
            <w10:wrap type="none"/>
            <w10:anchorlock/>
          </v:shape>
          <o:OLEObject Type="Embed" ProgID="Visio.Drawing.11" ShapeID="_x0000_i1025" DrawAspect="Content" ObjectID="_1468075725" r:id="rId21">
            <o:LockedField>false</o:LockedField>
          </o:OLEObject>
        </w:object>
      </w:r>
    </w:p>
    <w:p>
      <w:pPr>
        <w:jc w:val="center"/>
        <w:rPr>
          <w:rFonts w:eastAsiaTheme="minorEastAsia"/>
          <w:b/>
          <w:sz w:val="24"/>
          <w:szCs w:val="24"/>
        </w:rPr>
      </w:pPr>
      <w:r>
        <w:rPr>
          <w:rFonts w:eastAsiaTheme="minorEastAsia"/>
          <w:b/>
          <w:sz w:val="24"/>
          <w:szCs w:val="24"/>
        </w:rPr>
        <w:t>图3-1 企业现状产品走向图</w:t>
      </w:r>
    </w:p>
    <w:p>
      <w:pPr>
        <w:pStyle w:val="5"/>
        <w:numPr>
          <w:ilvl w:val="2"/>
          <w:numId w:val="25"/>
        </w:numPr>
        <w:spacing w:line="360" w:lineRule="exact"/>
        <w:rPr>
          <w:rFonts w:ascii="Times New Roman"/>
        </w:rPr>
      </w:pPr>
      <w:r>
        <w:rPr>
          <w:rFonts w:ascii="Times New Roman"/>
        </w:rPr>
        <w:t>企业现有设备情况</w:t>
      </w:r>
    </w:p>
    <w:p>
      <w:pPr>
        <w:pStyle w:val="835"/>
        <w:ind w:firstLine="486"/>
        <w:rPr>
          <w:rFonts w:ascii="Times New Roman" w:hAnsi="Times New Roman"/>
        </w:rPr>
      </w:pPr>
      <w:r>
        <w:rPr>
          <w:rFonts w:ascii="Times New Roman" w:hAnsi="Times New Roman"/>
        </w:rPr>
        <w:t>企业现有</w:t>
      </w:r>
      <w:r>
        <w:rPr>
          <w:rFonts w:hint="eastAsia" w:ascii="Times New Roman" w:hAnsi="Times New Roman"/>
        </w:rPr>
        <w:t>设备</w:t>
      </w:r>
      <w:r>
        <w:rPr>
          <w:rFonts w:ascii="Times New Roman" w:hAnsi="Times New Roman"/>
        </w:rPr>
        <w:t>与原审批、验收时基本一致，</w:t>
      </w:r>
      <w:r>
        <w:rPr>
          <w:rFonts w:hint="eastAsia" w:ascii="Times New Roman" w:hAnsi="Times New Roman"/>
        </w:rPr>
        <w:t>主要生产</w:t>
      </w:r>
      <w:r>
        <w:rPr>
          <w:rFonts w:ascii="Times New Roman" w:hAnsi="Times New Roman"/>
        </w:rPr>
        <w:t>设备情况见表3-</w:t>
      </w:r>
      <w:r>
        <w:rPr>
          <w:rFonts w:hint="eastAsia" w:ascii="Times New Roman" w:hAnsi="Times New Roman"/>
        </w:rPr>
        <w:t>4</w:t>
      </w:r>
      <w:r>
        <w:rPr>
          <w:rFonts w:ascii="Times New Roman" w:hAnsi="Times New Roman"/>
        </w:rPr>
        <w:t>。</w:t>
      </w:r>
    </w:p>
    <w:p>
      <w:pPr>
        <w:pStyle w:val="313"/>
        <w:tabs>
          <w:tab w:val="clear" w:pos="3908"/>
        </w:tabs>
        <w:ind w:left="1122" w:hanging="561"/>
        <w:rPr>
          <w:rFonts w:ascii="Times New Roman" w:hAnsi="Times New Roman"/>
        </w:rPr>
      </w:pPr>
      <w:r>
        <w:rPr>
          <w:rFonts w:ascii="Times New Roman" w:hAnsi="Times New Roman"/>
        </w:rPr>
        <w:t>企业现有</w:t>
      </w:r>
      <w:r>
        <w:rPr>
          <w:rFonts w:hint="eastAsia" w:ascii="Times New Roman" w:hAnsi="Times New Roman"/>
          <w:lang w:eastAsia="zh-CN"/>
        </w:rPr>
        <w:t>主要</w:t>
      </w:r>
      <w:r>
        <w:rPr>
          <w:rFonts w:ascii="Times New Roman" w:hAnsi="Times New Roman"/>
          <w:lang w:eastAsia="zh-CN"/>
        </w:rPr>
        <w:t>生产</w:t>
      </w:r>
      <w:r>
        <w:rPr>
          <w:rFonts w:ascii="Times New Roman" w:hAnsi="Times New Roman"/>
        </w:rPr>
        <w:t>设备情况一览表</w:t>
      </w:r>
    </w:p>
    <w:tbl>
      <w:tblPr>
        <w:tblStyle w:val="87"/>
        <w:tblW w:w="8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897"/>
        <w:gridCol w:w="2322"/>
        <w:gridCol w:w="1127"/>
        <w:gridCol w:w="854"/>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466" w:type="dxa"/>
            <w:vMerge w:val="restart"/>
            <w:vAlign w:val="center"/>
          </w:tcPr>
          <w:p>
            <w:pPr>
              <w:widowControl/>
              <w:adjustRightInd w:val="0"/>
              <w:snapToGrid w:val="0"/>
              <w:spacing w:line="300" w:lineRule="exact"/>
              <w:jc w:val="center"/>
              <w:rPr>
                <w:rFonts w:eastAsiaTheme="minorEastAsia"/>
                <w:sz w:val="21"/>
                <w:szCs w:val="21"/>
              </w:rPr>
            </w:pPr>
            <w:r>
              <w:rPr>
                <w:rFonts w:eastAsiaTheme="minorEastAsia"/>
                <w:sz w:val="21"/>
                <w:szCs w:val="21"/>
              </w:rPr>
              <w:t>序号</w:t>
            </w:r>
          </w:p>
        </w:tc>
        <w:tc>
          <w:tcPr>
            <w:tcW w:w="1897"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设备名称</w:t>
            </w:r>
          </w:p>
        </w:tc>
        <w:tc>
          <w:tcPr>
            <w:tcW w:w="2322"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型号</w:t>
            </w:r>
          </w:p>
        </w:tc>
        <w:tc>
          <w:tcPr>
            <w:tcW w:w="1981" w:type="dxa"/>
            <w:gridSpan w:val="2"/>
            <w:vAlign w:val="center"/>
          </w:tcPr>
          <w:p>
            <w:pPr>
              <w:adjustRightInd w:val="0"/>
              <w:snapToGrid w:val="0"/>
              <w:spacing w:line="300" w:lineRule="exact"/>
              <w:jc w:val="center"/>
              <w:rPr>
                <w:rFonts w:eastAsiaTheme="minorEastAsia"/>
                <w:sz w:val="21"/>
                <w:szCs w:val="21"/>
              </w:rPr>
            </w:pPr>
            <w:r>
              <w:rPr>
                <w:rFonts w:eastAsiaTheme="minorEastAsia"/>
                <w:sz w:val="21"/>
                <w:szCs w:val="21"/>
              </w:rPr>
              <w:t>数量(台/套)</w:t>
            </w:r>
          </w:p>
        </w:tc>
        <w:tc>
          <w:tcPr>
            <w:tcW w:w="2135"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466" w:type="dxa"/>
            <w:vMerge w:val="continue"/>
            <w:vAlign w:val="center"/>
          </w:tcPr>
          <w:p>
            <w:pPr>
              <w:widowControl/>
              <w:adjustRightInd w:val="0"/>
              <w:snapToGrid w:val="0"/>
              <w:spacing w:line="300" w:lineRule="exact"/>
              <w:jc w:val="center"/>
              <w:rPr>
                <w:rFonts w:eastAsiaTheme="minorEastAsia"/>
                <w:sz w:val="21"/>
                <w:szCs w:val="21"/>
              </w:rPr>
            </w:pPr>
          </w:p>
        </w:tc>
        <w:tc>
          <w:tcPr>
            <w:tcW w:w="1897" w:type="dxa"/>
            <w:vMerge w:val="continue"/>
            <w:vAlign w:val="center"/>
          </w:tcPr>
          <w:p>
            <w:pPr>
              <w:adjustRightInd w:val="0"/>
              <w:snapToGrid w:val="0"/>
              <w:spacing w:line="300" w:lineRule="exact"/>
              <w:jc w:val="center"/>
              <w:rPr>
                <w:rFonts w:eastAsiaTheme="minorEastAsia"/>
                <w:sz w:val="21"/>
                <w:szCs w:val="21"/>
              </w:rPr>
            </w:pPr>
          </w:p>
        </w:tc>
        <w:tc>
          <w:tcPr>
            <w:tcW w:w="2322" w:type="dxa"/>
            <w:vMerge w:val="continue"/>
            <w:vAlign w:val="center"/>
          </w:tcPr>
          <w:p>
            <w:pPr>
              <w:adjustRightInd w:val="0"/>
              <w:snapToGrid w:val="0"/>
              <w:spacing w:line="300" w:lineRule="exact"/>
              <w:jc w:val="center"/>
              <w:rPr>
                <w:rFonts w:eastAsiaTheme="minorEastAsia"/>
                <w:sz w:val="21"/>
                <w:szCs w:val="21"/>
              </w:rPr>
            </w:pP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原审批</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现状实际</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812" w:type="dxa"/>
            <w:gridSpan w:val="4"/>
            <w:vAlign w:val="center"/>
          </w:tcPr>
          <w:p>
            <w:pPr>
              <w:widowControl/>
              <w:adjustRightInd w:val="0"/>
              <w:snapToGrid w:val="0"/>
              <w:spacing w:line="300" w:lineRule="exact"/>
              <w:jc w:val="center"/>
              <w:textAlignment w:val="center"/>
              <w:rPr>
                <w:rFonts w:eastAsiaTheme="minorEastAsia"/>
                <w:b/>
                <w:sz w:val="21"/>
                <w:szCs w:val="21"/>
              </w:rPr>
            </w:pPr>
            <w:r>
              <w:rPr>
                <w:rFonts w:eastAsiaTheme="minorEastAsia"/>
                <w:b/>
                <w:sz w:val="21"/>
                <w:szCs w:val="21"/>
              </w:rPr>
              <w:t>炼钢一厂</w:t>
            </w:r>
          </w:p>
        </w:tc>
        <w:tc>
          <w:tcPr>
            <w:tcW w:w="2989" w:type="dxa"/>
            <w:gridSpan w:val="2"/>
            <w:vAlign w:val="center"/>
          </w:tcPr>
          <w:p>
            <w:pPr>
              <w:widowControl/>
              <w:adjustRightInd w:val="0"/>
              <w:snapToGrid w:val="0"/>
              <w:spacing w:line="300" w:lineRule="exact"/>
              <w:jc w:val="center"/>
              <w:textAlignment w:val="center"/>
              <w:rPr>
                <w:rFonts w:eastAsiaTheme="minorEastAsia"/>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高合金钢高功率电弧炉</w:t>
            </w:r>
          </w:p>
        </w:tc>
        <w:tc>
          <w:tcPr>
            <w:tcW w:w="2322" w:type="dxa"/>
            <w:vAlign w:val="center"/>
          </w:tcPr>
          <w:p>
            <w:pPr>
              <w:pStyle w:val="1614"/>
              <w:snapToGrid w:val="0"/>
              <w:spacing w:before="78" w:line="300" w:lineRule="exact"/>
              <w:ind w:left="47" w:right="37"/>
              <w:jc w:val="center"/>
              <w:rPr>
                <w:rFonts w:eastAsiaTheme="minorEastAsia"/>
                <w:kern w:val="2"/>
                <w:sz w:val="21"/>
                <w:szCs w:val="21"/>
              </w:rPr>
            </w:pPr>
            <w:r>
              <w:rPr>
                <w:rFonts w:eastAsiaTheme="minorEastAsia"/>
                <w:kern w:val="2"/>
                <w:sz w:val="21"/>
                <w:szCs w:val="21"/>
              </w:rPr>
              <w:t>HX-30T(电炉变压器HSSPKZ―12500/35）</w:t>
            </w:r>
          </w:p>
        </w:tc>
        <w:tc>
          <w:tcPr>
            <w:tcW w:w="1127" w:type="dxa"/>
            <w:vAlign w:val="center"/>
          </w:tcPr>
          <w:p>
            <w:pPr>
              <w:pStyle w:val="1614"/>
              <w:snapToGrid w:val="0"/>
              <w:spacing w:line="300" w:lineRule="exact"/>
              <w:jc w:val="center"/>
              <w:rPr>
                <w:rFonts w:eastAsiaTheme="minorEastAsia"/>
                <w:kern w:val="2"/>
                <w:sz w:val="21"/>
                <w:szCs w:val="21"/>
              </w:rPr>
            </w:pPr>
            <w:r>
              <w:rPr>
                <w:rFonts w:hint="eastAsia" w:eastAsiaTheme="minorEastAsia"/>
                <w:kern w:val="2"/>
                <w:sz w:val="21"/>
                <w:szCs w:val="21"/>
              </w:rPr>
              <w:t>1</w:t>
            </w:r>
          </w:p>
        </w:tc>
        <w:tc>
          <w:tcPr>
            <w:tcW w:w="854" w:type="dxa"/>
            <w:vAlign w:val="center"/>
          </w:tcPr>
          <w:p>
            <w:pPr>
              <w:pStyle w:val="1614"/>
              <w:snapToGrid w:val="0"/>
              <w:spacing w:line="300" w:lineRule="exact"/>
              <w:jc w:val="center"/>
              <w:rPr>
                <w:rFonts w:eastAsiaTheme="minorEastAsia"/>
                <w:kern w:val="2"/>
                <w:sz w:val="21"/>
                <w:szCs w:val="21"/>
              </w:rPr>
            </w:pPr>
            <w:r>
              <w:rPr>
                <w:rFonts w:eastAsiaTheme="minorEastAsia"/>
                <w:kern w:val="2"/>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西安广大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AOD精炼炉</w:t>
            </w:r>
          </w:p>
        </w:tc>
        <w:tc>
          <w:tcPr>
            <w:tcW w:w="2322" w:type="dxa"/>
            <w:vAlign w:val="center"/>
          </w:tcPr>
          <w:p>
            <w:pPr>
              <w:pStyle w:val="1614"/>
              <w:snapToGrid w:val="0"/>
              <w:spacing w:before="78" w:line="300" w:lineRule="exact"/>
              <w:ind w:left="47" w:right="37"/>
              <w:jc w:val="center"/>
              <w:rPr>
                <w:rFonts w:eastAsiaTheme="minorEastAsia"/>
                <w:kern w:val="2"/>
                <w:sz w:val="21"/>
                <w:szCs w:val="21"/>
              </w:rPr>
            </w:pPr>
            <w:r>
              <w:rPr>
                <w:rFonts w:eastAsiaTheme="minorEastAsia"/>
                <w:kern w:val="2"/>
                <w:sz w:val="21"/>
                <w:szCs w:val="21"/>
              </w:rPr>
              <w:t>AOD-30T</w:t>
            </w:r>
          </w:p>
        </w:tc>
        <w:tc>
          <w:tcPr>
            <w:tcW w:w="1127" w:type="dxa"/>
            <w:vAlign w:val="center"/>
          </w:tcPr>
          <w:p>
            <w:pPr>
              <w:pStyle w:val="1614"/>
              <w:snapToGrid w:val="0"/>
              <w:spacing w:line="300" w:lineRule="exact"/>
              <w:jc w:val="center"/>
              <w:rPr>
                <w:rFonts w:eastAsiaTheme="minorEastAsia"/>
                <w:kern w:val="2"/>
                <w:sz w:val="21"/>
                <w:szCs w:val="21"/>
              </w:rPr>
            </w:pPr>
            <w:r>
              <w:rPr>
                <w:rFonts w:hint="eastAsia" w:eastAsiaTheme="minorEastAsia"/>
                <w:kern w:val="2"/>
                <w:sz w:val="21"/>
                <w:szCs w:val="21"/>
              </w:rPr>
              <w:t>1</w:t>
            </w:r>
          </w:p>
        </w:tc>
        <w:tc>
          <w:tcPr>
            <w:tcW w:w="854" w:type="dxa"/>
            <w:vAlign w:val="center"/>
          </w:tcPr>
          <w:p>
            <w:pPr>
              <w:pStyle w:val="1614"/>
              <w:snapToGrid w:val="0"/>
              <w:spacing w:line="300" w:lineRule="exact"/>
              <w:jc w:val="center"/>
              <w:rPr>
                <w:rFonts w:eastAsiaTheme="minorEastAsia"/>
                <w:kern w:val="2"/>
                <w:sz w:val="21"/>
                <w:szCs w:val="21"/>
              </w:rPr>
            </w:pPr>
            <w:r>
              <w:rPr>
                <w:rFonts w:eastAsiaTheme="minorEastAsia"/>
                <w:kern w:val="2"/>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太原钢铁</w:t>
            </w:r>
            <w:r>
              <w:rPr>
                <w:rFonts w:hint="eastAsia" w:eastAsiaTheme="minorEastAsia"/>
                <w:sz w:val="21"/>
                <w:szCs w:val="21"/>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30T LF 炉</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30T（LF 炉变压器型</w:t>
            </w:r>
          </w:p>
          <w:p>
            <w:pPr>
              <w:adjustRightInd w:val="0"/>
              <w:snapToGrid w:val="0"/>
              <w:spacing w:line="300" w:lineRule="exact"/>
              <w:jc w:val="center"/>
              <w:rPr>
                <w:rFonts w:eastAsiaTheme="minorEastAsia"/>
                <w:sz w:val="21"/>
                <w:szCs w:val="21"/>
              </w:rPr>
            </w:pPr>
            <w:r>
              <w:rPr>
                <w:rFonts w:eastAsiaTheme="minorEastAsia"/>
                <w:sz w:val="21"/>
                <w:szCs w:val="21"/>
              </w:rPr>
              <w:t>号HJSSP-6000/6）</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西安广大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电力变压器</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S11-2000KVA/6KV</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浙江江山变压器有限公司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水泵</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DFSG200-63/2</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3</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w:t>
            </w:r>
          </w:p>
        </w:tc>
        <w:tc>
          <w:tcPr>
            <w:tcW w:w="2135" w:type="dxa"/>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布袋除尘系统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9.2 *10</w:t>
            </w:r>
            <w:r>
              <w:rPr>
                <w:rFonts w:eastAsiaTheme="minorEastAsia"/>
                <w:sz w:val="21"/>
                <w:szCs w:val="21"/>
                <w:vertAlign w:val="superscript"/>
              </w:rPr>
              <w:t>5</w:t>
            </w:r>
            <w:r>
              <w:rPr>
                <w:rFonts w:eastAsiaTheme="minorEastAsia"/>
                <w:sz w:val="21"/>
                <w:szCs w:val="21"/>
              </w:rPr>
              <w:t>m</w:t>
            </w:r>
            <w:r>
              <w:rPr>
                <w:rFonts w:eastAsiaTheme="minorEastAsia"/>
                <w:sz w:val="21"/>
                <w:szCs w:val="21"/>
                <w:vertAlign w:val="superscript"/>
              </w:rPr>
              <w:t>3</w:t>
            </w:r>
            <w:r>
              <w:rPr>
                <w:rFonts w:eastAsiaTheme="minorEastAsia"/>
                <w:sz w:val="21"/>
                <w:szCs w:val="21"/>
              </w:rPr>
              <w:t>/h,</w:t>
            </w:r>
          </w:p>
          <w:p>
            <w:pPr>
              <w:adjustRightInd w:val="0"/>
              <w:snapToGrid w:val="0"/>
              <w:spacing w:line="300" w:lineRule="exact"/>
              <w:jc w:val="center"/>
              <w:rPr>
                <w:rFonts w:eastAsiaTheme="minorEastAsia"/>
                <w:sz w:val="21"/>
                <w:szCs w:val="21"/>
              </w:rPr>
            </w:pPr>
            <w:r>
              <w:rPr>
                <w:rFonts w:eastAsiaTheme="minorEastAsia"/>
                <w:sz w:val="21"/>
                <w:szCs w:val="21"/>
              </w:rPr>
              <w:t>YSPKK630-6</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无锡市东方环境工程设计研究所有限公司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烘烤器</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立式、卧式</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3</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w:t>
            </w:r>
          </w:p>
        </w:tc>
        <w:tc>
          <w:tcPr>
            <w:tcW w:w="2135" w:type="dxa"/>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空分系统装置</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750/1200 型</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浙江福斯达空分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空分系统装置</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550/1000 型</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浙江福斯达空分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801" w:type="dxa"/>
            <w:gridSpan w:val="6"/>
            <w:vAlign w:val="center"/>
          </w:tcPr>
          <w:p>
            <w:pPr>
              <w:widowControl/>
              <w:adjustRightInd w:val="0"/>
              <w:snapToGrid w:val="0"/>
              <w:spacing w:line="300" w:lineRule="exact"/>
              <w:jc w:val="center"/>
              <w:textAlignment w:val="center"/>
              <w:rPr>
                <w:rFonts w:eastAsiaTheme="minorEastAsia"/>
                <w:b/>
                <w:sz w:val="21"/>
                <w:szCs w:val="21"/>
              </w:rPr>
            </w:pPr>
            <w:r>
              <w:rPr>
                <w:rFonts w:eastAsiaTheme="minorEastAsia"/>
                <w:b/>
                <w:sz w:val="21"/>
                <w:szCs w:val="21"/>
              </w:rPr>
              <w:t>炼钢二厂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超高功率电弧炉</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HX3-50t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长春电炉成套设备有限责任公司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AOD-L</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50t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上海又成钢铁设备科技有限公司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LF 炉</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LF-50t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长春电炉成套设备有限责任公司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电力变压器</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S10-2000/6.3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3</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保定天威集团(江苏)五洲变压器有限公司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电力变压器</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S10-1250/6.3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保定天威集团(江苏)五洲变压器有限公司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电力变压器</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S10-1600/6.3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保定天威集团(江苏)五洲变压器有限公司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不锈钢连铸机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R10 二机二流不锈钢方圆坯弧形连铸机</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上海重矿连铸技术工程有限公司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电炉除尘器</w:t>
            </w:r>
          </w:p>
        </w:tc>
        <w:tc>
          <w:tcPr>
            <w:tcW w:w="2322"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风量</w:t>
            </w:r>
            <w:r>
              <w:rPr>
                <w:rFonts w:eastAsiaTheme="minorEastAsia"/>
                <w:sz w:val="21"/>
                <w:szCs w:val="21"/>
              </w:rPr>
              <w:t>6</w:t>
            </w:r>
            <w:r>
              <w:rPr>
                <w:rFonts w:hint="eastAsia" w:eastAsiaTheme="minorEastAsia"/>
                <w:sz w:val="21"/>
                <w:szCs w:val="21"/>
              </w:rPr>
              <w:t>500</w:t>
            </w:r>
            <w:r>
              <w:rPr>
                <w:rFonts w:eastAsiaTheme="minorEastAsia"/>
                <w:sz w:val="21"/>
                <w:szCs w:val="21"/>
              </w:rPr>
              <w:t>00m</w:t>
            </w:r>
            <w:r>
              <w:rPr>
                <w:rFonts w:eastAsiaTheme="minorEastAsia"/>
                <w:sz w:val="21"/>
                <w:szCs w:val="21"/>
                <w:vertAlign w:val="superscript"/>
              </w:rPr>
              <w:t>3</w:t>
            </w:r>
            <w:r>
              <w:rPr>
                <w:rFonts w:eastAsiaTheme="minorEastAsia"/>
                <w:sz w:val="21"/>
                <w:szCs w:val="21"/>
              </w:rPr>
              <w:t>/h</w:t>
            </w:r>
          </w:p>
          <w:p>
            <w:pPr>
              <w:adjustRightInd w:val="0"/>
              <w:snapToGrid w:val="0"/>
              <w:spacing w:line="300" w:lineRule="exact"/>
              <w:jc w:val="center"/>
              <w:rPr>
                <w:rFonts w:eastAsiaTheme="minorEastAsia"/>
                <w:sz w:val="21"/>
                <w:szCs w:val="21"/>
              </w:rPr>
            </w:pPr>
            <w:r>
              <w:rPr>
                <w:rFonts w:eastAsiaTheme="minorEastAsia"/>
                <w:sz w:val="21"/>
                <w:szCs w:val="21"/>
              </w:rPr>
              <w:t>YSPKK630-6</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无锡市东方环境工程设计研究所有限公司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AOD-LF 除尘器</w:t>
            </w:r>
          </w:p>
        </w:tc>
        <w:tc>
          <w:tcPr>
            <w:tcW w:w="2322"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风量</w:t>
            </w:r>
            <w:r>
              <w:rPr>
                <w:rFonts w:eastAsiaTheme="minorEastAsia"/>
                <w:sz w:val="21"/>
                <w:szCs w:val="21"/>
              </w:rPr>
              <w:t>4</w:t>
            </w:r>
            <w:r>
              <w:rPr>
                <w:rFonts w:hint="eastAsia" w:eastAsiaTheme="minorEastAsia"/>
                <w:sz w:val="21"/>
                <w:szCs w:val="21"/>
              </w:rPr>
              <w:t>500</w:t>
            </w:r>
            <w:r>
              <w:rPr>
                <w:rFonts w:eastAsiaTheme="minorEastAsia"/>
                <w:sz w:val="21"/>
                <w:szCs w:val="21"/>
              </w:rPr>
              <w:t>00m</w:t>
            </w:r>
            <w:r>
              <w:rPr>
                <w:rFonts w:eastAsiaTheme="minorEastAsia"/>
                <w:sz w:val="21"/>
                <w:szCs w:val="21"/>
                <w:vertAlign w:val="superscript"/>
              </w:rPr>
              <w:t>3</w:t>
            </w:r>
            <w:r>
              <w:rPr>
                <w:rFonts w:eastAsiaTheme="minorEastAsia"/>
                <w:sz w:val="21"/>
                <w:szCs w:val="21"/>
              </w:rPr>
              <w:t>/h</w:t>
            </w:r>
          </w:p>
          <w:p>
            <w:pPr>
              <w:adjustRightInd w:val="0"/>
              <w:snapToGrid w:val="0"/>
              <w:spacing w:line="300" w:lineRule="exact"/>
              <w:jc w:val="center"/>
              <w:rPr>
                <w:rFonts w:eastAsiaTheme="minorEastAsia"/>
                <w:sz w:val="21"/>
                <w:szCs w:val="21"/>
              </w:rPr>
            </w:pPr>
            <w:r>
              <w:rPr>
                <w:rFonts w:eastAsiaTheme="minorEastAsia"/>
                <w:sz w:val="21"/>
                <w:szCs w:val="21"/>
              </w:rPr>
              <w:t>YSPKK560-8</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无锡市东方环境工程设计研究所有限公司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中压净循环泵</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SLOW250-610(I)B</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3</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上海连成（集团）有限公司杭州分公司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连铸浊循环热水泵</w:t>
            </w:r>
          </w:p>
        </w:tc>
        <w:tc>
          <w:tcPr>
            <w:tcW w:w="2322" w:type="dxa"/>
            <w:vAlign w:val="center"/>
          </w:tcPr>
          <w:p>
            <w:pPr>
              <w:pStyle w:val="1614"/>
              <w:snapToGrid w:val="0"/>
              <w:spacing w:before="79" w:line="300" w:lineRule="exact"/>
              <w:ind w:left="47" w:right="37"/>
              <w:jc w:val="center"/>
              <w:rPr>
                <w:rFonts w:eastAsiaTheme="minorEastAsia"/>
                <w:kern w:val="2"/>
                <w:sz w:val="21"/>
                <w:szCs w:val="21"/>
              </w:rPr>
            </w:pPr>
            <w:r>
              <w:rPr>
                <w:rFonts w:eastAsiaTheme="minorEastAsia"/>
                <w:kern w:val="2"/>
                <w:sz w:val="21"/>
                <w:szCs w:val="21"/>
              </w:rPr>
              <w:t>SLOW100-160</w:t>
            </w:r>
          </w:p>
        </w:tc>
        <w:tc>
          <w:tcPr>
            <w:tcW w:w="1127" w:type="dxa"/>
            <w:vAlign w:val="center"/>
          </w:tcPr>
          <w:p>
            <w:pPr>
              <w:pStyle w:val="1614"/>
              <w:snapToGrid w:val="0"/>
              <w:spacing w:before="79" w:line="300" w:lineRule="exact"/>
              <w:ind w:right="251"/>
              <w:jc w:val="center"/>
              <w:rPr>
                <w:rFonts w:eastAsiaTheme="minorEastAsia"/>
                <w:kern w:val="2"/>
                <w:sz w:val="21"/>
                <w:szCs w:val="21"/>
              </w:rPr>
            </w:pPr>
            <w:r>
              <w:rPr>
                <w:rFonts w:hint="eastAsia" w:eastAsiaTheme="minorEastAsia"/>
                <w:kern w:val="2"/>
                <w:sz w:val="21"/>
                <w:szCs w:val="21"/>
              </w:rPr>
              <w:t>2</w:t>
            </w:r>
          </w:p>
        </w:tc>
        <w:tc>
          <w:tcPr>
            <w:tcW w:w="854" w:type="dxa"/>
            <w:vAlign w:val="center"/>
          </w:tcPr>
          <w:p>
            <w:pPr>
              <w:pStyle w:val="1614"/>
              <w:snapToGrid w:val="0"/>
              <w:spacing w:before="79" w:line="300" w:lineRule="exact"/>
              <w:ind w:right="251"/>
              <w:jc w:val="center"/>
              <w:rPr>
                <w:rFonts w:eastAsiaTheme="minorEastAsia"/>
                <w:kern w:val="2"/>
                <w:sz w:val="21"/>
                <w:szCs w:val="21"/>
              </w:rPr>
            </w:pPr>
            <w:r>
              <w:rPr>
                <w:rFonts w:eastAsiaTheme="minorEastAsia"/>
                <w:kern w:val="2"/>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上海连成（集团）有限公司杭州分公司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连铸浊循环供水泵</w:t>
            </w:r>
          </w:p>
        </w:tc>
        <w:tc>
          <w:tcPr>
            <w:tcW w:w="2322" w:type="dxa"/>
            <w:vAlign w:val="center"/>
          </w:tcPr>
          <w:p>
            <w:pPr>
              <w:pStyle w:val="1614"/>
              <w:snapToGrid w:val="0"/>
              <w:spacing w:before="79" w:line="300" w:lineRule="exact"/>
              <w:ind w:left="47" w:right="37"/>
              <w:jc w:val="center"/>
              <w:rPr>
                <w:rFonts w:eastAsiaTheme="minorEastAsia"/>
                <w:kern w:val="2"/>
                <w:sz w:val="21"/>
                <w:szCs w:val="21"/>
              </w:rPr>
            </w:pPr>
            <w:r>
              <w:rPr>
                <w:rFonts w:eastAsiaTheme="minorEastAsia"/>
                <w:kern w:val="2"/>
                <w:sz w:val="21"/>
                <w:szCs w:val="21"/>
              </w:rPr>
              <w:t>SLOW100-250</w:t>
            </w:r>
          </w:p>
        </w:tc>
        <w:tc>
          <w:tcPr>
            <w:tcW w:w="1127" w:type="dxa"/>
            <w:vAlign w:val="center"/>
          </w:tcPr>
          <w:p>
            <w:pPr>
              <w:pStyle w:val="1614"/>
              <w:snapToGrid w:val="0"/>
              <w:spacing w:before="79" w:line="300" w:lineRule="exact"/>
              <w:ind w:right="251"/>
              <w:jc w:val="center"/>
              <w:rPr>
                <w:rFonts w:eastAsiaTheme="minorEastAsia"/>
                <w:kern w:val="2"/>
                <w:sz w:val="21"/>
                <w:szCs w:val="21"/>
              </w:rPr>
            </w:pPr>
            <w:r>
              <w:rPr>
                <w:rFonts w:hint="eastAsia" w:eastAsiaTheme="minorEastAsia"/>
                <w:kern w:val="2"/>
                <w:sz w:val="21"/>
                <w:szCs w:val="21"/>
              </w:rPr>
              <w:t>2</w:t>
            </w:r>
          </w:p>
        </w:tc>
        <w:tc>
          <w:tcPr>
            <w:tcW w:w="854" w:type="dxa"/>
            <w:vAlign w:val="center"/>
          </w:tcPr>
          <w:p>
            <w:pPr>
              <w:pStyle w:val="1614"/>
              <w:snapToGrid w:val="0"/>
              <w:spacing w:before="79" w:line="300" w:lineRule="exact"/>
              <w:ind w:right="251"/>
              <w:jc w:val="center"/>
              <w:rPr>
                <w:rFonts w:eastAsiaTheme="minorEastAsia"/>
                <w:kern w:val="2"/>
                <w:sz w:val="21"/>
                <w:szCs w:val="21"/>
              </w:rPr>
            </w:pPr>
            <w:r>
              <w:rPr>
                <w:rFonts w:eastAsiaTheme="minorEastAsia"/>
                <w:kern w:val="2"/>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上海连成（集团）有限公司杭州分公司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烘烤器</w:t>
            </w:r>
          </w:p>
          <w:p>
            <w:pPr>
              <w:adjustRightInd w:val="0"/>
              <w:snapToGrid w:val="0"/>
              <w:spacing w:line="300" w:lineRule="exact"/>
              <w:jc w:val="center"/>
              <w:rPr>
                <w:rFonts w:eastAsiaTheme="minorEastAsia"/>
                <w:sz w:val="21"/>
                <w:szCs w:val="21"/>
              </w:rPr>
            </w:pPr>
            <w:r>
              <w:rPr>
                <w:rFonts w:hint="eastAsia" w:eastAsiaTheme="minorEastAsia"/>
                <w:sz w:val="21"/>
                <w:szCs w:val="21"/>
              </w:rPr>
              <w:t>(</w:t>
            </w:r>
            <w:r>
              <w:rPr>
                <w:rFonts w:eastAsiaTheme="minorEastAsia"/>
                <w:sz w:val="21"/>
                <w:szCs w:val="21"/>
              </w:rPr>
              <w:t>能源介质：天然气</w:t>
            </w:r>
            <w:r>
              <w:rPr>
                <w:rFonts w:hint="eastAsia" w:eastAsiaTheme="minorEastAsia"/>
                <w:sz w:val="21"/>
                <w:szCs w:val="21"/>
              </w:rPr>
              <w:t>)</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立式、卧式</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10</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岳阳科德科技有限责任公司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spacing w:line="400" w:lineRule="exact"/>
              <w:jc w:val="center"/>
              <w:rPr>
                <w:rFonts w:eastAsiaTheme="minorEastAsia"/>
                <w:sz w:val="21"/>
                <w:szCs w:val="21"/>
              </w:rPr>
            </w:pPr>
            <w:r>
              <w:rPr>
                <w:rFonts w:eastAsiaTheme="minorEastAsia"/>
                <w:sz w:val="21"/>
                <w:szCs w:val="21"/>
              </w:rPr>
              <w:t>方坯修磨机袋式除尘器</w:t>
            </w:r>
          </w:p>
        </w:tc>
        <w:tc>
          <w:tcPr>
            <w:tcW w:w="2322" w:type="dxa"/>
            <w:vAlign w:val="center"/>
          </w:tcPr>
          <w:p>
            <w:pPr>
              <w:spacing w:line="400" w:lineRule="exact"/>
              <w:jc w:val="center"/>
              <w:rPr>
                <w:rFonts w:eastAsiaTheme="minorEastAsia"/>
                <w:sz w:val="21"/>
                <w:szCs w:val="21"/>
              </w:rPr>
            </w:pPr>
            <w:r>
              <w:rPr>
                <w:rFonts w:eastAsiaTheme="minorEastAsia"/>
                <w:sz w:val="21"/>
                <w:szCs w:val="21"/>
              </w:rPr>
              <w:t>3.23万m</w:t>
            </w:r>
            <w:r>
              <w:rPr>
                <w:rFonts w:eastAsiaTheme="minorEastAsia"/>
                <w:sz w:val="21"/>
                <w:szCs w:val="21"/>
                <w:vertAlign w:val="superscript"/>
              </w:rPr>
              <w:t>3</w:t>
            </w:r>
            <w:r>
              <w:rPr>
                <w:rFonts w:eastAsiaTheme="minorEastAsia"/>
                <w:sz w:val="21"/>
                <w:szCs w:val="21"/>
              </w:rPr>
              <w:t>/h</w:t>
            </w:r>
          </w:p>
        </w:tc>
        <w:tc>
          <w:tcPr>
            <w:tcW w:w="1127" w:type="dxa"/>
            <w:vAlign w:val="center"/>
          </w:tcPr>
          <w:p>
            <w:pPr>
              <w:spacing w:line="400" w:lineRule="exact"/>
              <w:jc w:val="center"/>
              <w:rPr>
                <w:rFonts w:eastAsiaTheme="minorEastAsia"/>
                <w:sz w:val="21"/>
                <w:szCs w:val="21"/>
              </w:rPr>
            </w:pPr>
            <w:r>
              <w:rPr>
                <w:rFonts w:hint="eastAsia" w:eastAsiaTheme="minorEastAsia"/>
                <w:sz w:val="21"/>
                <w:szCs w:val="21"/>
              </w:rPr>
              <w:t>1</w:t>
            </w:r>
          </w:p>
        </w:tc>
        <w:tc>
          <w:tcPr>
            <w:tcW w:w="854" w:type="dxa"/>
            <w:vAlign w:val="center"/>
          </w:tcPr>
          <w:p>
            <w:pPr>
              <w:spacing w:line="4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801" w:type="dxa"/>
            <w:gridSpan w:val="6"/>
            <w:vAlign w:val="center"/>
          </w:tcPr>
          <w:p>
            <w:pPr>
              <w:widowControl/>
              <w:adjustRightInd w:val="0"/>
              <w:snapToGrid w:val="0"/>
              <w:spacing w:line="300" w:lineRule="exact"/>
              <w:jc w:val="center"/>
              <w:textAlignment w:val="center"/>
              <w:rPr>
                <w:rFonts w:eastAsiaTheme="minorEastAsia"/>
                <w:b/>
                <w:sz w:val="21"/>
                <w:szCs w:val="21"/>
              </w:rPr>
            </w:pPr>
            <w:r>
              <w:rPr>
                <w:rFonts w:eastAsiaTheme="minorEastAsia"/>
                <w:b/>
                <w:sz w:val="21"/>
                <w:szCs w:val="21"/>
              </w:rPr>
              <w:t>新轧钢厂*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步进梁式加热炉</w:t>
            </w:r>
          </w:p>
          <w:p>
            <w:pPr>
              <w:adjustRightInd w:val="0"/>
              <w:snapToGrid w:val="0"/>
              <w:spacing w:line="300" w:lineRule="exact"/>
              <w:jc w:val="center"/>
              <w:rPr>
                <w:rFonts w:eastAsiaTheme="minorEastAsia"/>
                <w:sz w:val="21"/>
                <w:szCs w:val="21"/>
              </w:rPr>
            </w:pPr>
            <w:r>
              <w:rPr>
                <w:rFonts w:eastAsiaTheme="minorEastAsia"/>
                <w:sz w:val="21"/>
                <w:szCs w:val="21"/>
              </w:rPr>
              <w:t>（能源介质：天然气）</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62t/h,29.7*8.9m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北京京诚凤凰工业炉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除鳞机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30MPa</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重庆水泵厂有限责任公司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2×1630KW 电动机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2100kw，1800r/min</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上海电机厂有限公司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减速机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速比 13.34</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宁波东力传动设备股份有限公司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700 可逆轧机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A=，辊面长度 1800mm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普锐特冶金技术(意大利)有限公司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0#剪（液压剪）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开口度：180mm 剪切断面≤Φ165，最大剪切力290T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南京高精传动设备有限公司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感应加热炉</w:t>
            </w:r>
          </w:p>
          <w:p>
            <w:pPr>
              <w:adjustRightInd w:val="0"/>
              <w:snapToGrid w:val="0"/>
              <w:spacing w:line="300" w:lineRule="exact"/>
              <w:jc w:val="center"/>
              <w:rPr>
                <w:rFonts w:eastAsiaTheme="minorEastAsia"/>
                <w:sz w:val="21"/>
                <w:szCs w:val="21"/>
              </w:rPr>
            </w:pPr>
            <w:r>
              <w:rPr>
                <w:rFonts w:hint="eastAsia" w:eastAsiaTheme="minorEastAsia"/>
                <w:sz w:val="21"/>
                <w:szCs w:val="21"/>
              </w:rPr>
              <w:t>(</w:t>
            </w:r>
            <w:r>
              <w:rPr>
                <w:rFonts w:eastAsiaTheme="minorEastAsia"/>
                <w:sz w:val="21"/>
                <w:szCs w:val="21"/>
              </w:rPr>
              <w:t>能源介质：电</w:t>
            </w:r>
            <w:r>
              <w:rPr>
                <w:rFonts w:hint="eastAsia" w:eastAsiaTheme="minorEastAsia"/>
                <w:sz w:val="21"/>
                <w:szCs w:val="21"/>
              </w:rPr>
              <w:t>)</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2x1000KW</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湖南中科电气有限公司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8H650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780KW，轧制力 511Nm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9V650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757KW，轧制力 320Nm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10H650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950KW，轧制力 487Nm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11V650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950KW，轧制力 294Nm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12H650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850KW，轧制力 291Nm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13V650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950KW，轧制力 190Nm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380KW 剪切断面≤Φ</w:t>
            </w:r>
          </w:p>
          <w:p>
            <w:pPr>
              <w:adjustRightInd w:val="0"/>
              <w:snapToGrid w:val="0"/>
              <w:spacing w:line="300" w:lineRule="exact"/>
              <w:jc w:val="center"/>
              <w:rPr>
                <w:rFonts w:eastAsiaTheme="minorEastAsia"/>
                <w:sz w:val="21"/>
                <w:szCs w:val="21"/>
              </w:rPr>
            </w:pPr>
            <w:r>
              <w:rPr>
                <w:rFonts w:eastAsiaTheme="minorEastAsia"/>
                <w:sz w:val="21"/>
                <w:szCs w:val="21"/>
              </w:rPr>
              <w:t>110</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中冶京城工程技术有限公司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14H550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620KW，轧制力 122Nm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15V550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620KW，轧制力 90Nm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16H550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757KW，轧制力 94Nm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17V550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620KW，轧制力 60Nm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110KW 剪切断面≤Φ</w:t>
            </w:r>
          </w:p>
          <w:p>
            <w:pPr>
              <w:adjustRightInd w:val="0"/>
              <w:snapToGrid w:val="0"/>
              <w:spacing w:line="300" w:lineRule="exact"/>
              <w:jc w:val="center"/>
              <w:rPr>
                <w:rFonts w:eastAsiaTheme="minorEastAsia"/>
                <w:sz w:val="21"/>
                <w:szCs w:val="21"/>
              </w:rPr>
            </w:pPr>
            <w:r>
              <w:rPr>
                <w:rFonts w:eastAsiaTheme="minorEastAsia"/>
                <w:sz w:val="21"/>
                <w:szCs w:val="21"/>
              </w:rPr>
              <w:t>32.3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南京高精传动设备有限公司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18H450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780KW，轧制力 51Nm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19V450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620KW，轧制力 33Nm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20H450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 780KW，轧制力 33Nm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21V450 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电机功率757KW，轧制力 23Nm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230KW 剪切断面≤Φ52</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22#～25#机架</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370++/4</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德国弗瑞德瑞希考科斯有限公司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r>
              <w:rPr>
                <w:rFonts w:hint="eastAsia" w:eastAsiaTheme="minorEastAsia"/>
                <w:sz w:val="21"/>
                <w:szCs w:val="21"/>
              </w:rPr>
              <w:t>水箱</w:t>
            </w:r>
          </w:p>
        </w:tc>
        <w:tc>
          <w:tcPr>
            <w:tcW w:w="2322"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南京高精传动设备有限公司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290KW 剪切断面≤Φ65</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冷床</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54 米</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张家港长力机械有限公司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热锯</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400KW</w:t>
            </w:r>
            <w:r>
              <w:rPr>
                <w:rFonts w:eastAsiaTheme="minorEastAsia"/>
                <w:sz w:val="21"/>
                <w:szCs w:val="21"/>
              </w:rPr>
              <w:tab/>
            </w:r>
            <w:r>
              <w:rPr>
                <w:rFonts w:eastAsiaTheme="minorEastAsia"/>
                <w:sz w:val="21"/>
                <w:szCs w:val="21"/>
              </w:rPr>
              <w:t>锯片 1850</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普锐特冶金技术(意大利)有限公司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加勒特卷取机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315KW</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5#飞剪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75KW 剪切断面≤Φ</w:t>
            </w:r>
          </w:p>
          <w:p>
            <w:pPr>
              <w:adjustRightInd w:val="0"/>
              <w:snapToGrid w:val="0"/>
              <w:spacing w:line="300" w:lineRule="exact"/>
              <w:jc w:val="center"/>
              <w:rPr>
                <w:rFonts w:eastAsiaTheme="minorEastAsia"/>
                <w:sz w:val="21"/>
                <w:szCs w:val="21"/>
              </w:rPr>
            </w:pPr>
            <w:r>
              <w:rPr>
                <w:rFonts w:eastAsiaTheme="minorEastAsia"/>
                <w:sz w:val="21"/>
                <w:szCs w:val="21"/>
              </w:rPr>
              <w:t>21.7</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26#～35#精轧机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 架 230 无扭轧机</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10</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10</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普锐特冶金技术(美国)有限公司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2#水箱</w:t>
            </w:r>
          </w:p>
        </w:tc>
        <w:tc>
          <w:tcPr>
            <w:tcW w:w="2322"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南京高精传动设备有限公司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6#飞剪</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290KW 剪切断面≤Φ</w:t>
            </w:r>
          </w:p>
          <w:p>
            <w:pPr>
              <w:adjustRightInd w:val="0"/>
              <w:snapToGrid w:val="0"/>
              <w:spacing w:line="300" w:lineRule="exact"/>
              <w:jc w:val="center"/>
              <w:rPr>
                <w:rFonts w:eastAsiaTheme="minorEastAsia"/>
                <w:sz w:val="21"/>
                <w:szCs w:val="21"/>
              </w:rPr>
            </w:pPr>
            <w:r>
              <w:rPr>
                <w:rFonts w:eastAsiaTheme="minorEastAsia"/>
                <w:sz w:val="21"/>
                <w:szCs w:val="21"/>
              </w:rPr>
              <w:t>21.7</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普锐特冶金技术(中国)有限公司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线材减定径机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架 230/2 架 150 无扭轧机</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普锐特冶金技术(美国)有限公司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3#水箱</w:t>
            </w:r>
          </w:p>
        </w:tc>
        <w:tc>
          <w:tcPr>
            <w:tcW w:w="2322"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南京高精传动设备有限公司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精轧机大电机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6200/6200/7130KW</w:t>
            </w:r>
          </w:p>
          <w:p>
            <w:pPr>
              <w:adjustRightInd w:val="0"/>
              <w:snapToGrid w:val="0"/>
              <w:spacing w:line="300" w:lineRule="exact"/>
              <w:jc w:val="center"/>
              <w:rPr>
                <w:rFonts w:eastAsiaTheme="minorEastAsia"/>
                <w:sz w:val="21"/>
                <w:szCs w:val="21"/>
              </w:rPr>
            </w:pPr>
            <w:r>
              <w:rPr>
                <w:rFonts w:eastAsiaTheme="minorEastAsia"/>
                <w:sz w:val="21"/>
                <w:szCs w:val="21"/>
              </w:rPr>
              <w:t>3300V/3300V/3300V</w:t>
            </w:r>
          </w:p>
          <w:p>
            <w:pPr>
              <w:adjustRightInd w:val="0"/>
              <w:snapToGrid w:val="0"/>
              <w:spacing w:line="300" w:lineRule="exact"/>
              <w:jc w:val="center"/>
              <w:rPr>
                <w:rFonts w:eastAsiaTheme="minorEastAsia"/>
                <w:sz w:val="21"/>
                <w:szCs w:val="21"/>
              </w:rPr>
            </w:pPr>
            <w:r>
              <w:rPr>
                <w:rFonts w:eastAsiaTheme="minorEastAsia"/>
                <w:sz w:val="21"/>
                <w:szCs w:val="21"/>
              </w:rPr>
              <w:t>1105/1113/1272AF/FY</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上海电机厂有限公司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减定径大电机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2500KW 3100/3300V</w:t>
            </w:r>
          </w:p>
          <w:p>
            <w:pPr>
              <w:adjustRightInd w:val="0"/>
              <w:snapToGrid w:val="0"/>
              <w:spacing w:line="300" w:lineRule="exact"/>
              <w:jc w:val="center"/>
              <w:rPr>
                <w:rFonts w:eastAsiaTheme="minorEastAsia"/>
                <w:sz w:val="21"/>
                <w:szCs w:val="21"/>
              </w:rPr>
            </w:pPr>
            <w:r>
              <w:rPr>
                <w:rFonts w:eastAsiaTheme="minorEastAsia"/>
                <w:sz w:val="21"/>
                <w:szCs w:val="21"/>
              </w:rPr>
              <w:t>541/699A FY</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上海电机厂有限公司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吐丝机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220kw</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普锐特冶金技术(美国)有限公司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DST 在线固溶炉</w:t>
            </w:r>
            <w:r>
              <w:rPr>
                <w:rFonts w:hint="eastAsia" w:eastAsiaTheme="minorEastAsia"/>
                <w:sz w:val="21"/>
                <w:szCs w:val="21"/>
              </w:rPr>
              <w:t>(</w:t>
            </w:r>
            <w:r>
              <w:rPr>
                <w:rFonts w:eastAsiaTheme="minorEastAsia"/>
                <w:sz w:val="21"/>
                <w:szCs w:val="21"/>
              </w:rPr>
              <w:t>纯氧燃烧，能源介质：天然气</w:t>
            </w:r>
            <w:r>
              <w:rPr>
                <w:rFonts w:hint="eastAsia" w:eastAsiaTheme="minorEastAsia"/>
                <w:sz w:val="21"/>
                <w:szCs w:val="21"/>
              </w:rPr>
              <w:t>)</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60t/h</w:t>
            </w:r>
            <w:r>
              <w:rPr>
                <w:rFonts w:hint="eastAsia" w:eastAsiaTheme="minorEastAsia"/>
                <w:sz w:val="21"/>
                <w:szCs w:val="21"/>
              </w:rPr>
              <w:t>、</w:t>
            </w:r>
            <w:r>
              <w:rPr>
                <w:rFonts w:eastAsiaTheme="minorEastAsia"/>
                <w:sz w:val="21"/>
                <w:szCs w:val="21"/>
              </w:rPr>
              <w:t>35*34*1.45m</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林德气体有限公司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矫直机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Φ55~Φ130九辊矫直机</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浩中机械有限公司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801" w:type="dxa"/>
            <w:gridSpan w:val="6"/>
            <w:vAlign w:val="center"/>
          </w:tcPr>
          <w:p>
            <w:pPr>
              <w:widowControl/>
              <w:adjustRightInd w:val="0"/>
              <w:snapToGrid w:val="0"/>
              <w:spacing w:line="300" w:lineRule="exact"/>
              <w:jc w:val="center"/>
              <w:textAlignment w:val="center"/>
              <w:rPr>
                <w:rFonts w:eastAsiaTheme="minorEastAsia"/>
                <w:kern w:val="0"/>
                <w:szCs w:val="21"/>
              </w:rPr>
            </w:pPr>
            <w:r>
              <w:rPr>
                <w:rFonts w:eastAsiaTheme="minorEastAsia"/>
                <w:b/>
                <w:sz w:val="21"/>
                <w:szCs w:val="21"/>
              </w:rPr>
              <w:t>精整酸洗车间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 #隧道不锈钢线材酸洗线</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混酸，非标、RPP 材质</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江苏兴隆防腐设备有限公司/江苏晨力实业有限公司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 #线混酸再生系统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1吨/时，离子交换法</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苏州浩中环保设备有限公司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 #线酸洗废气净化系统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四塔串联</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江苏晨力实业有限公司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#线隧道不锈钢线材酸洗</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硫酸、混酸，非标、RPP 材质</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江苏兴隆防腐设备有限公司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#线混酸再生系统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2吨/时，离子交换</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苏州浩中环保设备有限公司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#线硫酸再生系统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2吨/时，离子交换</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苏州浩中环保设备有限公司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#线混酸雾净化系统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SCR，18000立方/时</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同济科蓝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 #线硫酸酸雾净化系统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20000 m</w:t>
            </w:r>
            <w:r>
              <w:rPr>
                <w:rFonts w:eastAsiaTheme="minorEastAsia"/>
                <w:sz w:val="21"/>
                <w:szCs w:val="21"/>
                <w:vertAlign w:val="superscript"/>
              </w:rPr>
              <w:t>3</w:t>
            </w:r>
            <w:r>
              <w:rPr>
                <w:rFonts w:eastAsiaTheme="minorEastAsia"/>
                <w:sz w:val="21"/>
                <w:szCs w:val="21"/>
              </w:rPr>
              <w:t>/h</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江苏兴隆防腐设备有限公司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废水处理系统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25m</w:t>
            </w:r>
            <w:r>
              <w:rPr>
                <w:rFonts w:eastAsiaTheme="minorEastAsia"/>
                <w:sz w:val="21"/>
                <w:szCs w:val="21"/>
                <w:vertAlign w:val="superscript"/>
              </w:rPr>
              <w:t>3</w:t>
            </w:r>
            <w:r>
              <w:rPr>
                <w:rFonts w:eastAsiaTheme="minorEastAsia"/>
                <w:sz w:val="21"/>
                <w:szCs w:val="21"/>
              </w:rPr>
              <w:t>/h</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江苏晨力实业有限公司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氢氟酸储罐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adjustRightInd w:val="0"/>
              <w:snapToGrid w:val="0"/>
              <w:spacing w:line="300" w:lineRule="exact"/>
              <w:jc w:val="center"/>
              <w:rPr>
                <w:rFonts w:eastAsiaTheme="minorEastAsia"/>
                <w:sz w:val="21"/>
                <w:szCs w:val="21"/>
              </w:rPr>
            </w:pP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15m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硝酸储罐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adjustRightInd w:val="0"/>
              <w:snapToGrid w:val="0"/>
              <w:spacing w:line="300" w:lineRule="exact"/>
              <w:jc w:val="center"/>
              <w:rPr>
                <w:rFonts w:eastAsiaTheme="minorEastAsia"/>
                <w:sz w:val="21"/>
                <w:szCs w:val="21"/>
              </w:rPr>
            </w:pP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15m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硫酸储罐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adjustRightInd w:val="0"/>
              <w:snapToGrid w:val="0"/>
              <w:spacing w:line="300" w:lineRule="exact"/>
              <w:jc w:val="center"/>
              <w:rPr>
                <w:rFonts w:eastAsiaTheme="minorEastAsia"/>
                <w:sz w:val="21"/>
                <w:szCs w:val="21"/>
              </w:rPr>
            </w:pP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15m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氨水储罐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24m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0</w:t>
            </w:r>
          </w:p>
        </w:tc>
        <w:tc>
          <w:tcPr>
            <w:tcW w:w="2135"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adjustRightInd w:val="0"/>
              <w:snapToGrid w:val="0"/>
              <w:spacing w:line="300" w:lineRule="exact"/>
              <w:jc w:val="center"/>
              <w:rPr>
                <w:rFonts w:eastAsiaTheme="minorEastAsia"/>
                <w:sz w:val="21"/>
                <w:szCs w:val="21"/>
              </w:rPr>
            </w:pP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13m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再生</w:t>
            </w:r>
            <w:r>
              <w:rPr>
                <w:rFonts w:eastAsiaTheme="minorEastAsia"/>
                <w:sz w:val="21"/>
                <w:szCs w:val="21"/>
              </w:rPr>
              <w:t>混酸储罐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再生硫酸</w:t>
            </w:r>
            <w:r>
              <w:rPr>
                <w:rFonts w:eastAsiaTheme="minorEastAsia"/>
                <w:sz w:val="21"/>
                <w:szCs w:val="21"/>
              </w:rPr>
              <w:t>储罐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40m</w:t>
            </w:r>
            <w:r>
              <w:rPr>
                <w:rFonts w:eastAsiaTheme="minorEastAsia"/>
                <w:sz w:val="21"/>
                <w:szCs w:val="21"/>
                <w:vertAlign w:val="superscript"/>
              </w:rPr>
              <w:t>3</w:t>
            </w:r>
          </w:p>
        </w:tc>
        <w:tc>
          <w:tcPr>
            <w:tcW w:w="1127"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0</w:t>
            </w:r>
          </w:p>
        </w:tc>
        <w:tc>
          <w:tcPr>
            <w:tcW w:w="854"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8801" w:type="dxa"/>
            <w:gridSpan w:val="6"/>
            <w:vAlign w:val="center"/>
          </w:tcPr>
          <w:p>
            <w:pPr>
              <w:adjustRightInd w:val="0"/>
              <w:snapToGrid w:val="0"/>
              <w:spacing w:line="300" w:lineRule="exact"/>
              <w:jc w:val="center"/>
              <w:rPr>
                <w:rFonts w:eastAsiaTheme="minorEastAsia"/>
                <w:b/>
                <w:sz w:val="21"/>
                <w:szCs w:val="21"/>
              </w:rPr>
            </w:pPr>
            <w:r>
              <w:rPr>
                <w:rFonts w:eastAsiaTheme="minorEastAsia"/>
                <w:b/>
                <w:sz w:val="21"/>
                <w:szCs w:val="21"/>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桥式起重机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32/5t，19.5m，A6</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Merge w:val="restart"/>
            <w:vAlign w:val="center"/>
          </w:tcPr>
          <w:p>
            <w:pPr>
              <w:adjustRightInd w:val="0"/>
              <w:snapToGrid w:val="0"/>
              <w:spacing w:line="300" w:lineRule="exact"/>
              <w:jc w:val="center"/>
              <w:rPr>
                <w:rFonts w:eastAsiaTheme="minorEastAsia"/>
                <w:sz w:val="21"/>
                <w:szCs w:val="21"/>
              </w:rPr>
            </w:pPr>
            <w:r>
              <w:rPr>
                <w:rFonts w:eastAsiaTheme="minorEastAsia"/>
                <w:sz w:val="21"/>
                <w:szCs w:val="21"/>
              </w:rPr>
              <w:t>钢渣车间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桥式起重机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32/5t，16.5m，A6</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挖掘机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HD160</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炉渣焖罐设备</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非标</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装载机</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4吨</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渣罐</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铸钢件，非标</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20</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20</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水循环系统</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非标</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Merge w:val="continue"/>
            <w:vAlign w:val="center"/>
          </w:tcPr>
          <w:p>
            <w:pPr>
              <w:adjustRightInd w:val="0"/>
              <w:snapToGrid w:val="0"/>
              <w:spacing w:line="30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天然气锅炉</w:t>
            </w:r>
          </w:p>
        </w:tc>
        <w:tc>
          <w:tcPr>
            <w:tcW w:w="2322"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3 t/h</w:t>
            </w:r>
          </w:p>
        </w:tc>
        <w:tc>
          <w:tcPr>
            <w:tcW w:w="1127"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854" w:type="dxa"/>
            <w:vAlign w:val="center"/>
          </w:tcPr>
          <w:p>
            <w:pPr>
              <w:adjustRightInd w:val="0"/>
              <w:snapToGrid w:val="0"/>
              <w:spacing w:line="300" w:lineRule="exact"/>
              <w:jc w:val="center"/>
              <w:rPr>
                <w:rFonts w:eastAsiaTheme="minorEastAsia"/>
                <w:sz w:val="21"/>
                <w:szCs w:val="21"/>
              </w:rPr>
            </w:pPr>
            <w:r>
              <w:rPr>
                <w:rFonts w:eastAsiaTheme="minorEastAsia"/>
                <w:sz w:val="21"/>
                <w:szCs w:val="21"/>
              </w:rPr>
              <w:t>1</w:t>
            </w:r>
          </w:p>
        </w:tc>
        <w:tc>
          <w:tcPr>
            <w:tcW w:w="2135" w:type="dxa"/>
            <w:vAlign w:val="center"/>
          </w:tcPr>
          <w:p>
            <w:pPr>
              <w:adjustRightInd w:val="0"/>
              <w:snapToGrid w:val="0"/>
              <w:spacing w:line="300" w:lineRule="exact"/>
              <w:jc w:val="center"/>
              <w:rPr>
                <w:rFonts w:eastAsiaTheme="minorEastAsia"/>
                <w:sz w:val="21"/>
                <w:szCs w:val="21"/>
              </w:rPr>
            </w:pPr>
            <w:r>
              <w:rPr>
                <w:rFonts w:hint="eastAsia" w:eastAsiaTheme="minorEastAsia"/>
                <w:sz w:val="21"/>
                <w:szCs w:val="21"/>
              </w:rPr>
              <w:t>生活行政区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eastAsiaTheme="minorEastAsia"/>
                <w:sz w:val="21"/>
                <w:szCs w:val="21"/>
              </w:rPr>
              <w:t>LNG低温储罐</w:t>
            </w:r>
          </w:p>
        </w:tc>
        <w:tc>
          <w:tcPr>
            <w:tcW w:w="2322" w:type="dxa"/>
            <w:vAlign w:val="center"/>
          </w:tcPr>
          <w:p>
            <w:pPr>
              <w:pStyle w:val="1614"/>
              <w:spacing w:line="300" w:lineRule="exact"/>
              <w:jc w:val="center"/>
              <w:rPr>
                <w:rFonts w:eastAsiaTheme="minorEastAsia"/>
                <w:sz w:val="21"/>
                <w:szCs w:val="21"/>
              </w:rPr>
            </w:pPr>
            <w:r>
              <w:rPr>
                <w:rFonts w:eastAsiaTheme="minorEastAsia"/>
                <w:sz w:val="21"/>
                <w:szCs w:val="21"/>
              </w:rPr>
              <w:t>1</w:t>
            </w:r>
            <w:r>
              <w:rPr>
                <w:rFonts w:hint="eastAsia" w:eastAsiaTheme="minorEastAsia"/>
                <w:sz w:val="21"/>
                <w:szCs w:val="21"/>
              </w:rPr>
              <w:t>00</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eastAsiaTheme="minorEastAsia"/>
                <w:sz w:val="21"/>
                <w:szCs w:val="21"/>
              </w:rPr>
              <w:t>2</w:t>
            </w:r>
          </w:p>
        </w:tc>
        <w:tc>
          <w:tcPr>
            <w:tcW w:w="854" w:type="dxa"/>
            <w:vAlign w:val="center"/>
          </w:tcPr>
          <w:p>
            <w:pPr>
              <w:pStyle w:val="1614"/>
              <w:spacing w:line="300" w:lineRule="exact"/>
              <w:jc w:val="center"/>
              <w:rPr>
                <w:rFonts w:eastAsiaTheme="minorEastAsia"/>
                <w:sz w:val="21"/>
                <w:szCs w:val="21"/>
              </w:rPr>
            </w:pPr>
            <w:r>
              <w:rPr>
                <w:rFonts w:eastAsiaTheme="minorEastAsia"/>
                <w:sz w:val="21"/>
                <w:szCs w:val="21"/>
              </w:rPr>
              <w:t>2</w:t>
            </w:r>
          </w:p>
        </w:tc>
        <w:tc>
          <w:tcPr>
            <w:tcW w:w="2135" w:type="dxa"/>
            <w:vAlign w:val="center"/>
          </w:tcPr>
          <w:p>
            <w:pPr>
              <w:pStyle w:val="1614"/>
              <w:spacing w:line="300" w:lineRule="exact"/>
              <w:jc w:val="center"/>
              <w:rPr>
                <w:rFonts w:eastAsiaTheme="minorEastAsia"/>
                <w:sz w:val="21"/>
                <w:szCs w:val="21"/>
              </w:rPr>
            </w:pPr>
            <w:r>
              <w:rPr>
                <w:rFonts w:hint="eastAsia" w:eastAsiaTheme="minorEastAsia"/>
                <w:sz w:val="21"/>
                <w:szCs w:val="21"/>
              </w:rPr>
              <w:t>LNG站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eastAsiaTheme="minorEastAsia"/>
                <w:sz w:val="21"/>
                <w:szCs w:val="21"/>
              </w:rPr>
              <w:t>液氧贮罐</w:t>
            </w:r>
          </w:p>
        </w:tc>
        <w:tc>
          <w:tcPr>
            <w:tcW w:w="2322" w:type="dxa"/>
            <w:vAlign w:val="center"/>
          </w:tcPr>
          <w:p>
            <w:pPr>
              <w:pStyle w:val="1614"/>
              <w:spacing w:line="300" w:lineRule="exact"/>
              <w:jc w:val="center"/>
              <w:rPr>
                <w:rFonts w:eastAsiaTheme="minorEastAsia"/>
                <w:sz w:val="21"/>
                <w:szCs w:val="21"/>
              </w:rPr>
            </w:pPr>
            <w:r>
              <w:rPr>
                <w:rFonts w:eastAsiaTheme="minorEastAsia"/>
                <w:sz w:val="21"/>
                <w:szCs w:val="21"/>
              </w:rPr>
              <w:t>50m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eastAsiaTheme="minorEastAsia"/>
                <w:sz w:val="21"/>
                <w:szCs w:val="21"/>
              </w:rPr>
              <w:t>2</w:t>
            </w:r>
          </w:p>
        </w:tc>
        <w:tc>
          <w:tcPr>
            <w:tcW w:w="854" w:type="dxa"/>
            <w:vAlign w:val="center"/>
          </w:tcPr>
          <w:p>
            <w:pPr>
              <w:pStyle w:val="1614"/>
              <w:spacing w:line="300" w:lineRule="exact"/>
              <w:jc w:val="center"/>
              <w:rPr>
                <w:rFonts w:eastAsiaTheme="minorEastAsia"/>
                <w:sz w:val="21"/>
                <w:szCs w:val="21"/>
              </w:rPr>
            </w:pPr>
            <w:r>
              <w:rPr>
                <w:rFonts w:eastAsiaTheme="minorEastAsia"/>
                <w:sz w:val="21"/>
                <w:szCs w:val="21"/>
              </w:rPr>
              <w:t>2</w:t>
            </w:r>
          </w:p>
        </w:tc>
        <w:tc>
          <w:tcPr>
            <w:tcW w:w="2135" w:type="dxa"/>
            <w:vAlign w:val="center"/>
          </w:tcPr>
          <w:p>
            <w:pPr>
              <w:pStyle w:val="1614"/>
              <w:spacing w:line="300" w:lineRule="exact"/>
              <w:jc w:val="center"/>
              <w:rPr>
                <w:rFonts w:eastAsiaTheme="minorEastAsia"/>
                <w:sz w:val="21"/>
                <w:szCs w:val="21"/>
              </w:rPr>
            </w:pPr>
            <w:r>
              <w:rPr>
                <w:rFonts w:hint="eastAsia" w:eastAsiaTheme="minorEastAsia"/>
                <w:sz w:val="21"/>
                <w:szCs w:val="21"/>
              </w:rPr>
              <w:t>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hint="eastAsia" w:eastAsiaTheme="minorEastAsia"/>
                <w:sz w:val="21"/>
                <w:szCs w:val="21"/>
              </w:rPr>
              <w:t>氧气储罐</w:t>
            </w: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120</w:t>
            </w:r>
            <w:r>
              <w:rPr>
                <w:rFonts w:eastAsiaTheme="minorEastAsia"/>
                <w:sz w:val="21"/>
                <w:szCs w:val="21"/>
              </w:rPr>
              <w:t xml:space="preserve"> 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eastAsiaTheme="minorEastAsia"/>
                <w:sz w:val="21"/>
                <w:szCs w:val="21"/>
              </w:rPr>
              <w:t>4</w:t>
            </w:r>
          </w:p>
        </w:tc>
        <w:tc>
          <w:tcPr>
            <w:tcW w:w="854" w:type="dxa"/>
            <w:vAlign w:val="center"/>
          </w:tcPr>
          <w:p>
            <w:pPr>
              <w:pStyle w:val="1614"/>
              <w:spacing w:line="300" w:lineRule="exact"/>
              <w:jc w:val="center"/>
              <w:rPr>
                <w:rFonts w:eastAsiaTheme="minorEastAsia"/>
                <w:sz w:val="21"/>
                <w:szCs w:val="21"/>
              </w:rPr>
            </w:pPr>
            <w:r>
              <w:rPr>
                <w:rFonts w:eastAsiaTheme="minorEastAsia"/>
                <w:sz w:val="21"/>
                <w:szCs w:val="21"/>
              </w:rPr>
              <w:t>4</w:t>
            </w:r>
          </w:p>
        </w:tc>
        <w:tc>
          <w:tcPr>
            <w:tcW w:w="2135" w:type="dxa"/>
            <w:vAlign w:val="center"/>
          </w:tcPr>
          <w:p>
            <w:pPr>
              <w:pStyle w:val="1614"/>
              <w:spacing w:line="300" w:lineRule="exact"/>
              <w:jc w:val="center"/>
              <w:rPr>
                <w:rFonts w:eastAsiaTheme="minorEastAsia"/>
                <w:sz w:val="21"/>
                <w:szCs w:val="21"/>
              </w:rPr>
            </w:pPr>
            <w:r>
              <w:rPr>
                <w:rFonts w:hint="eastAsia" w:eastAsiaTheme="minorEastAsia"/>
                <w:sz w:val="21"/>
                <w:szCs w:val="21"/>
              </w:rPr>
              <w:t>2个</w:t>
            </w:r>
            <w:r>
              <w:rPr>
                <w:rFonts w:eastAsiaTheme="minorEastAsia"/>
                <w:sz w:val="21"/>
                <w:szCs w:val="21"/>
              </w:rPr>
              <w:t>在东地块的制氧车间、2个在炼钢二厂北侧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eastAsiaTheme="minorEastAsia"/>
                <w:sz w:val="21"/>
                <w:szCs w:val="21"/>
              </w:rPr>
              <w:t>氮气储罐</w:t>
            </w:r>
          </w:p>
        </w:tc>
        <w:tc>
          <w:tcPr>
            <w:tcW w:w="2322" w:type="dxa"/>
            <w:vAlign w:val="center"/>
          </w:tcPr>
          <w:p>
            <w:pPr>
              <w:pStyle w:val="1614"/>
              <w:spacing w:line="300" w:lineRule="exact"/>
              <w:jc w:val="center"/>
              <w:rPr>
                <w:rFonts w:eastAsiaTheme="minorEastAsia"/>
                <w:sz w:val="21"/>
                <w:szCs w:val="21"/>
              </w:rPr>
            </w:pPr>
            <w:r>
              <w:rPr>
                <w:rFonts w:eastAsiaTheme="minorEastAsia"/>
                <w:sz w:val="21"/>
                <w:szCs w:val="21"/>
              </w:rPr>
              <w:t>50m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eastAsiaTheme="minorEastAsia"/>
                <w:sz w:val="21"/>
                <w:szCs w:val="21"/>
              </w:rPr>
              <w:t>1</w:t>
            </w:r>
          </w:p>
        </w:tc>
        <w:tc>
          <w:tcPr>
            <w:tcW w:w="854" w:type="dxa"/>
            <w:vAlign w:val="center"/>
          </w:tcPr>
          <w:p>
            <w:pPr>
              <w:pStyle w:val="1614"/>
              <w:spacing w:line="300" w:lineRule="exact"/>
              <w:jc w:val="center"/>
              <w:rPr>
                <w:rFonts w:eastAsiaTheme="minorEastAsia"/>
                <w:sz w:val="21"/>
                <w:szCs w:val="21"/>
              </w:rPr>
            </w:pPr>
            <w:r>
              <w:rPr>
                <w:rFonts w:eastAsiaTheme="minorEastAsia"/>
                <w:sz w:val="21"/>
                <w:szCs w:val="21"/>
              </w:rPr>
              <w:t>1</w:t>
            </w:r>
          </w:p>
        </w:tc>
        <w:tc>
          <w:tcPr>
            <w:tcW w:w="2135" w:type="dxa"/>
            <w:vAlign w:val="center"/>
          </w:tcPr>
          <w:p>
            <w:pPr>
              <w:pStyle w:val="1614"/>
              <w:spacing w:line="300" w:lineRule="exact"/>
              <w:jc w:val="center"/>
              <w:rPr>
                <w:rFonts w:eastAsiaTheme="minorEastAsia"/>
                <w:sz w:val="21"/>
                <w:szCs w:val="21"/>
              </w:rPr>
            </w:pPr>
            <w:r>
              <w:rPr>
                <w:rFonts w:hint="eastAsia" w:eastAsiaTheme="minorEastAsia"/>
                <w:sz w:val="21"/>
                <w:szCs w:val="21"/>
              </w:rPr>
              <w:t>制氧车间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hint="eastAsia" w:eastAsiaTheme="minorEastAsia"/>
                <w:sz w:val="21"/>
                <w:szCs w:val="21"/>
              </w:rPr>
              <w:t>氮气储罐</w:t>
            </w: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100</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hint="eastAsia" w:eastAsiaTheme="minorEastAsia"/>
                <w:sz w:val="21"/>
                <w:szCs w:val="21"/>
              </w:rPr>
              <w:t>2</w:t>
            </w:r>
          </w:p>
        </w:tc>
        <w:tc>
          <w:tcPr>
            <w:tcW w:w="854" w:type="dxa"/>
            <w:vAlign w:val="center"/>
          </w:tcPr>
          <w:p>
            <w:pPr>
              <w:pStyle w:val="1614"/>
              <w:spacing w:line="300" w:lineRule="exact"/>
              <w:jc w:val="center"/>
              <w:rPr>
                <w:rFonts w:eastAsiaTheme="minorEastAsia"/>
                <w:sz w:val="21"/>
                <w:szCs w:val="21"/>
              </w:rPr>
            </w:pPr>
            <w:r>
              <w:rPr>
                <w:rFonts w:hint="eastAsia" w:eastAsiaTheme="minorEastAsia"/>
                <w:sz w:val="21"/>
                <w:szCs w:val="21"/>
              </w:rPr>
              <w:t>2</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hint="eastAsia" w:eastAsiaTheme="minorEastAsia"/>
                <w:sz w:val="21"/>
                <w:szCs w:val="21"/>
              </w:rPr>
              <w:t>氮气储罐</w:t>
            </w: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100</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eastAsiaTheme="minorEastAsia"/>
                <w:sz w:val="21"/>
                <w:szCs w:val="21"/>
              </w:rPr>
              <w:t>1</w:t>
            </w:r>
          </w:p>
        </w:tc>
        <w:tc>
          <w:tcPr>
            <w:tcW w:w="854" w:type="dxa"/>
            <w:vAlign w:val="center"/>
          </w:tcPr>
          <w:p>
            <w:pPr>
              <w:pStyle w:val="1614"/>
              <w:spacing w:line="300" w:lineRule="exact"/>
              <w:jc w:val="center"/>
              <w:rPr>
                <w:rFonts w:eastAsiaTheme="minorEastAsia"/>
                <w:sz w:val="21"/>
                <w:szCs w:val="21"/>
              </w:rPr>
            </w:pPr>
            <w:r>
              <w:rPr>
                <w:rFonts w:eastAsiaTheme="minorEastAsia"/>
                <w:sz w:val="21"/>
                <w:szCs w:val="21"/>
              </w:rPr>
              <w:t>1</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w:t>
            </w:r>
            <w:r>
              <w:rPr>
                <w:rFonts w:hint="eastAsia" w:eastAsiaTheme="minorEastAsia"/>
                <w:sz w:val="21"/>
                <w:szCs w:val="21"/>
              </w:rPr>
              <w:t>一</w:t>
            </w:r>
            <w:r>
              <w:rPr>
                <w:rFonts w:eastAsiaTheme="minorEastAsia"/>
                <w:sz w:val="21"/>
                <w:szCs w:val="21"/>
              </w:rPr>
              <w:t>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Align w:val="center"/>
          </w:tcPr>
          <w:p>
            <w:pPr>
              <w:pStyle w:val="1614"/>
              <w:spacing w:line="300" w:lineRule="exact"/>
              <w:jc w:val="center"/>
              <w:rPr>
                <w:rFonts w:eastAsiaTheme="minorEastAsia"/>
                <w:sz w:val="21"/>
                <w:szCs w:val="21"/>
              </w:rPr>
            </w:pPr>
            <w:r>
              <w:rPr>
                <w:rFonts w:hint="eastAsia" w:eastAsiaTheme="minorEastAsia"/>
                <w:sz w:val="21"/>
                <w:szCs w:val="21"/>
              </w:rPr>
              <w:t>液氩</w:t>
            </w:r>
            <w:r>
              <w:rPr>
                <w:rFonts w:eastAsiaTheme="minorEastAsia"/>
                <w:sz w:val="21"/>
                <w:szCs w:val="21"/>
              </w:rPr>
              <w:t>储罐</w:t>
            </w:r>
          </w:p>
        </w:tc>
        <w:tc>
          <w:tcPr>
            <w:tcW w:w="2322" w:type="dxa"/>
            <w:vAlign w:val="center"/>
          </w:tcPr>
          <w:p>
            <w:pPr>
              <w:pStyle w:val="1614"/>
              <w:spacing w:line="300" w:lineRule="exact"/>
              <w:jc w:val="center"/>
              <w:rPr>
                <w:rFonts w:eastAsiaTheme="minorEastAsia"/>
                <w:sz w:val="21"/>
                <w:szCs w:val="21"/>
              </w:rPr>
            </w:pPr>
            <w:r>
              <w:rPr>
                <w:rFonts w:eastAsiaTheme="minorEastAsia"/>
                <w:sz w:val="21"/>
                <w:szCs w:val="21"/>
              </w:rPr>
              <w:t>50m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hint="eastAsia" w:eastAsiaTheme="minorEastAsia"/>
                <w:sz w:val="21"/>
                <w:szCs w:val="21"/>
              </w:rPr>
              <w:t>2</w:t>
            </w:r>
          </w:p>
        </w:tc>
        <w:tc>
          <w:tcPr>
            <w:tcW w:w="854" w:type="dxa"/>
            <w:vAlign w:val="center"/>
          </w:tcPr>
          <w:p>
            <w:pPr>
              <w:pStyle w:val="1614"/>
              <w:spacing w:line="300" w:lineRule="exact"/>
              <w:jc w:val="center"/>
              <w:rPr>
                <w:rFonts w:eastAsiaTheme="minorEastAsia"/>
                <w:sz w:val="21"/>
                <w:szCs w:val="21"/>
              </w:rPr>
            </w:pPr>
            <w:r>
              <w:rPr>
                <w:rFonts w:hint="eastAsia" w:eastAsiaTheme="minorEastAsia"/>
                <w:sz w:val="21"/>
                <w:szCs w:val="21"/>
              </w:rPr>
              <w:t>2</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restart"/>
            <w:vAlign w:val="center"/>
          </w:tcPr>
          <w:p>
            <w:pPr>
              <w:pStyle w:val="1614"/>
              <w:spacing w:line="300" w:lineRule="exact"/>
              <w:jc w:val="center"/>
              <w:rPr>
                <w:rFonts w:eastAsiaTheme="minorEastAsia"/>
                <w:sz w:val="21"/>
                <w:szCs w:val="21"/>
              </w:rPr>
            </w:pPr>
            <w:r>
              <w:rPr>
                <w:rFonts w:hint="eastAsia" w:eastAsiaTheme="minorEastAsia"/>
                <w:sz w:val="21"/>
                <w:szCs w:val="21"/>
              </w:rPr>
              <w:t>氩气</w:t>
            </w:r>
            <w:r>
              <w:rPr>
                <w:rFonts w:eastAsiaTheme="minorEastAsia"/>
                <w:sz w:val="21"/>
                <w:szCs w:val="21"/>
              </w:rPr>
              <w:t>储罐</w:t>
            </w: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36</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pStyle w:val="1614"/>
              <w:spacing w:line="300" w:lineRule="exact"/>
              <w:jc w:val="center"/>
              <w:rPr>
                <w:rFonts w:eastAsiaTheme="minorEastAsia"/>
                <w:sz w:val="21"/>
                <w:szCs w:val="21"/>
              </w:rPr>
            </w:pP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40</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炼钢二厂北侧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 w:hRule="atLeast"/>
          <w:jc w:val="center"/>
        </w:trPr>
        <w:tc>
          <w:tcPr>
            <w:tcW w:w="466" w:type="dxa"/>
            <w:vAlign w:val="center"/>
          </w:tcPr>
          <w:p>
            <w:pPr>
              <w:pStyle w:val="466"/>
              <w:widowControl/>
              <w:numPr>
                <w:ilvl w:val="0"/>
                <w:numId w:val="27"/>
              </w:numPr>
              <w:adjustRightInd w:val="0"/>
              <w:snapToGrid w:val="0"/>
              <w:spacing w:line="300" w:lineRule="exact"/>
              <w:ind w:firstLineChars="0"/>
              <w:jc w:val="center"/>
              <w:rPr>
                <w:rFonts w:ascii="Times New Roman" w:hAnsi="Times New Roman" w:eastAsiaTheme="minorEastAsia"/>
                <w:szCs w:val="21"/>
              </w:rPr>
            </w:pPr>
          </w:p>
        </w:tc>
        <w:tc>
          <w:tcPr>
            <w:tcW w:w="1897" w:type="dxa"/>
            <w:vMerge w:val="continue"/>
            <w:vAlign w:val="center"/>
          </w:tcPr>
          <w:p>
            <w:pPr>
              <w:pStyle w:val="1614"/>
              <w:spacing w:line="300" w:lineRule="exact"/>
              <w:jc w:val="center"/>
              <w:rPr>
                <w:rFonts w:eastAsiaTheme="minorEastAsia"/>
                <w:sz w:val="21"/>
                <w:szCs w:val="21"/>
              </w:rPr>
            </w:pPr>
          </w:p>
        </w:tc>
        <w:tc>
          <w:tcPr>
            <w:tcW w:w="2322" w:type="dxa"/>
            <w:vAlign w:val="center"/>
          </w:tcPr>
          <w:p>
            <w:pPr>
              <w:pStyle w:val="1614"/>
              <w:spacing w:line="300" w:lineRule="exact"/>
              <w:jc w:val="center"/>
              <w:rPr>
                <w:rFonts w:eastAsiaTheme="minorEastAsia"/>
                <w:sz w:val="21"/>
                <w:szCs w:val="21"/>
              </w:rPr>
            </w:pPr>
            <w:r>
              <w:rPr>
                <w:rFonts w:hint="eastAsia" w:eastAsiaTheme="minorEastAsia"/>
                <w:sz w:val="21"/>
                <w:szCs w:val="21"/>
              </w:rPr>
              <w:t>120</w:t>
            </w:r>
            <w:r>
              <w:rPr>
                <w:rFonts w:eastAsiaTheme="minorEastAsia"/>
                <w:sz w:val="21"/>
                <w:szCs w:val="21"/>
              </w:rPr>
              <w:t>m</w:t>
            </w:r>
            <w:r>
              <w:rPr>
                <w:rFonts w:eastAsiaTheme="minorEastAsia"/>
                <w:sz w:val="21"/>
                <w:szCs w:val="21"/>
                <w:vertAlign w:val="superscript"/>
              </w:rPr>
              <w:t>3</w:t>
            </w:r>
          </w:p>
        </w:tc>
        <w:tc>
          <w:tcPr>
            <w:tcW w:w="1127"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854" w:type="dxa"/>
            <w:vAlign w:val="center"/>
          </w:tcPr>
          <w:p>
            <w:pPr>
              <w:pStyle w:val="1614"/>
              <w:spacing w:line="300" w:lineRule="exact"/>
              <w:jc w:val="center"/>
              <w:rPr>
                <w:rFonts w:eastAsiaTheme="minorEastAsia"/>
                <w:sz w:val="21"/>
                <w:szCs w:val="21"/>
              </w:rPr>
            </w:pPr>
            <w:r>
              <w:rPr>
                <w:rFonts w:hint="eastAsia" w:eastAsiaTheme="minorEastAsia"/>
                <w:sz w:val="21"/>
                <w:szCs w:val="21"/>
              </w:rPr>
              <w:t>1</w:t>
            </w:r>
          </w:p>
        </w:tc>
        <w:tc>
          <w:tcPr>
            <w:tcW w:w="2135" w:type="dxa"/>
            <w:vAlign w:val="center"/>
          </w:tcPr>
          <w:p>
            <w:pPr>
              <w:pStyle w:val="1614"/>
              <w:spacing w:line="300" w:lineRule="exact"/>
              <w:jc w:val="center"/>
              <w:rPr>
                <w:rFonts w:eastAsiaTheme="minorEastAsia"/>
                <w:sz w:val="21"/>
                <w:szCs w:val="21"/>
              </w:rPr>
            </w:pPr>
            <w:r>
              <w:rPr>
                <w:rFonts w:eastAsiaTheme="minorEastAsia"/>
                <w:sz w:val="21"/>
                <w:szCs w:val="21"/>
              </w:rPr>
              <w:t>炼钢二厂北侧</w:t>
            </w:r>
          </w:p>
        </w:tc>
      </w:tr>
    </w:tbl>
    <w:p>
      <w:pPr>
        <w:rPr>
          <w:rFonts w:eastAsiaTheme="minorEastAsia"/>
          <w:sz w:val="21"/>
          <w:szCs w:val="21"/>
        </w:rPr>
      </w:pPr>
      <w:r>
        <w:rPr>
          <w:rFonts w:hint="eastAsia" w:eastAsiaTheme="minorEastAsia"/>
          <w:sz w:val="21"/>
          <w:szCs w:val="21"/>
        </w:rPr>
        <w:t>*注：老轧钢厂已于2018.6月完全停产，由新轧钢厂取代，并且已完成设备整合和淘汰，因此老轧钢厂设备未列入</w:t>
      </w:r>
    </w:p>
    <w:p>
      <w:pPr>
        <w:ind w:firstLine="486" w:firstLineChars="200"/>
      </w:pPr>
      <w:r>
        <w:rPr>
          <w:rFonts w:hint="eastAsia" w:eastAsiaTheme="minorEastAsia"/>
          <w:sz w:val="24"/>
          <w:szCs w:val="24"/>
        </w:rPr>
        <w:t>由表3-4可知</w:t>
      </w:r>
      <w:r>
        <w:rPr>
          <w:rFonts w:eastAsiaTheme="minorEastAsia"/>
          <w:sz w:val="24"/>
          <w:szCs w:val="24"/>
        </w:rPr>
        <w:t>，</w:t>
      </w:r>
      <w:r>
        <w:rPr>
          <w:rFonts w:hint="eastAsia" w:eastAsiaTheme="minorEastAsia"/>
          <w:sz w:val="24"/>
          <w:szCs w:val="24"/>
        </w:rPr>
        <w:t>除精整酸洗</w:t>
      </w:r>
      <w:r>
        <w:rPr>
          <w:rFonts w:eastAsiaTheme="minorEastAsia"/>
          <w:sz w:val="24"/>
          <w:szCs w:val="24"/>
        </w:rPr>
        <w:t>车间</w:t>
      </w:r>
      <w:r>
        <w:rPr>
          <w:rFonts w:hint="eastAsia" w:eastAsiaTheme="minorEastAsia"/>
          <w:sz w:val="24"/>
          <w:szCs w:val="24"/>
        </w:rPr>
        <w:t>储罐</w:t>
      </w:r>
      <w:r>
        <w:rPr>
          <w:rFonts w:eastAsiaTheme="minorEastAsia"/>
          <w:sz w:val="24"/>
          <w:szCs w:val="24"/>
        </w:rPr>
        <w:t>有所</w:t>
      </w:r>
      <w:r>
        <w:rPr>
          <w:rFonts w:hint="eastAsia" w:eastAsiaTheme="minorEastAsia"/>
          <w:sz w:val="24"/>
          <w:szCs w:val="24"/>
        </w:rPr>
        <w:t>新增</w:t>
      </w:r>
      <w:r>
        <w:rPr>
          <w:rFonts w:eastAsiaTheme="minorEastAsia"/>
          <w:sz w:val="24"/>
          <w:szCs w:val="24"/>
        </w:rPr>
        <w:t>外企业现状</w:t>
      </w:r>
      <w:r>
        <w:rPr>
          <w:rFonts w:hint="eastAsia" w:eastAsiaTheme="minorEastAsia"/>
          <w:sz w:val="24"/>
          <w:szCs w:val="24"/>
        </w:rPr>
        <w:t>主要</w:t>
      </w:r>
      <w:r>
        <w:rPr>
          <w:rFonts w:eastAsiaTheme="minorEastAsia"/>
          <w:sz w:val="24"/>
          <w:szCs w:val="24"/>
        </w:rPr>
        <w:t>生产</w:t>
      </w:r>
      <w:r>
        <w:rPr>
          <w:rFonts w:hint="eastAsia" w:eastAsiaTheme="minorEastAsia"/>
          <w:sz w:val="24"/>
          <w:szCs w:val="24"/>
        </w:rPr>
        <w:t>设备</w:t>
      </w:r>
      <w:r>
        <w:rPr>
          <w:rFonts w:eastAsiaTheme="minorEastAsia"/>
          <w:sz w:val="24"/>
          <w:szCs w:val="24"/>
        </w:rPr>
        <w:t>与原审批、验收时基本一致</w:t>
      </w:r>
      <w:r>
        <w:rPr>
          <w:rFonts w:hint="eastAsia" w:eastAsiaTheme="minorEastAsia"/>
          <w:sz w:val="24"/>
          <w:szCs w:val="24"/>
        </w:rPr>
        <w:t>。</w:t>
      </w:r>
    </w:p>
    <w:p>
      <w:pPr>
        <w:pStyle w:val="5"/>
        <w:numPr>
          <w:ilvl w:val="2"/>
          <w:numId w:val="25"/>
        </w:numPr>
        <w:spacing w:line="360" w:lineRule="exact"/>
        <w:rPr>
          <w:rFonts w:ascii="Times New Roman"/>
        </w:rPr>
      </w:pPr>
      <w:r>
        <w:rPr>
          <w:rFonts w:ascii="Times New Roman"/>
        </w:rPr>
        <w:t>企业现有原辅材料消耗情况</w:t>
      </w:r>
    </w:p>
    <w:p>
      <w:pPr>
        <w:pStyle w:val="835"/>
        <w:ind w:firstLine="486"/>
        <w:rPr>
          <w:rFonts w:ascii="Times New Roman" w:hAnsi="Times New Roman"/>
        </w:rPr>
      </w:pPr>
      <w:r>
        <w:rPr>
          <w:rFonts w:ascii="Times New Roman" w:hAnsi="Times New Roman"/>
        </w:rPr>
        <w:t>根据现场调查和企业提供</w:t>
      </w:r>
      <w:r>
        <w:rPr>
          <w:rFonts w:hint="eastAsia" w:ascii="Times New Roman" w:hAnsi="Times New Roman"/>
        </w:rPr>
        <w:t>的</w:t>
      </w:r>
      <w:r>
        <w:rPr>
          <w:rFonts w:ascii="Times New Roman" w:hAnsi="Times New Roman"/>
        </w:rPr>
        <w:t>201</w:t>
      </w:r>
      <w:r>
        <w:rPr>
          <w:rFonts w:hint="eastAsia" w:ascii="Times New Roman" w:hAnsi="Times New Roman"/>
        </w:rPr>
        <w:t>8</w:t>
      </w:r>
      <w:r>
        <w:rPr>
          <w:rFonts w:ascii="Times New Roman" w:hAnsi="Times New Roman"/>
        </w:rPr>
        <w:t>年原辅材料使用量，现有工程原辅料消耗量见表3-</w:t>
      </w:r>
      <w:r>
        <w:rPr>
          <w:rFonts w:hint="eastAsia" w:ascii="Times New Roman" w:hAnsi="Times New Roman"/>
        </w:rPr>
        <w:t>5</w:t>
      </w:r>
      <w:r>
        <w:rPr>
          <w:rFonts w:ascii="Times New Roman" w:hAnsi="Times New Roman"/>
        </w:rPr>
        <w:t>。</w:t>
      </w:r>
    </w:p>
    <w:p>
      <w:pPr>
        <w:pStyle w:val="313"/>
        <w:tabs>
          <w:tab w:val="clear" w:pos="3908"/>
        </w:tabs>
        <w:ind w:left="1122" w:hanging="561"/>
        <w:rPr>
          <w:rFonts w:ascii="Times New Roman" w:hAnsi="Times New Roman"/>
        </w:rPr>
      </w:pPr>
      <w:r>
        <w:rPr>
          <w:rFonts w:ascii="Times New Roman" w:hAnsi="Times New Roman"/>
        </w:rPr>
        <w:t>主要原辅料消耗表</w:t>
      </w:r>
    </w:p>
    <w:tbl>
      <w:tblPr>
        <w:tblStyle w:val="87"/>
        <w:tblW w:w="8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32"/>
        <w:gridCol w:w="1001"/>
        <w:gridCol w:w="1230"/>
        <w:gridCol w:w="758"/>
        <w:gridCol w:w="1497"/>
        <w:gridCol w:w="2036"/>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序号</w:t>
            </w:r>
          </w:p>
        </w:tc>
        <w:tc>
          <w:tcPr>
            <w:tcW w:w="1232" w:type="dxa"/>
            <w:vAlign w:val="center"/>
          </w:tcPr>
          <w:p>
            <w:pPr>
              <w:spacing w:line="0" w:lineRule="atLeast"/>
              <w:jc w:val="center"/>
              <w:rPr>
                <w:rFonts w:eastAsia="宋体"/>
                <w:sz w:val="21"/>
                <w:szCs w:val="21"/>
              </w:rPr>
            </w:pPr>
            <w:r>
              <w:rPr>
                <w:rFonts w:eastAsia="宋体"/>
                <w:sz w:val="21"/>
                <w:szCs w:val="21"/>
              </w:rPr>
              <w:t>原料名称</w:t>
            </w:r>
          </w:p>
        </w:tc>
        <w:tc>
          <w:tcPr>
            <w:tcW w:w="1001" w:type="dxa"/>
            <w:vAlign w:val="center"/>
          </w:tcPr>
          <w:p>
            <w:pPr>
              <w:spacing w:line="0" w:lineRule="atLeast"/>
              <w:jc w:val="center"/>
              <w:rPr>
                <w:rFonts w:eastAsia="宋体"/>
                <w:sz w:val="21"/>
                <w:szCs w:val="21"/>
              </w:rPr>
            </w:pPr>
            <w:r>
              <w:rPr>
                <w:rFonts w:eastAsia="宋体"/>
                <w:sz w:val="21"/>
                <w:szCs w:val="21"/>
              </w:rPr>
              <w:t>单位</w:t>
            </w:r>
          </w:p>
        </w:tc>
        <w:tc>
          <w:tcPr>
            <w:tcW w:w="1230" w:type="dxa"/>
            <w:tcBorders>
              <w:bottom w:val="single" w:color="auto" w:sz="4" w:space="0"/>
            </w:tcBorders>
            <w:vAlign w:val="center"/>
          </w:tcPr>
          <w:p>
            <w:pPr>
              <w:spacing w:line="0" w:lineRule="atLeast"/>
              <w:jc w:val="center"/>
              <w:rPr>
                <w:rFonts w:eastAsia="宋体"/>
                <w:sz w:val="21"/>
                <w:szCs w:val="21"/>
              </w:rPr>
            </w:pPr>
            <w:r>
              <w:rPr>
                <w:rFonts w:eastAsia="宋体"/>
                <w:sz w:val="21"/>
                <w:szCs w:val="21"/>
              </w:rPr>
              <w:t>2018年度实际耗用量</w:t>
            </w:r>
          </w:p>
        </w:tc>
        <w:tc>
          <w:tcPr>
            <w:tcW w:w="758" w:type="dxa"/>
            <w:vAlign w:val="center"/>
          </w:tcPr>
          <w:p>
            <w:pPr>
              <w:spacing w:line="0" w:lineRule="atLeast"/>
              <w:jc w:val="center"/>
              <w:rPr>
                <w:rFonts w:eastAsia="宋体"/>
                <w:sz w:val="21"/>
                <w:szCs w:val="21"/>
              </w:rPr>
            </w:pPr>
            <w:r>
              <w:rPr>
                <w:rFonts w:hint="eastAsia" w:ascii="Calibri" w:hAnsi="Calibri" w:eastAsia="宋体"/>
                <w:sz w:val="21"/>
                <w:szCs w:val="21"/>
              </w:rPr>
              <w:t>包装形式</w:t>
            </w:r>
          </w:p>
        </w:tc>
        <w:tc>
          <w:tcPr>
            <w:tcW w:w="1497" w:type="dxa"/>
            <w:vAlign w:val="center"/>
          </w:tcPr>
          <w:p>
            <w:pPr>
              <w:spacing w:line="0" w:lineRule="atLeast"/>
              <w:jc w:val="center"/>
              <w:rPr>
                <w:rFonts w:eastAsia="宋体"/>
                <w:sz w:val="21"/>
                <w:szCs w:val="21"/>
              </w:rPr>
            </w:pPr>
            <w:r>
              <w:rPr>
                <w:rFonts w:hint="eastAsia" w:eastAsia="宋体"/>
                <w:sz w:val="21"/>
                <w:szCs w:val="21"/>
              </w:rPr>
              <w:t>场内储存位置及最大储存量</w:t>
            </w:r>
          </w:p>
        </w:tc>
        <w:tc>
          <w:tcPr>
            <w:tcW w:w="2562" w:type="dxa"/>
            <w:gridSpan w:val="2"/>
            <w:vAlign w:val="center"/>
          </w:tcPr>
          <w:p>
            <w:pPr>
              <w:spacing w:line="0" w:lineRule="atLeast"/>
              <w:jc w:val="center"/>
              <w:rPr>
                <w:rFonts w:eastAsia="宋体"/>
                <w:sz w:val="21"/>
                <w:szCs w:val="21"/>
              </w:rPr>
            </w:pPr>
            <w:r>
              <w:rPr>
                <w:rFonts w:eastAsia="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废不锈钢</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43893</w:t>
            </w:r>
          </w:p>
        </w:tc>
        <w:tc>
          <w:tcPr>
            <w:tcW w:w="758" w:type="dxa"/>
            <w:vAlign w:val="center"/>
          </w:tcPr>
          <w:p>
            <w:pPr>
              <w:spacing w:line="0" w:lineRule="atLeast"/>
              <w:jc w:val="center"/>
              <w:rPr>
                <w:rFonts w:eastAsia="宋体"/>
                <w:sz w:val="21"/>
                <w:szCs w:val="21"/>
              </w:rPr>
            </w:pPr>
            <w:r>
              <w:rPr>
                <w:rFonts w:hint="eastAsia" w:eastAsia="宋体"/>
                <w:sz w:val="21"/>
                <w:szCs w:val="21"/>
              </w:rPr>
              <w:t>散装</w:t>
            </w:r>
          </w:p>
        </w:tc>
        <w:tc>
          <w:tcPr>
            <w:tcW w:w="1497" w:type="dxa"/>
            <w:vAlign w:val="center"/>
          </w:tcPr>
          <w:p>
            <w:pPr>
              <w:spacing w:line="0" w:lineRule="atLeast"/>
              <w:jc w:val="center"/>
              <w:rPr>
                <w:rFonts w:eastAsia="宋体"/>
                <w:sz w:val="21"/>
                <w:szCs w:val="21"/>
              </w:rPr>
            </w:pPr>
            <w:r>
              <w:rPr>
                <w:rFonts w:hint="eastAsia" w:eastAsia="宋体"/>
                <w:sz w:val="21"/>
                <w:szCs w:val="21"/>
              </w:rPr>
              <w:t>原料场地</w:t>
            </w:r>
          </w:p>
        </w:tc>
        <w:tc>
          <w:tcPr>
            <w:tcW w:w="2562" w:type="dxa"/>
            <w:gridSpan w:val="2"/>
            <w:vMerge w:val="restart"/>
            <w:vAlign w:val="center"/>
          </w:tcPr>
          <w:p>
            <w:pPr>
              <w:spacing w:line="0" w:lineRule="atLeast"/>
              <w:jc w:val="center"/>
              <w:rPr>
                <w:rFonts w:eastAsia="宋体"/>
                <w:sz w:val="21"/>
                <w:szCs w:val="21"/>
              </w:rPr>
            </w:pPr>
            <w:r>
              <w:rPr>
                <w:rFonts w:eastAsia="宋体"/>
                <w:sz w:val="21"/>
                <w:szCs w:val="21"/>
              </w:rPr>
              <w:t>炼钢一厂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镍铁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13068</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3</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铬铁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14751</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4</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钼铁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527</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5</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石灰</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8468</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6</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萤石</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1488</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7</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耐火材料</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3663</w:t>
            </w:r>
          </w:p>
        </w:tc>
        <w:tc>
          <w:tcPr>
            <w:tcW w:w="758" w:type="dxa"/>
            <w:vAlign w:val="center"/>
          </w:tcPr>
          <w:p>
            <w:pPr>
              <w:spacing w:line="0" w:lineRule="atLeast"/>
              <w:jc w:val="center"/>
              <w:rPr>
                <w:rFonts w:eastAsia="宋体"/>
                <w:sz w:val="21"/>
                <w:szCs w:val="21"/>
              </w:rPr>
            </w:pPr>
            <w:r>
              <w:rPr>
                <w:rFonts w:hint="eastAsia" w:eastAsia="宋体"/>
                <w:sz w:val="21"/>
                <w:szCs w:val="21"/>
              </w:rPr>
              <w:t>纸包装</w:t>
            </w:r>
          </w:p>
        </w:tc>
        <w:tc>
          <w:tcPr>
            <w:tcW w:w="1497" w:type="dxa"/>
            <w:vAlign w:val="center"/>
          </w:tcPr>
          <w:p>
            <w:pPr>
              <w:spacing w:line="0" w:lineRule="atLeast"/>
              <w:jc w:val="center"/>
              <w:rPr>
                <w:rFonts w:eastAsia="宋体"/>
                <w:sz w:val="21"/>
                <w:szCs w:val="21"/>
              </w:rPr>
            </w:pPr>
            <w:r>
              <w:rPr>
                <w:rFonts w:hint="eastAsia" w:eastAsia="宋体"/>
                <w:sz w:val="21"/>
                <w:szCs w:val="21"/>
              </w:rPr>
              <w:t>辅料仓库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8</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石墨电极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tcBorders>
              <w:top w:val="single" w:color="auto" w:sz="4" w:space="0"/>
              <w:left w:val="nil"/>
              <w:bottom w:val="single" w:color="auto" w:sz="4" w:space="0"/>
              <w:right w:val="nil"/>
            </w:tcBorders>
            <w:shd w:val="clear" w:color="auto" w:fill="auto"/>
            <w:vAlign w:val="center"/>
          </w:tcPr>
          <w:p>
            <w:pPr>
              <w:spacing w:line="0" w:lineRule="atLeast"/>
              <w:jc w:val="center"/>
              <w:rPr>
                <w:rFonts w:eastAsia="宋体"/>
                <w:sz w:val="21"/>
                <w:szCs w:val="21"/>
              </w:rPr>
            </w:pPr>
            <w:r>
              <w:rPr>
                <w:rFonts w:hint="eastAsia" w:eastAsia="宋体"/>
                <w:sz w:val="21"/>
                <w:szCs w:val="21"/>
              </w:rPr>
              <w:t>271</w:t>
            </w:r>
          </w:p>
        </w:tc>
        <w:tc>
          <w:tcPr>
            <w:tcW w:w="758" w:type="dxa"/>
            <w:vAlign w:val="center"/>
          </w:tcPr>
          <w:p>
            <w:pPr>
              <w:spacing w:line="0" w:lineRule="atLeast"/>
              <w:jc w:val="center"/>
              <w:rPr>
                <w:rFonts w:eastAsia="宋体"/>
                <w:sz w:val="21"/>
                <w:szCs w:val="21"/>
              </w:rPr>
            </w:pPr>
            <w:r>
              <w:rPr>
                <w:rFonts w:hint="eastAsia" w:eastAsia="宋体"/>
                <w:sz w:val="21"/>
                <w:szCs w:val="21"/>
              </w:rPr>
              <w:t>木框</w:t>
            </w:r>
          </w:p>
        </w:tc>
        <w:tc>
          <w:tcPr>
            <w:tcW w:w="1497" w:type="dxa"/>
            <w:vAlign w:val="center"/>
          </w:tcPr>
          <w:p>
            <w:pPr>
              <w:spacing w:line="0" w:lineRule="atLeast"/>
              <w:jc w:val="center"/>
              <w:rPr>
                <w:rFonts w:eastAsia="宋体"/>
                <w:sz w:val="21"/>
                <w:szCs w:val="21"/>
              </w:rPr>
            </w:pPr>
            <w:r>
              <w:rPr>
                <w:rFonts w:hint="eastAsia" w:eastAsia="宋体"/>
                <w:sz w:val="21"/>
                <w:szCs w:val="21"/>
              </w:rPr>
              <w:t>辅料仓库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9</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空气</w:t>
            </w:r>
          </w:p>
        </w:tc>
        <w:tc>
          <w:tcPr>
            <w:tcW w:w="1001" w:type="dxa"/>
            <w:vAlign w:val="center"/>
          </w:tcPr>
          <w:p>
            <w:pPr>
              <w:widowControl/>
              <w:snapToGrid w:val="0"/>
              <w:spacing w:line="0" w:lineRule="atLeast"/>
              <w:jc w:val="center"/>
              <w:rPr>
                <w:rFonts w:eastAsia="宋体"/>
                <w:sz w:val="21"/>
                <w:szCs w:val="21"/>
              </w:rPr>
            </w:pPr>
            <w:r>
              <w:rPr>
                <w:rFonts w:eastAsia="宋体"/>
                <w:sz w:val="21"/>
                <w:szCs w:val="21"/>
              </w:rPr>
              <w:t>万m</w:t>
            </w:r>
            <w:r>
              <w:rPr>
                <w:rFonts w:eastAsia="宋体"/>
                <w:sz w:val="21"/>
                <w:szCs w:val="21"/>
                <w:vertAlign w:val="superscript"/>
              </w:rPr>
              <w:t>3</w:t>
            </w:r>
            <w:r>
              <w:rPr>
                <w:rFonts w:eastAsia="宋体"/>
                <w:sz w:val="21"/>
                <w:szCs w:val="21"/>
              </w:rPr>
              <w:t>/年</w:t>
            </w:r>
          </w:p>
        </w:tc>
        <w:tc>
          <w:tcPr>
            <w:tcW w:w="1230" w:type="dxa"/>
            <w:tcBorders>
              <w:top w:val="single" w:color="auto" w:sz="4" w:space="0"/>
            </w:tcBorders>
            <w:vAlign w:val="center"/>
          </w:tcPr>
          <w:p>
            <w:pPr>
              <w:spacing w:line="0" w:lineRule="atLeast"/>
              <w:jc w:val="center"/>
              <w:rPr>
                <w:rFonts w:eastAsia="宋体"/>
                <w:sz w:val="21"/>
                <w:szCs w:val="21"/>
              </w:rPr>
            </w:pPr>
            <w:r>
              <w:rPr>
                <w:rFonts w:hint="eastAsia" w:eastAsia="宋体"/>
                <w:sz w:val="21"/>
                <w:szCs w:val="21"/>
              </w:rPr>
              <w:t>8130</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10</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分子筛</w:t>
            </w:r>
          </w:p>
        </w:tc>
        <w:tc>
          <w:tcPr>
            <w:tcW w:w="1001" w:type="dxa"/>
            <w:vAlign w:val="center"/>
          </w:tcPr>
          <w:p>
            <w:pPr>
              <w:widowControl/>
              <w:snapToGrid w:val="0"/>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未更换</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11</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废不锈钢</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180880.012</w:t>
            </w:r>
          </w:p>
        </w:tc>
        <w:tc>
          <w:tcPr>
            <w:tcW w:w="758" w:type="dxa"/>
            <w:vAlign w:val="center"/>
          </w:tcPr>
          <w:p>
            <w:pPr>
              <w:spacing w:line="0" w:lineRule="atLeast"/>
              <w:jc w:val="center"/>
              <w:rPr>
                <w:rFonts w:eastAsia="宋体"/>
                <w:sz w:val="21"/>
                <w:szCs w:val="21"/>
              </w:rPr>
            </w:pPr>
            <w:r>
              <w:rPr>
                <w:rFonts w:hint="eastAsia" w:eastAsia="宋体"/>
                <w:sz w:val="21"/>
                <w:szCs w:val="21"/>
              </w:rPr>
              <w:t>散装</w:t>
            </w:r>
          </w:p>
        </w:tc>
        <w:tc>
          <w:tcPr>
            <w:tcW w:w="1497" w:type="dxa"/>
            <w:vAlign w:val="center"/>
          </w:tcPr>
          <w:p>
            <w:pPr>
              <w:spacing w:line="0" w:lineRule="atLeast"/>
              <w:jc w:val="center"/>
              <w:rPr>
                <w:rFonts w:eastAsia="宋体"/>
                <w:sz w:val="21"/>
                <w:szCs w:val="21"/>
              </w:rPr>
            </w:pPr>
            <w:r>
              <w:rPr>
                <w:rFonts w:hint="eastAsia" w:eastAsia="宋体"/>
                <w:sz w:val="21"/>
                <w:szCs w:val="21"/>
              </w:rPr>
              <w:t>原料场地</w:t>
            </w:r>
          </w:p>
        </w:tc>
        <w:tc>
          <w:tcPr>
            <w:tcW w:w="2562" w:type="dxa"/>
            <w:gridSpan w:val="2"/>
            <w:vMerge w:val="restart"/>
            <w:vAlign w:val="center"/>
          </w:tcPr>
          <w:p>
            <w:pPr>
              <w:spacing w:line="0" w:lineRule="atLeast"/>
              <w:jc w:val="center"/>
              <w:rPr>
                <w:rFonts w:eastAsia="宋体"/>
                <w:sz w:val="21"/>
                <w:szCs w:val="21"/>
              </w:rPr>
            </w:pPr>
            <w:r>
              <w:rPr>
                <w:rFonts w:hint="eastAsia" w:eastAsia="宋体"/>
                <w:sz w:val="21"/>
                <w:szCs w:val="21"/>
              </w:rPr>
              <w:t>炼钢二厂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12</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镍铁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22636.105</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13</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铬铁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34045.232</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14</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钼铁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1101.150</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15</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石灰</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22204.778</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16</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萤石</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2681.832</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原料仓库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17</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耐火材料</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5433.839</w:t>
            </w:r>
          </w:p>
        </w:tc>
        <w:tc>
          <w:tcPr>
            <w:tcW w:w="758" w:type="dxa"/>
            <w:vAlign w:val="center"/>
          </w:tcPr>
          <w:p>
            <w:pPr>
              <w:spacing w:line="0" w:lineRule="atLeast"/>
              <w:jc w:val="center"/>
              <w:rPr>
                <w:rFonts w:eastAsia="宋体"/>
                <w:sz w:val="21"/>
                <w:szCs w:val="21"/>
              </w:rPr>
            </w:pPr>
            <w:r>
              <w:rPr>
                <w:rFonts w:hint="eastAsia" w:eastAsia="宋体"/>
                <w:sz w:val="21"/>
                <w:szCs w:val="21"/>
              </w:rPr>
              <w:t>纸包装</w:t>
            </w:r>
          </w:p>
        </w:tc>
        <w:tc>
          <w:tcPr>
            <w:tcW w:w="1497" w:type="dxa"/>
            <w:vAlign w:val="center"/>
          </w:tcPr>
          <w:p>
            <w:pPr>
              <w:spacing w:line="0" w:lineRule="atLeast"/>
              <w:jc w:val="center"/>
              <w:rPr>
                <w:rFonts w:eastAsia="宋体"/>
                <w:sz w:val="21"/>
                <w:szCs w:val="21"/>
              </w:rPr>
            </w:pPr>
            <w:r>
              <w:rPr>
                <w:rFonts w:hint="eastAsia" w:eastAsia="宋体"/>
                <w:sz w:val="21"/>
                <w:szCs w:val="21"/>
              </w:rPr>
              <w:t>辅料仓库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18</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石墨电极</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756.880</w:t>
            </w:r>
          </w:p>
        </w:tc>
        <w:tc>
          <w:tcPr>
            <w:tcW w:w="758" w:type="dxa"/>
            <w:vAlign w:val="center"/>
          </w:tcPr>
          <w:p>
            <w:pPr>
              <w:spacing w:line="0" w:lineRule="atLeast"/>
              <w:jc w:val="center"/>
              <w:rPr>
                <w:rFonts w:eastAsia="宋体"/>
                <w:sz w:val="21"/>
                <w:szCs w:val="21"/>
              </w:rPr>
            </w:pPr>
            <w:r>
              <w:rPr>
                <w:rFonts w:hint="eastAsia" w:eastAsia="宋体"/>
                <w:sz w:val="21"/>
                <w:szCs w:val="21"/>
              </w:rPr>
              <w:t>木框</w:t>
            </w:r>
          </w:p>
        </w:tc>
        <w:tc>
          <w:tcPr>
            <w:tcW w:w="1497" w:type="dxa"/>
            <w:vAlign w:val="center"/>
          </w:tcPr>
          <w:p>
            <w:pPr>
              <w:spacing w:line="0" w:lineRule="atLeast"/>
              <w:jc w:val="center"/>
              <w:rPr>
                <w:rFonts w:eastAsia="宋体"/>
                <w:sz w:val="21"/>
                <w:szCs w:val="21"/>
              </w:rPr>
            </w:pPr>
            <w:r>
              <w:rPr>
                <w:rFonts w:hint="eastAsia" w:eastAsia="宋体"/>
                <w:sz w:val="21"/>
                <w:szCs w:val="21"/>
              </w:rPr>
              <w:t>辅料仓库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19</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不锈钢坯</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47477.631</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坯料场地</w:t>
            </w:r>
          </w:p>
        </w:tc>
        <w:tc>
          <w:tcPr>
            <w:tcW w:w="2036" w:type="dxa"/>
            <w:vMerge w:val="restart"/>
            <w:vAlign w:val="center"/>
          </w:tcPr>
          <w:p>
            <w:pPr>
              <w:spacing w:line="0" w:lineRule="atLeast"/>
              <w:jc w:val="center"/>
              <w:rPr>
                <w:rFonts w:eastAsia="宋体"/>
                <w:sz w:val="21"/>
                <w:szCs w:val="21"/>
                <w:lang w:val="zh-CN"/>
              </w:rPr>
            </w:pPr>
            <w:r>
              <w:rPr>
                <w:rFonts w:hint="eastAsia" w:eastAsia="宋体"/>
                <w:sz w:val="21"/>
                <w:szCs w:val="21"/>
              </w:rPr>
              <w:t>老轧钢</w:t>
            </w:r>
            <w:r>
              <w:rPr>
                <w:rFonts w:eastAsia="宋体"/>
                <w:sz w:val="21"/>
                <w:szCs w:val="21"/>
              </w:rPr>
              <w:t>厂</w:t>
            </w:r>
            <w:r>
              <w:rPr>
                <w:rFonts w:eastAsia="宋体"/>
                <w:sz w:val="21"/>
                <w:szCs w:val="21"/>
                <w:lang w:val="zh-CN"/>
              </w:rPr>
              <w:t>(2018.1-2018.6)</w:t>
            </w:r>
          </w:p>
        </w:tc>
        <w:tc>
          <w:tcPr>
            <w:tcW w:w="526" w:type="dxa"/>
            <w:vMerge w:val="restart"/>
            <w:vAlign w:val="center"/>
          </w:tcPr>
          <w:p>
            <w:pPr>
              <w:spacing w:line="0" w:lineRule="atLeast"/>
              <w:jc w:val="center"/>
              <w:rPr>
                <w:rFonts w:eastAsia="宋体"/>
                <w:sz w:val="21"/>
                <w:szCs w:val="21"/>
                <w:lang w:val="zh-CN"/>
              </w:rPr>
            </w:pPr>
            <w:r>
              <w:rPr>
                <w:rFonts w:hint="eastAsia" w:eastAsia="宋体"/>
                <w:sz w:val="21"/>
                <w:szCs w:val="21"/>
                <w:lang w:val="zh-CN"/>
              </w:rPr>
              <w:t>轧钢厂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20</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轧辊</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19.700</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准备车间</w:t>
            </w:r>
          </w:p>
        </w:tc>
        <w:tc>
          <w:tcPr>
            <w:tcW w:w="2036" w:type="dxa"/>
            <w:vMerge w:val="continue"/>
            <w:vAlign w:val="center"/>
          </w:tcPr>
          <w:p>
            <w:pPr>
              <w:spacing w:line="0" w:lineRule="atLeast"/>
              <w:jc w:val="center"/>
              <w:rPr>
                <w:rFonts w:eastAsia="宋体"/>
                <w:sz w:val="21"/>
                <w:szCs w:val="21"/>
              </w:rPr>
            </w:pPr>
          </w:p>
        </w:tc>
        <w:tc>
          <w:tcPr>
            <w:tcW w:w="526" w:type="dxa"/>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21</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矿物油</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32.732</w:t>
            </w:r>
          </w:p>
        </w:tc>
        <w:tc>
          <w:tcPr>
            <w:tcW w:w="758" w:type="dxa"/>
            <w:vAlign w:val="center"/>
          </w:tcPr>
          <w:p>
            <w:pPr>
              <w:spacing w:line="0" w:lineRule="atLeast"/>
              <w:jc w:val="center"/>
              <w:rPr>
                <w:rFonts w:eastAsia="宋体"/>
                <w:sz w:val="21"/>
                <w:szCs w:val="21"/>
              </w:rPr>
            </w:pPr>
            <w:r>
              <w:rPr>
                <w:rFonts w:hint="eastAsia" w:eastAsia="宋体"/>
                <w:sz w:val="21"/>
                <w:szCs w:val="21"/>
              </w:rPr>
              <w:t>桶装</w:t>
            </w:r>
          </w:p>
        </w:tc>
        <w:tc>
          <w:tcPr>
            <w:tcW w:w="1497" w:type="dxa"/>
            <w:vAlign w:val="center"/>
          </w:tcPr>
          <w:p>
            <w:pPr>
              <w:spacing w:line="0" w:lineRule="atLeast"/>
              <w:jc w:val="center"/>
              <w:rPr>
                <w:rFonts w:eastAsia="宋体"/>
                <w:sz w:val="21"/>
                <w:szCs w:val="21"/>
              </w:rPr>
            </w:pPr>
            <w:r>
              <w:rPr>
                <w:rFonts w:hint="eastAsia" w:eastAsia="宋体"/>
                <w:sz w:val="21"/>
                <w:szCs w:val="21"/>
              </w:rPr>
              <w:t>油品仓库</w:t>
            </w:r>
          </w:p>
        </w:tc>
        <w:tc>
          <w:tcPr>
            <w:tcW w:w="2036" w:type="dxa"/>
            <w:vMerge w:val="continue"/>
            <w:vAlign w:val="center"/>
          </w:tcPr>
          <w:p>
            <w:pPr>
              <w:spacing w:line="0" w:lineRule="atLeast"/>
              <w:jc w:val="center"/>
              <w:rPr>
                <w:rFonts w:eastAsia="宋体"/>
                <w:sz w:val="21"/>
                <w:szCs w:val="21"/>
              </w:rPr>
            </w:pPr>
          </w:p>
        </w:tc>
        <w:tc>
          <w:tcPr>
            <w:tcW w:w="526" w:type="dxa"/>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22</w:t>
            </w:r>
          </w:p>
        </w:tc>
        <w:tc>
          <w:tcPr>
            <w:tcW w:w="1232" w:type="dxa"/>
            <w:vAlign w:val="center"/>
          </w:tcPr>
          <w:p>
            <w:pPr>
              <w:spacing w:line="0" w:lineRule="atLeast"/>
              <w:jc w:val="center"/>
              <w:rPr>
                <w:rFonts w:eastAsia="宋体"/>
                <w:sz w:val="21"/>
                <w:szCs w:val="21"/>
              </w:rPr>
            </w:pPr>
            <w:r>
              <w:rPr>
                <w:rFonts w:eastAsia="宋体"/>
                <w:sz w:val="21"/>
                <w:szCs w:val="21"/>
              </w:rPr>
              <w:t>连铸坯</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160163.719</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坯料场地</w:t>
            </w:r>
          </w:p>
        </w:tc>
        <w:tc>
          <w:tcPr>
            <w:tcW w:w="2036" w:type="dxa"/>
            <w:vAlign w:val="center"/>
          </w:tcPr>
          <w:p>
            <w:pPr>
              <w:spacing w:line="0" w:lineRule="atLeast"/>
              <w:jc w:val="center"/>
              <w:rPr>
                <w:rFonts w:eastAsia="宋体"/>
                <w:sz w:val="21"/>
                <w:szCs w:val="21"/>
              </w:rPr>
            </w:pPr>
            <w:r>
              <w:rPr>
                <w:rFonts w:hint="eastAsia" w:eastAsia="宋体"/>
                <w:sz w:val="21"/>
                <w:szCs w:val="21"/>
              </w:rPr>
              <w:t>新轧钢厂(</w:t>
            </w:r>
            <w:r>
              <w:rPr>
                <w:rFonts w:eastAsia="宋体"/>
                <w:sz w:val="21"/>
                <w:szCs w:val="21"/>
              </w:rPr>
              <w:t>2018.4-2018.12</w:t>
            </w:r>
            <w:r>
              <w:rPr>
                <w:rFonts w:hint="eastAsia" w:eastAsia="宋体"/>
                <w:sz w:val="21"/>
                <w:szCs w:val="21"/>
              </w:rPr>
              <w:t>)</w:t>
            </w:r>
          </w:p>
        </w:tc>
        <w:tc>
          <w:tcPr>
            <w:tcW w:w="526" w:type="dxa"/>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23</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不锈钢线材</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117822.25</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半成品仓库</w:t>
            </w:r>
          </w:p>
        </w:tc>
        <w:tc>
          <w:tcPr>
            <w:tcW w:w="2562" w:type="dxa"/>
            <w:gridSpan w:val="2"/>
            <w:vMerge w:val="restart"/>
            <w:vAlign w:val="center"/>
          </w:tcPr>
          <w:p>
            <w:pPr>
              <w:spacing w:line="0" w:lineRule="atLeast"/>
              <w:jc w:val="center"/>
              <w:rPr>
                <w:rFonts w:eastAsia="宋体"/>
                <w:sz w:val="21"/>
                <w:szCs w:val="21"/>
              </w:rPr>
            </w:pPr>
            <w:r>
              <w:rPr>
                <w:rFonts w:eastAsia="宋体"/>
                <w:sz w:val="21"/>
                <w:szCs w:val="21"/>
              </w:rPr>
              <w:t>精整酸洗</w:t>
            </w:r>
            <w:r>
              <w:rPr>
                <w:rFonts w:hint="eastAsia" w:eastAsia="宋体"/>
                <w:sz w:val="21"/>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shd w:val="clear" w:color="auto" w:fill="auto"/>
            <w:vAlign w:val="center"/>
          </w:tcPr>
          <w:p>
            <w:pPr>
              <w:spacing w:line="0" w:lineRule="atLeast"/>
              <w:jc w:val="center"/>
              <w:rPr>
                <w:rFonts w:eastAsia="宋体"/>
                <w:sz w:val="21"/>
                <w:szCs w:val="21"/>
              </w:rPr>
            </w:pPr>
            <w:r>
              <w:rPr>
                <w:rFonts w:eastAsia="宋体"/>
                <w:sz w:val="21"/>
                <w:szCs w:val="21"/>
              </w:rPr>
              <w:t>24</w:t>
            </w:r>
          </w:p>
        </w:tc>
        <w:tc>
          <w:tcPr>
            <w:tcW w:w="1232" w:type="dxa"/>
            <w:shd w:val="clear" w:color="auto" w:fill="auto"/>
            <w:vAlign w:val="center"/>
          </w:tcPr>
          <w:p>
            <w:pPr>
              <w:widowControl/>
              <w:snapToGrid w:val="0"/>
              <w:spacing w:line="0" w:lineRule="atLeast"/>
              <w:jc w:val="center"/>
              <w:rPr>
                <w:rFonts w:eastAsia="宋体"/>
                <w:sz w:val="21"/>
                <w:szCs w:val="21"/>
              </w:rPr>
            </w:pPr>
            <w:r>
              <w:rPr>
                <w:rFonts w:eastAsia="宋体"/>
                <w:sz w:val="21"/>
                <w:szCs w:val="21"/>
              </w:rPr>
              <w:t>98%硫酸</w:t>
            </w:r>
          </w:p>
        </w:tc>
        <w:tc>
          <w:tcPr>
            <w:tcW w:w="1001" w:type="dxa"/>
            <w:shd w:val="clear" w:color="auto" w:fill="auto"/>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466.200</w:t>
            </w:r>
          </w:p>
        </w:tc>
        <w:tc>
          <w:tcPr>
            <w:tcW w:w="758" w:type="dxa"/>
            <w:vAlign w:val="center"/>
          </w:tcPr>
          <w:p>
            <w:pPr>
              <w:spacing w:line="0" w:lineRule="atLeast"/>
              <w:jc w:val="center"/>
              <w:rPr>
                <w:rFonts w:eastAsia="宋体"/>
                <w:sz w:val="21"/>
                <w:szCs w:val="21"/>
              </w:rPr>
            </w:pPr>
            <w:r>
              <w:rPr>
                <w:rFonts w:hint="eastAsia" w:eastAsia="宋体"/>
                <w:sz w:val="21"/>
                <w:szCs w:val="21"/>
              </w:rPr>
              <w:t>罐车</w:t>
            </w:r>
          </w:p>
        </w:tc>
        <w:tc>
          <w:tcPr>
            <w:tcW w:w="1497" w:type="dxa"/>
            <w:vAlign w:val="center"/>
          </w:tcPr>
          <w:p>
            <w:pPr>
              <w:spacing w:line="0" w:lineRule="atLeast"/>
              <w:jc w:val="center"/>
              <w:rPr>
                <w:rFonts w:eastAsia="宋体"/>
                <w:sz w:val="21"/>
                <w:szCs w:val="21"/>
              </w:rPr>
            </w:pPr>
            <w:r>
              <w:rPr>
                <w:rFonts w:hint="eastAsia" w:eastAsia="宋体"/>
                <w:sz w:val="21"/>
                <w:szCs w:val="21"/>
              </w:rPr>
              <w:t>储罐区</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shd w:val="clear" w:color="auto" w:fill="auto"/>
            <w:vAlign w:val="center"/>
          </w:tcPr>
          <w:p>
            <w:pPr>
              <w:spacing w:line="0" w:lineRule="atLeast"/>
              <w:jc w:val="center"/>
              <w:rPr>
                <w:rFonts w:eastAsia="宋体"/>
                <w:sz w:val="21"/>
                <w:szCs w:val="21"/>
              </w:rPr>
            </w:pPr>
            <w:r>
              <w:rPr>
                <w:rFonts w:eastAsia="宋体"/>
                <w:sz w:val="21"/>
                <w:szCs w:val="21"/>
              </w:rPr>
              <w:t>25</w:t>
            </w:r>
          </w:p>
        </w:tc>
        <w:tc>
          <w:tcPr>
            <w:tcW w:w="1232" w:type="dxa"/>
            <w:shd w:val="clear" w:color="auto" w:fill="auto"/>
            <w:vAlign w:val="center"/>
          </w:tcPr>
          <w:p>
            <w:pPr>
              <w:widowControl/>
              <w:snapToGrid w:val="0"/>
              <w:spacing w:line="0" w:lineRule="atLeast"/>
              <w:jc w:val="center"/>
              <w:rPr>
                <w:rFonts w:eastAsia="宋体"/>
                <w:sz w:val="21"/>
                <w:szCs w:val="21"/>
              </w:rPr>
            </w:pPr>
            <w:r>
              <w:rPr>
                <w:rFonts w:eastAsia="宋体"/>
                <w:sz w:val="21"/>
                <w:szCs w:val="21"/>
              </w:rPr>
              <w:t>56%硝酸</w:t>
            </w:r>
          </w:p>
        </w:tc>
        <w:tc>
          <w:tcPr>
            <w:tcW w:w="1001" w:type="dxa"/>
            <w:shd w:val="clear" w:color="auto" w:fill="auto"/>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1766.680</w:t>
            </w:r>
          </w:p>
        </w:tc>
        <w:tc>
          <w:tcPr>
            <w:tcW w:w="758" w:type="dxa"/>
            <w:vAlign w:val="center"/>
          </w:tcPr>
          <w:p>
            <w:pPr>
              <w:spacing w:line="0" w:lineRule="atLeast"/>
              <w:jc w:val="center"/>
              <w:rPr>
                <w:rFonts w:eastAsia="宋体"/>
                <w:sz w:val="21"/>
                <w:szCs w:val="21"/>
              </w:rPr>
            </w:pPr>
            <w:r>
              <w:rPr>
                <w:rFonts w:hint="eastAsia" w:eastAsia="宋体"/>
                <w:sz w:val="21"/>
                <w:szCs w:val="21"/>
              </w:rPr>
              <w:t>罐车</w:t>
            </w:r>
          </w:p>
        </w:tc>
        <w:tc>
          <w:tcPr>
            <w:tcW w:w="1497" w:type="dxa"/>
            <w:vAlign w:val="center"/>
          </w:tcPr>
          <w:p>
            <w:pPr>
              <w:spacing w:line="0" w:lineRule="atLeast"/>
              <w:jc w:val="center"/>
              <w:rPr>
                <w:rFonts w:eastAsia="宋体"/>
                <w:sz w:val="21"/>
                <w:szCs w:val="21"/>
              </w:rPr>
            </w:pPr>
            <w:r>
              <w:rPr>
                <w:rFonts w:hint="eastAsia" w:eastAsia="宋体"/>
                <w:sz w:val="21"/>
                <w:szCs w:val="21"/>
              </w:rPr>
              <w:t>储罐区</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shd w:val="clear" w:color="auto" w:fill="auto"/>
            <w:vAlign w:val="center"/>
          </w:tcPr>
          <w:p>
            <w:pPr>
              <w:spacing w:line="0" w:lineRule="atLeast"/>
              <w:jc w:val="center"/>
              <w:rPr>
                <w:rFonts w:eastAsia="宋体"/>
                <w:sz w:val="21"/>
                <w:szCs w:val="21"/>
              </w:rPr>
            </w:pPr>
            <w:r>
              <w:rPr>
                <w:rFonts w:eastAsia="宋体"/>
                <w:sz w:val="21"/>
                <w:szCs w:val="21"/>
              </w:rPr>
              <w:t>26</w:t>
            </w:r>
          </w:p>
        </w:tc>
        <w:tc>
          <w:tcPr>
            <w:tcW w:w="1232" w:type="dxa"/>
            <w:shd w:val="clear" w:color="auto" w:fill="auto"/>
            <w:vAlign w:val="center"/>
          </w:tcPr>
          <w:p>
            <w:pPr>
              <w:widowControl/>
              <w:snapToGrid w:val="0"/>
              <w:spacing w:line="0" w:lineRule="atLeast"/>
              <w:jc w:val="center"/>
              <w:rPr>
                <w:rFonts w:eastAsia="宋体"/>
                <w:sz w:val="21"/>
                <w:szCs w:val="21"/>
              </w:rPr>
            </w:pPr>
            <w:r>
              <w:rPr>
                <w:rFonts w:eastAsia="宋体"/>
                <w:sz w:val="21"/>
                <w:szCs w:val="21"/>
              </w:rPr>
              <w:t>40%氢氟酸</w:t>
            </w:r>
          </w:p>
        </w:tc>
        <w:tc>
          <w:tcPr>
            <w:tcW w:w="1001" w:type="dxa"/>
            <w:shd w:val="clear" w:color="auto" w:fill="auto"/>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3254.030</w:t>
            </w:r>
          </w:p>
        </w:tc>
        <w:tc>
          <w:tcPr>
            <w:tcW w:w="758" w:type="dxa"/>
            <w:vAlign w:val="center"/>
          </w:tcPr>
          <w:p>
            <w:pPr>
              <w:spacing w:line="0" w:lineRule="atLeast"/>
              <w:jc w:val="center"/>
              <w:rPr>
                <w:rFonts w:eastAsia="宋体"/>
                <w:sz w:val="21"/>
                <w:szCs w:val="21"/>
              </w:rPr>
            </w:pPr>
            <w:r>
              <w:rPr>
                <w:rFonts w:hint="eastAsia" w:eastAsia="宋体"/>
                <w:sz w:val="21"/>
                <w:szCs w:val="21"/>
              </w:rPr>
              <w:t>罐车</w:t>
            </w:r>
          </w:p>
        </w:tc>
        <w:tc>
          <w:tcPr>
            <w:tcW w:w="1497" w:type="dxa"/>
            <w:vAlign w:val="center"/>
          </w:tcPr>
          <w:p>
            <w:pPr>
              <w:spacing w:line="0" w:lineRule="atLeast"/>
              <w:jc w:val="center"/>
              <w:rPr>
                <w:rFonts w:eastAsia="宋体"/>
                <w:sz w:val="21"/>
                <w:szCs w:val="21"/>
              </w:rPr>
            </w:pPr>
            <w:r>
              <w:rPr>
                <w:rFonts w:hint="eastAsia" w:eastAsia="宋体"/>
                <w:sz w:val="21"/>
                <w:szCs w:val="21"/>
              </w:rPr>
              <w:t>储罐区</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shd w:val="clear" w:color="auto" w:fill="auto"/>
            <w:vAlign w:val="center"/>
          </w:tcPr>
          <w:p>
            <w:pPr>
              <w:spacing w:line="0" w:lineRule="atLeast"/>
              <w:jc w:val="center"/>
              <w:rPr>
                <w:rFonts w:eastAsia="宋体"/>
                <w:sz w:val="21"/>
                <w:szCs w:val="21"/>
              </w:rPr>
            </w:pPr>
            <w:r>
              <w:rPr>
                <w:rFonts w:eastAsia="宋体"/>
                <w:sz w:val="21"/>
                <w:szCs w:val="21"/>
              </w:rPr>
              <w:t>27</w:t>
            </w:r>
          </w:p>
        </w:tc>
        <w:tc>
          <w:tcPr>
            <w:tcW w:w="1232" w:type="dxa"/>
            <w:shd w:val="clear" w:color="auto" w:fill="auto"/>
            <w:vAlign w:val="center"/>
          </w:tcPr>
          <w:p>
            <w:pPr>
              <w:widowControl/>
              <w:snapToGrid w:val="0"/>
              <w:spacing w:line="0" w:lineRule="atLeast"/>
              <w:jc w:val="center"/>
              <w:rPr>
                <w:rFonts w:eastAsia="宋体"/>
                <w:sz w:val="21"/>
                <w:szCs w:val="21"/>
              </w:rPr>
            </w:pPr>
            <w:r>
              <w:rPr>
                <w:rFonts w:eastAsia="宋体"/>
                <w:sz w:val="21"/>
                <w:szCs w:val="21"/>
              </w:rPr>
              <w:t>20%氨水</w:t>
            </w:r>
          </w:p>
        </w:tc>
        <w:tc>
          <w:tcPr>
            <w:tcW w:w="1001" w:type="dxa"/>
            <w:shd w:val="clear" w:color="auto" w:fill="auto"/>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1070.120</w:t>
            </w:r>
          </w:p>
        </w:tc>
        <w:tc>
          <w:tcPr>
            <w:tcW w:w="758" w:type="dxa"/>
            <w:vAlign w:val="center"/>
          </w:tcPr>
          <w:p>
            <w:pPr>
              <w:spacing w:line="0" w:lineRule="atLeast"/>
              <w:jc w:val="center"/>
              <w:rPr>
                <w:rFonts w:eastAsia="宋体"/>
                <w:sz w:val="21"/>
                <w:szCs w:val="21"/>
              </w:rPr>
            </w:pPr>
            <w:r>
              <w:rPr>
                <w:rFonts w:hint="eastAsia" w:eastAsia="宋体"/>
                <w:sz w:val="21"/>
                <w:szCs w:val="21"/>
              </w:rPr>
              <w:t>罐车</w:t>
            </w:r>
          </w:p>
        </w:tc>
        <w:tc>
          <w:tcPr>
            <w:tcW w:w="1497" w:type="dxa"/>
            <w:vAlign w:val="center"/>
          </w:tcPr>
          <w:p>
            <w:pPr>
              <w:spacing w:line="0" w:lineRule="atLeast"/>
              <w:jc w:val="center"/>
              <w:rPr>
                <w:rFonts w:eastAsia="宋体"/>
                <w:sz w:val="21"/>
                <w:szCs w:val="21"/>
              </w:rPr>
            </w:pPr>
            <w:r>
              <w:rPr>
                <w:rFonts w:hint="eastAsia" w:eastAsia="宋体"/>
                <w:sz w:val="21"/>
                <w:szCs w:val="21"/>
              </w:rPr>
              <w:t>储罐区</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eastAsia="宋体"/>
                <w:sz w:val="21"/>
                <w:szCs w:val="21"/>
              </w:rPr>
              <w:t>28</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石灰</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shd w:val="clear" w:color="auto" w:fill="auto"/>
            <w:vAlign w:val="center"/>
          </w:tcPr>
          <w:p>
            <w:pPr>
              <w:spacing w:line="0" w:lineRule="atLeast"/>
              <w:jc w:val="center"/>
              <w:rPr>
                <w:rFonts w:eastAsia="宋体"/>
                <w:sz w:val="21"/>
                <w:szCs w:val="21"/>
              </w:rPr>
            </w:pPr>
            <w:r>
              <w:rPr>
                <w:rFonts w:hint="eastAsia" w:eastAsia="宋体"/>
                <w:sz w:val="21"/>
                <w:szCs w:val="21"/>
              </w:rPr>
              <w:t>1910.138</w:t>
            </w:r>
          </w:p>
        </w:tc>
        <w:tc>
          <w:tcPr>
            <w:tcW w:w="758" w:type="dxa"/>
            <w:vAlign w:val="center"/>
          </w:tcPr>
          <w:p>
            <w:pPr>
              <w:spacing w:line="0" w:lineRule="atLeast"/>
              <w:jc w:val="center"/>
              <w:rPr>
                <w:rFonts w:eastAsia="宋体"/>
                <w:sz w:val="21"/>
                <w:szCs w:val="21"/>
              </w:rPr>
            </w:pPr>
            <w:r>
              <w:rPr>
                <w:rFonts w:hint="eastAsia" w:eastAsia="宋体"/>
                <w:sz w:val="21"/>
                <w:szCs w:val="21"/>
              </w:rPr>
              <w:t>吨袋</w:t>
            </w:r>
          </w:p>
        </w:tc>
        <w:tc>
          <w:tcPr>
            <w:tcW w:w="1497" w:type="dxa"/>
            <w:vAlign w:val="center"/>
          </w:tcPr>
          <w:p>
            <w:pPr>
              <w:spacing w:line="0" w:lineRule="atLeast"/>
              <w:jc w:val="center"/>
              <w:rPr>
                <w:rFonts w:eastAsia="宋体"/>
                <w:sz w:val="21"/>
                <w:szCs w:val="21"/>
              </w:rPr>
            </w:pPr>
            <w:r>
              <w:rPr>
                <w:rFonts w:hint="eastAsia" w:eastAsia="宋体"/>
                <w:sz w:val="21"/>
                <w:szCs w:val="21"/>
              </w:rPr>
              <w:t>辅料仓库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29</w:t>
            </w:r>
          </w:p>
        </w:tc>
        <w:tc>
          <w:tcPr>
            <w:tcW w:w="1232" w:type="dxa"/>
            <w:vAlign w:val="center"/>
          </w:tcPr>
          <w:p>
            <w:pPr>
              <w:widowControl/>
              <w:snapToGrid w:val="0"/>
              <w:spacing w:line="0" w:lineRule="atLeast"/>
              <w:jc w:val="center"/>
              <w:rPr>
                <w:rFonts w:eastAsia="宋体"/>
                <w:sz w:val="21"/>
                <w:szCs w:val="21"/>
              </w:rPr>
            </w:pPr>
            <w:r>
              <w:rPr>
                <w:rFonts w:eastAsia="宋体"/>
                <w:sz w:val="21"/>
                <w:szCs w:val="21"/>
              </w:rPr>
              <w:t>NaOH</w:t>
            </w:r>
          </w:p>
        </w:tc>
        <w:tc>
          <w:tcPr>
            <w:tcW w:w="1001" w:type="dxa"/>
            <w:vAlign w:val="center"/>
          </w:tcPr>
          <w:p>
            <w:pPr>
              <w:widowControl/>
              <w:snapToGrid w:val="0"/>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1457.328</w:t>
            </w:r>
          </w:p>
        </w:tc>
        <w:tc>
          <w:tcPr>
            <w:tcW w:w="758" w:type="dxa"/>
            <w:vAlign w:val="center"/>
          </w:tcPr>
          <w:p>
            <w:pPr>
              <w:spacing w:line="0" w:lineRule="atLeast"/>
              <w:jc w:val="center"/>
              <w:rPr>
                <w:rFonts w:eastAsia="宋体"/>
                <w:sz w:val="21"/>
                <w:szCs w:val="21"/>
              </w:rPr>
            </w:pPr>
            <w:r>
              <w:rPr>
                <w:rFonts w:hint="eastAsia" w:eastAsia="宋体"/>
                <w:sz w:val="21"/>
                <w:szCs w:val="21"/>
              </w:rPr>
              <w:t>袋装</w:t>
            </w:r>
          </w:p>
        </w:tc>
        <w:tc>
          <w:tcPr>
            <w:tcW w:w="1497" w:type="dxa"/>
            <w:vAlign w:val="center"/>
          </w:tcPr>
          <w:p>
            <w:pPr>
              <w:spacing w:line="0" w:lineRule="atLeast"/>
              <w:jc w:val="center"/>
              <w:rPr>
                <w:rFonts w:eastAsia="宋体"/>
                <w:sz w:val="21"/>
                <w:szCs w:val="21"/>
              </w:rPr>
            </w:pPr>
            <w:r>
              <w:rPr>
                <w:rFonts w:hint="eastAsia" w:eastAsia="宋体"/>
                <w:sz w:val="21"/>
                <w:szCs w:val="21"/>
              </w:rPr>
              <w:t>危化品仓库</w:t>
            </w:r>
          </w:p>
        </w:tc>
        <w:tc>
          <w:tcPr>
            <w:tcW w:w="2562" w:type="dxa"/>
            <w:gridSpan w:val="2"/>
            <w:vMerge w:val="continue"/>
            <w:vAlign w:val="center"/>
          </w:tcPr>
          <w:p>
            <w:pPr>
              <w:spacing w:line="0" w:lineRule="atLeas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30</w:t>
            </w:r>
          </w:p>
        </w:tc>
        <w:tc>
          <w:tcPr>
            <w:tcW w:w="1232" w:type="dxa"/>
            <w:vAlign w:val="center"/>
          </w:tcPr>
          <w:p>
            <w:pPr>
              <w:spacing w:line="0" w:lineRule="atLeast"/>
              <w:jc w:val="center"/>
              <w:rPr>
                <w:rFonts w:eastAsia="宋体"/>
                <w:sz w:val="21"/>
                <w:szCs w:val="21"/>
              </w:rPr>
            </w:pPr>
            <w:r>
              <w:rPr>
                <w:rFonts w:eastAsia="宋体"/>
                <w:sz w:val="21"/>
                <w:szCs w:val="21"/>
              </w:rPr>
              <w:t>钢渣</w:t>
            </w:r>
          </w:p>
        </w:tc>
        <w:tc>
          <w:tcPr>
            <w:tcW w:w="1001" w:type="dxa"/>
            <w:vAlign w:val="center"/>
          </w:tcPr>
          <w:p>
            <w:pPr>
              <w:spacing w:line="0" w:lineRule="atLeast"/>
              <w:jc w:val="center"/>
              <w:rPr>
                <w:rFonts w:eastAsia="宋体"/>
                <w:sz w:val="21"/>
                <w:szCs w:val="21"/>
              </w:rPr>
            </w:pPr>
            <w:r>
              <w:rPr>
                <w:rFonts w:eastAsia="宋体"/>
                <w:sz w:val="21"/>
                <w:szCs w:val="21"/>
              </w:rPr>
              <w:t>吨/年</w:t>
            </w:r>
          </w:p>
        </w:tc>
        <w:tc>
          <w:tcPr>
            <w:tcW w:w="1230" w:type="dxa"/>
            <w:vAlign w:val="center"/>
          </w:tcPr>
          <w:p>
            <w:pPr>
              <w:spacing w:line="0" w:lineRule="atLeast"/>
              <w:jc w:val="center"/>
              <w:rPr>
                <w:rFonts w:eastAsia="宋体"/>
                <w:sz w:val="21"/>
                <w:szCs w:val="21"/>
              </w:rPr>
            </w:pPr>
            <w:r>
              <w:rPr>
                <w:rFonts w:hint="eastAsia" w:eastAsia="宋体"/>
                <w:sz w:val="21"/>
                <w:szCs w:val="21"/>
              </w:rPr>
              <w:t>82498.279</w:t>
            </w:r>
          </w:p>
        </w:tc>
        <w:tc>
          <w:tcPr>
            <w:tcW w:w="758" w:type="dxa"/>
            <w:vAlign w:val="center"/>
          </w:tcPr>
          <w:p>
            <w:pPr>
              <w:spacing w:line="0" w:lineRule="atLeast"/>
              <w:jc w:val="center"/>
              <w:rPr>
                <w:rFonts w:eastAsia="宋体"/>
                <w:sz w:val="21"/>
                <w:szCs w:val="21"/>
              </w:rPr>
            </w:pPr>
            <w:r>
              <w:rPr>
                <w:rFonts w:hint="eastAsia" w:eastAsia="宋体"/>
                <w:sz w:val="21"/>
                <w:szCs w:val="21"/>
              </w:rPr>
              <w:t>/</w:t>
            </w:r>
          </w:p>
        </w:tc>
        <w:tc>
          <w:tcPr>
            <w:tcW w:w="1497" w:type="dxa"/>
            <w:vAlign w:val="center"/>
          </w:tcPr>
          <w:p>
            <w:pPr>
              <w:spacing w:line="0" w:lineRule="atLeast"/>
              <w:jc w:val="center"/>
              <w:rPr>
                <w:rFonts w:eastAsia="宋体"/>
                <w:sz w:val="21"/>
                <w:szCs w:val="21"/>
              </w:rPr>
            </w:pPr>
            <w:r>
              <w:rPr>
                <w:rFonts w:hint="eastAsia" w:eastAsia="宋体"/>
                <w:sz w:val="21"/>
                <w:szCs w:val="21"/>
              </w:rPr>
              <w:t>钢渣车间</w:t>
            </w:r>
          </w:p>
        </w:tc>
        <w:tc>
          <w:tcPr>
            <w:tcW w:w="2562" w:type="dxa"/>
            <w:gridSpan w:val="2"/>
            <w:vAlign w:val="center"/>
          </w:tcPr>
          <w:p>
            <w:pPr>
              <w:spacing w:line="0" w:lineRule="atLeast"/>
              <w:jc w:val="center"/>
              <w:rPr>
                <w:rFonts w:eastAsia="宋体"/>
                <w:sz w:val="21"/>
                <w:szCs w:val="21"/>
              </w:rPr>
            </w:pPr>
            <w:r>
              <w:rPr>
                <w:rFonts w:eastAsia="宋体"/>
                <w:sz w:val="21"/>
                <w:szCs w:val="21"/>
              </w:rPr>
              <w:t>钢渣车间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31</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水</w:t>
            </w:r>
          </w:p>
        </w:tc>
        <w:tc>
          <w:tcPr>
            <w:tcW w:w="1001" w:type="dxa"/>
            <w:vAlign w:val="center"/>
          </w:tcPr>
          <w:p>
            <w:pPr>
              <w:spacing w:line="0" w:lineRule="atLeast"/>
              <w:jc w:val="center"/>
              <w:rPr>
                <w:rFonts w:eastAsia="宋体"/>
                <w:sz w:val="21"/>
                <w:szCs w:val="21"/>
              </w:rPr>
            </w:pPr>
            <w:r>
              <w:rPr>
                <w:rFonts w:hint="eastAsia" w:eastAsia="宋体"/>
                <w:sz w:val="21"/>
                <w:szCs w:val="21"/>
              </w:rPr>
              <w:t>t/a</w:t>
            </w:r>
          </w:p>
        </w:tc>
        <w:tc>
          <w:tcPr>
            <w:tcW w:w="1230" w:type="dxa"/>
            <w:vAlign w:val="center"/>
          </w:tcPr>
          <w:p>
            <w:pPr>
              <w:widowControl/>
              <w:snapToGrid w:val="0"/>
              <w:spacing w:line="0" w:lineRule="atLeast"/>
              <w:jc w:val="center"/>
              <w:rPr>
                <w:rFonts w:eastAsia="宋体"/>
                <w:sz w:val="21"/>
                <w:szCs w:val="21"/>
              </w:rPr>
            </w:pPr>
            <w:r>
              <w:rPr>
                <w:rFonts w:eastAsia="宋体"/>
                <w:sz w:val="21"/>
                <w:szCs w:val="21"/>
              </w:rPr>
              <w:t>541289</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restart"/>
            <w:vAlign w:val="center"/>
          </w:tcPr>
          <w:p>
            <w:pPr>
              <w:widowControl/>
              <w:snapToGrid w:val="0"/>
              <w:spacing w:after="200"/>
              <w:jc w:val="center"/>
              <w:rPr>
                <w:rFonts w:eastAsia="宋体"/>
                <w:kern w:val="0"/>
                <w:sz w:val="21"/>
                <w:szCs w:val="21"/>
              </w:rPr>
            </w:pPr>
            <w:r>
              <w:rPr>
                <w:rFonts w:hint="eastAsia" w:eastAsia="宋体"/>
                <w:kern w:val="0"/>
                <w:sz w:val="21"/>
                <w:szCs w:val="21"/>
              </w:rPr>
              <w:t>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32</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电</w:t>
            </w:r>
          </w:p>
        </w:tc>
        <w:tc>
          <w:tcPr>
            <w:tcW w:w="1001" w:type="dxa"/>
            <w:vAlign w:val="center"/>
          </w:tcPr>
          <w:p>
            <w:pPr>
              <w:spacing w:line="0" w:lineRule="atLeast"/>
              <w:jc w:val="center"/>
              <w:rPr>
                <w:rFonts w:eastAsia="宋体"/>
                <w:sz w:val="21"/>
                <w:szCs w:val="21"/>
              </w:rPr>
            </w:pPr>
            <w:r>
              <w:rPr>
                <w:rFonts w:hint="eastAsia" w:eastAsia="宋体"/>
                <w:sz w:val="21"/>
                <w:szCs w:val="21"/>
              </w:rPr>
              <w:t>万千瓦时</w:t>
            </w:r>
          </w:p>
        </w:tc>
        <w:tc>
          <w:tcPr>
            <w:tcW w:w="1230" w:type="dxa"/>
            <w:vAlign w:val="center"/>
          </w:tcPr>
          <w:p>
            <w:pPr>
              <w:widowControl/>
              <w:snapToGrid w:val="0"/>
              <w:spacing w:line="0" w:lineRule="atLeast"/>
              <w:jc w:val="center"/>
              <w:rPr>
                <w:rFonts w:eastAsia="宋体"/>
                <w:sz w:val="21"/>
                <w:szCs w:val="21"/>
              </w:rPr>
            </w:pPr>
            <w:r>
              <w:rPr>
                <w:rFonts w:hint="eastAsia" w:eastAsia="宋体"/>
                <w:sz w:val="21"/>
                <w:szCs w:val="21"/>
              </w:rPr>
              <w:t>26577.199</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continue"/>
            <w:vAlign w:val="center"/>
          </w:tcPr>
          <w:p>
            <w:pPr>
              <w:widowControl/>
              <w:snapToGrid w:val="0"/>
              <w:spacing w:after="20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33</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柴油</w:t>
            </w:r>
          </w:p>
        </w:tc>
        <w:tc>
          <w:tcPr>
            <w:tcW w:w="1001" w:type="dxa"/>
            <w:vAlign w:val="center"/>
          </w:tcPr>
          <w:p>
            <w:pPr>
              <w:spacing w:line="0" w:lineRule="atLeast"/>
              <w:jc w:val="center"/>
              <w:rPr>
                <w:rFonts w:eastAsia="宋体"/>
                <w:sz w:val="21"/>
                <w:szCs w:val="21"/>
              </w:rPr>
            </w:pPr>
            <w:r>
              <w:rPr>
                <w:rFonts w:hint="eastAsia" w:eastAsia="宋体"/>
                <w:sz w:val="21"/>
                <w:szCs w:val="21"/>
              </w:rPr>
              <w:t>t/a</w:t>
            </w:r>
          </w:p>
        </w:tc>
        <w:tc>
          <w:tcPr>
            <w:tcW w:w="1230" w:type="dxa"/>
            <w:vAlign w:val="center"/>
          </w:tcPr>
          <w:p>
            <w:pPr>
              <w:widowControl/>
              <w:snapToGrid w:val="0"/>
              <w:spacing w:line="0" w:lineRule="atLeast"/>
              <w:jc w:val="center"/>
              <w:rPr>
                <w:rFonts w:eastAsia="宋体"/>
                <w:sz w:val="21"/>
                <w:szCs w:val="21"/>
              </w:rPr>
            </w:pPr>
            <w:r>
              <w:rPr>
                <w:rFonts w:hint="eastAsia" w:eastAsia="宋体"/>
                <w:sz w:val="21"/>
                <w:szCs w:val="21"/>
              </w:rPr>
              <w:t>185.47</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continue"/>
            <w:vAlign w:val="center"/>
          </w:tcPr>
          <w:p>
            <w:pPr>
              <w:widowControl/>
              <w:snapToGrid w:val="0"/>
              <w:spacing w:after="20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34</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天然气</w:t>
            </w:r>
          </w:p>
        </w:tc>
        <w:tc>
          <w:tcPr>
            <w:tcW w:w="1001" w:type="dxa"/>
            <w:vAlign w:val="center"/>
          </w:tcPr>
          <w:p>
            <w:pPr>
              <w:spacing w:line="0" w:lineRule="atLeast"/>
              <w:jc w:val="center"/>
              <w:rPr>
                <w:rFonts w:eastAsia="宋体"/>
                <w:sz w:val="21"/>
                <w:szCs w:val="21"/>
              </w:rPr>
            </w:pPr>
            <w:r>
              <w:rPr>
                <w:rFonts w:hint="eastAsia" w:eastAsia="宋体"/>
                <w:sz w:val="21"/>
                <w:szCs w:val="21"/>
              </w:rPr>
              <w:t>万m</w:t>
            </w:r>
            <w:r>
              <w:rPr>
                <w:rFonts w:hint="eastAsia" w:eastAsia="宋体"/>
                <w:sz w:val="21"/>
                <w:szCs w:val="21"/>
                <w:vertAlign w:val="superscript"/>
              </w:rPr>
              <w:t>3</w:t>
            </w:r>
            <w:r>
              <w:rPr>
                <w:rFonts w:hint="eastAsia" w:eastAsia="宋体"/>
                <w:sz w:val="21"/>
                <w:szCs w:val="21"/>
              </w:rPr>
              <w:t>/a</w:t>
            </w:r>
          </w:p>
        </w:tc>
        <w:tc>
          <w:tcPr>
            <w:tcW w:w="1230" w:type="dxa"/>
            <w:vAlign w:val="center"/>
          </w:tcPr>
          <w:p>
            <w:pPr>
              <w:widowControl/>
              <w:snapToGrid w:val="0"/>
              <w:spacing w:line="0" w:lineRule="atLeast"/>
              <w:jc w:val="center"/>
              <w:rPr>
                <w:rFonts w:eastAsia="宋体"/>
                <w:sz w:val="21"/>
                <w:szCs w:val="21"/>
              </w:rPr>
            </w:pPr>
            <w:r>
              <w:rPr>
                <w:rFonts w:hint="eastAsia" w:eastAsia="宋体"/>
                <w:sz w:val="21"/>
                <w:szCs w:val="21"/>
              </w:rPr>
              <w:t>1946</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continue"/>
            <w:vAlign w:val="center"/>
          </w:tcPr>
          <w:p>
            <w:pPr>
              <w:widowControl/>
              <w:snapToGrid w:val="0"/>
              <w:spacing w:after="20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35</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矿物油</w:t>
            </w:r>
          </w:p>
        </w:tc>
        <w:tc>
          <w:tcPr>
            <w:tcW w:w="1001" w:type="dxa"/>
            <w:vAlign w:val="center"/>
          </w:tcPr>
          <w:p>
            <w:pPr>
              <w:spacing w:line="0" w:lineRule="atLeast"/>
              <w:jc w:val="center"/>
              <w:rPr>
                <w:rFonts w:eastAsia="宋体"/>
                <w:sz w:val="21"/>
                <w:szCs w:val="21"/>
              </w:rPr>
            </w:pPr>
            <w:r>
              <w:rPr>
                <w:rFonts w:hint="eastAsia" w:eastAsia="宋体"/>
                <w:sz w:val="21"/>
                <w:szCs w:val="21"/>
              </w:rPr>
              <w:t>t/a</w:t>
            </w:r>
          </w:p>
        </w:tc>
        <w:tc>
          <w:tcPr>
            <w:tcW w:w="1230" w:type="dxa"/>
            <w:vAlign w:val="center"/>
          </w:tcPr>
          <w:p>
            <w:pPr>
              <w:widowControl/>
              <w:snapToGrid w:val="0"/>
              <w:spacing w:line="0" w:lineRule="atLeast"/>
              <w:jc w:val="center"/>
              <w:rPr>
                <w:rFonts w:eastAsia="宋体"/>
                <w:sz w:val="21"/>
                <w:szCs w:val="21"/>
              </w:rPr>
            </w:pPr>
            <w:r>
              <w:rPr>
                <w:rFonts w:hint="eastAsia" w:eastAsia="宋体"/>
                <w:sz w:val="21"/>
                <w:szCs w:val="21"/>
              </w:rPr>
              <w:t>58.294</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continue"/>
            <w:vAlign w:val="center"/>
          </w:tcPr>
          <w:p>
            <w:pPr>
              <w:widowControl/>
              <w:snapToGrid w:val="0"/>
              <w:spacing w:after="200"/>
              <w:jc w:val="left"/>
              <w:rPr>
                <w:rFonts w:eastAsia="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21" w:type="dxa"/>
            <w:vAlign w:val="center"/>
          </w:tcPr>
          <w:p>
            <w:pPr>
              <w:spacing w:line="0" w:lineRule="atLeast"/>
              <w:jc w:val="center"/>
              <w:rPr>
                <w:rFonts w:eastAsia="宋体"/>
                <w:sz w:val="21"/>
                <w:szCs w:val="21"/>
              </w:rPr>
            </w:pPr>
            <w:r>
              <w:rPr>
                <w:rFonts w:hint="eastAsia" w:eastAsia="宋体"/>
                <w:sz w:val="21"/>
                <w:szCs w:val="21"/>
              </w:rPr>
              <w:t>36</w:t>
            </w:r>
          </w:p>
        </w:tc>
        <w:tc>
          <w:tcPr>
            <w:tcW w:w="1232" w:type="dxa"/>
            <w:vAlign w:val="center"/>
          </w:tcPr>
          <w:p>
            <w:pPr>
              <w:widowControl/>
              <w:snapToGrid w:val="0"/>
              <w:spacing w:line="0" w:lineRule="atLeast"/>
              <w:jc w:val="center"/>
              <w:rPr>
                <w:rFonts w:eastAsia="宋体"/>
                <w:sz w:val="21"/>
                <w:szCs w:val="21"/>
              </w:rPr>
            </w:pPr>
            <w:r>
              <w:rPr>
                <w:rFonts w:hint="eastAsia" w:eastAsia="宋体"/>
                <w:sz w:val="21"/>
                <w:szCs w:val="21"/>
              </w:rPr>
              <w:t>压缩空气</w:t>
            </w:r>
          </w:p>
        </w:tc>
        <w:tc>
          <w:tcPr>
            <w:tcW w:w="1001" w:type="dxa"/>
            <w:vAlign w:val="center"/>
          </w:tcPr>
          <w:p>
            <w:pPr>
              <w:spacing w:line="0" w:lineRule="atLeast"/>
              <w:jc w:val="center"/>
              <w:rPr>
                <w:rFonts w:eastAsia="宋体"/>
                <w:sz w:val="21"/>
                <w:szCs w:val="21"/>
              </w:rPr>
            </w:pPr>
            <w:r>
              <w:rPr>
                <w:rFonts w:hint="eastAsia" w:eastAsia="宋体"/>
                <w:sz w:val="21"/>
                <w:szCs w:val="21"/>
              </w:rPr>
              <w:t>万m</w:t>
            </w:r>
            <w:r>
              <w:rPr>
                <w:rFonts w:hint="eastAsia" w:eastAsia="宋体"/>
                <w:sz w:val="21"/>
                <w:szCs w:val="21"/>
                <w:vertAlign w:val="superscript"/>
              </w:rPr>
              <w:t>3</w:t>
            </w:r>
            <w:r>
              <w:rPr>
                <w:rFonts w:hint="eastAsia" w:eastAsia="宋体"/>
                <w:sz w:val="21"/>
                <w:szCs w:val="21"/>
              </w:rPr>
              <w:t>/a</w:t>
            </w:r>
          </w:p>
        </w:tc>
        <w:tc>
          <w:tcPr>
            <w:tcW w:w="1230" w:type="dxa"/>
            <w:vAlign w:val="center"/>
          </w:tcPr>
          <w:p>
            <w:pPr>
              <w:widowControl/>
              <w:snapToGrid w:val="0"/>
              <w:spacing w:line="0" w:lineRule="atLeast"/>
              <w:jc w:val="center"/>
              <w:rPr>
                <w:rFonts w:eastAsia="宋体"/>
                <w:sz w:val="21"/>
                <w:szCs w:val="21"/>
              </w:rPr>
            </w:pPr>
            <w:r>
              <w:rPr>
                <w:rFonts w:hint="eastAsia" w:eastAsia="宋体"/>
                <w:sz w:val="21"/>
                <w:szCs w:val="21"/>
              </w:rPr>
              <w:t>19942403</w:t>
            </w:r>
          </w:p>
        </w:tc>
        <w:tc>
          <w:tcPr>
            <w:tcW w:w="758"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1497" w:type="dxa"/>
            <w:vAlign w:val="center"/>
          </w:tcPr>
          <w:p>
            <w:pPr>
              <w:widowControl/>
              <w:snapToGrid w:val="0"/>
              <w:spacing w:line="0" w:lineRule="atLeast"/>
              <w:jc w:val="center"/>
              <w:rPr>
                <w:rFonts w:eastAsia="宋体"/>
                <w:b/>
                <w:bCs/>
                <w:sz w:val="21"/>
                <w:szCs w:val="21"/>
              </w:rPr>
            </w:pPr>
            <w:r>
              <w:rPr>
                <w:rFonts w:hint="eastAsia" w:eastAsia="宋体"/>
                <w:b/>
                <w:bCs/>
                <w:sz w:val="21"/>
                <w:szCs w:val="21"/>
              </w:rPr>
              <w:t>/</w:t>
            </w:r>
          </w:p>
        </w:tc>
        <w:tc>
          <w:tcPr>
            <w:tcW w:w="2562" w:type="dxa"/>
            <w:gridSpan w:val="2"/>
            <w:vMerge w:val="continue"/>
            <w:vAlign w:val="center"/>
          </w:tcPr>
          <w:p>
            <w:pPr>
              <w:widowControl/>
              <w:snapToGrid w:val="0"/>
              <w:spacing w:after="200"/>
              <w:jc w:val="left"/>
              <w:rPr>
                <w:rFonts w:eastAsia="宋体"/>
                <w:kern w:val="0"/>
                <w:sz w:val="21"/>
                <w:szCs w:val="21"/>
              </w:rPr>
            </w:pPr>
          </w:p>
        </w:tc>
      </w:tr>
    </w:tbl>
    <w:p>
      <w:pPr>
        <w:pStyle w:val="5"/>
        <w:numPr>
          <w:ilvl w:val="2"/>
          <w:numId w:val="25"/>
        </w:numPr>
        <w:spacing w:line="360" w:lineRule="exact"/>
        <w:rPr>
          <w:rFonts w:ascii="Times New Roman"/>
        </w:rPr>
      </w:pPr>
      <w:r>
        <w:rPr>
          <w:rFonts w:hint="eastAsia" w:ascii="Times New Roman"/>
          <w:lang w:eastAsia="zh-CN"/>
        </w:rPr>
        <w:t>企业现有</w:t>
      </w:r>
      <w:r>
        <w:rPr>
          <w:rFonts w:ascii="Times New Roman"/>
        </w:rPr>
        <w:t>劳动定员及生产制度</w:t>
      </w:r>
    </w:p>
    <w:p>
      <w:pPr>
        <w:pStyle w:val="835"/>
        <w:spacing w:before="0" w:line="480" w:lineRule="exact"/>
        <w:ind w:firstLine="486"/>
        <w:rPr>
          <w:rFonts w:ascii="Times New Roman" w:hAnsi="Times New Roman"/>
        </w:rPr>
      </w:pPr>
      <w:r>
        <w:rPr>
          <w:rFonts w:hint="eastAsia" w:ascii="Times New Roman" w:hAnsi="Times New Roman"/>
        </w:rPr>
        <w:t>企业现</w:t>
      </w:r>
      <w:r>
        <w:rPr>
          <w:rFonts w:ascii="Times New Roman" w:hAnsi="Times New Roman"/>
        </w:rPr>
        <w:t>有员工</w:t>
      </w:r>
      <w:r>
        <w:rPr>
          <w:rFonts w:hint="eastAsia" w:ascii="Times New Roman" w:hAnsi="Times New Roman"/>
        </w:rPr>
        <w:t>840</w:t>
      </w:r>
      <w:r>
        <w:rPr>
          <w:rFonts w:ascii="Times New Roman" w:hAnsi="Times New Roman"/>
        </w:rPr>
        <w:t>人，</w:t>
      </w:r>
      <w:r>
        <w:rPr>
          <w:rFonts w:hint="eastAsia" w:ascii="Times New Roman" w:hAnsi="Times New Roman"/>
        </w:rPr>
        <w:t>无住宿。厂内</w:t>
      </w:r>
      <w:r>
        <w:rPr>
          <w:rFonts w:ascii="Times New Roman" w:hAnsi="Times New Roman"/>
        </w:rPr>
        <w:t>实行</w:t>
      </w:r>
      <w:r>
        <w:rPr>
          <w:rFonts w:hint="eastAsia" w:ascii="Times New Roman" w:hAnsi="Times New Roman"/>
        </w:rPr>
        <w:t>三班</w:t>
      </w:r>
      <w:r>
        <w:rPr>
          <w:rFonts w:ascii="Times New Roman" w:hAnsi="Times New Roman"/>
        </w:rPr>
        <w:t>制生产，年</w:t>
      </w:r>
      <w:r>
        <w:rPr>
          <w:rFonts w:hint="eastAsia" w:ascii="Times New Roman" w:hAnsi="Times New Roman"/>
        </w:rPr>
        <w:t>生产日</w:t>
      </w:r>
      <w:r>
        <w:rPr>
          <w:rFonts w:ascii="Times New Roman" w:hAnsi="Times New Roman"/>
        </w:rPr>
        <w:t>300天</w:t>
      </w:r>
      <w:r>
        <w:rPr>
          <w:rFonts w:hint="eastAsia" w:ascii="Times New Roman" w:hAnsi="Times New Roman"/>
        </w:rPr>
        <w:t>，职工年工作日为250天</w:t>
      </w:r>
      <w:r>
        <w:rPr>
          <w:rFonts w:ascii="Times New Roman" w:hAnsi="Times New Roman"/>
        </w:rPr>
        <w:t>。</w:t>
      </w:r>
    </w:p>
    <w:p>
      <w:pPr>
        <w:pStyle w:val="5"/>
        <w:numPr>
          <w:ilvl w:val="2"/>
          <w:numId w:val="25"/>
        </w:numPr>
        <w:spacing w:line="360" w:lineRule="exact"/>
        <w:rPr>
          <w:rFonts w:ascii="Times New Roman"/>
        </w:rPr>
      </w:pPr>
      <w:r>
        <w:rPr>
          <w:rFonts w:hint="eastAsia" w:ascii="Times New Roman"/>
          <w:lang w:eastAsia="zh-CN"/>
        </w:rPr>
        <w:t>现状</w:t>
      </w:r>
      <w:r>
        <w:rPr>
          <w:rFonts w:ascii="Times New Roman"/>
        </w:rPr>
        <w:t>生产工艺</w:t>
      </w:r>
    </w:p>
    <w:p>
      <w:pPr>
        <w:pStyle w:val="4"/>
        <w:rPr>
          <w:rFonts w:ascii="Times New Roman" w:hAnsi="Times New Roman" w:cs="Times New Roman"/>
          <w:spacing w:val="0"/>
          <w:lang w:val="zh-CN"/>
        </w:rPr>
      </w:pPr>
      <w:r>
        <w:rPr>
          <w:rFonts w:hint="eastAsia" w:ascii="Times New Roman" w:hAnsi="Times New Roman" w:cs="Times New Roman"/>
          <w:spacing w:val="0"/>
          <w:lang w:val="zh-CN"/>
        </w:rPr>
        <w:t>1、炼钢一厂</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①生产</w:t>
      </w:r>
      <w:r>
        <w:rPr>
          <w:rFonts w:ascii="Times New Roman" w:hAnsi="Times New Roman" w:cs="Times New Roman"/>
          <w:spacing w:val="0"/>
          <w:lang w:val="zh-CN"/>
        </w:rPr>
        <w:t>工艺流程及说明</w:t>
      </w:r>
    </w:p>
    <w:p>
      <w:pPr>
        <w:pStyle w:val="4"/>
        <w:spacing w:line="480" w:lineRule="exact"/>
        <w:rPr>
          <w:rFonts w:ascii="Times New Roman" w:hAnsi="Times New Roman" w:cs="Times New Roman"/>
          <w:spacing w:val="0"/>
          <w:lang w:val="zh-CN"/>
        </w:rPr>
      </w:pPr>
      <w:r>
        <w:rPr>
          <w:rFonts w:ascii="Times New Roman" w:hAnsi="Times New Roman" w:cs="Times New Roman"/>
          <w:spacing w:val="0"/>
          <w:lang w:val="zh-CN"/>
        </w:rPr>
        <w:t>不锈废钢、铁合金等原料装入电炉，经电炉熔化后得到初炼钢水。经熔化、升温、还原三个阶段，熔化、升温期在通电时需吹入氧气，还原期停止吹氧，加入硅铁等铁合金，还原被过氧化金属，并与杂质金属生产硅酸盐，加入石灰造碱性渣。初炼钢水经钢包转入氩氧炉（AOD 精炼炉）进行精炼，以氧、氩、氮气体，通过碳氧反应，达到脱碳保铬的目的，从而完成精炼。待钢水化学成分、温度达到所炼钢种要求后，把钢水浇注钢锭</w:t>
      </w:r>
      <w:r>
        <w:rPr>
          <w:rFonts w:hint="eastAsia" w:ascii="Times New Roman" w:hAnsi="Times New Roman" w:cs="Times New Roman"/>
          <w:spacing w:val="0"/>
          <w:lang w:val="zh-CN"/>
        </w:rPr>
        <w:t>，经精整</w:t>
      </w:r>
      <w:r>
        <w:rPr>
          <w:rFonts w:ascii="Times New Roman" w:hAnsi="Times New Roman" w:cs="Times New Roman"/>
          <w:spacing w:val="0"/>
          <w:lang w:val="zh-CN"/>
        </w:rPr>
        <w:t>后作为</w:t>
      </w:r>
      <w:r>
        <w:rPr>
          <w:rFonts w:hint="eastAsia" w:ascii="Times New Roman" w:hAnsi="Times New Roman" w:cs="Times New Roman"/>
          <w:spacing w:val="0"/>
          <w:lang w:val="zh-CN"/>
        </w:rPr>
        <w:t>原料供轧钢厂生产或直接销售</w:t>
      </w:r>
      <w:r>
        <w:rPr>
          <w:rFonts w:ascii="Times New Roman" w:hAnsi="Times New Roman" w:cs="Times New Roman"/>
          <w:spacing w:val="0"/>
          <w:lang w:val="zh-CN"/>
        </w:rPr>
        <w:t>。</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炼钢一厂现有生产工艺流程详见图3</w:t>
      </w:r>
      <w:r>
        <w:rPr>
          <w:rFonts w:ascii="Times New Roman" w:hAnsi="Times New Roman" w:cs="Times New Roman"/>
          <w:spacing w:val="0"/>
          <w:lang w:val="zh-CN"/>
        </w:rPr>
        <w:t>-2</w:t>
      </w:r>
      <w:r>
        <w:rPr>
          <w:rFonts w:hint="eastAsia" w:ascii="Times New Roman" w:hAnsi="Times New Roman" w:cs="Times New Roman"/>
          <w:spacing w:val="0"/>
          <w:lang w:val="zh-CN"/>
        </w:rPr>
        <w:t>。</w:t>
      </w:r>
    </w:p>
    <w:p>
      <w:pPr>
        <w:pStyle w:val="4"/>
        <w:adjustRightInd w:val="0"/>
        <w:snapToGrid w:val="0"/>
        <w:ind w:firstLine="0"/>
        <w:jc w:val="center"/>
        <w:rPr>
          <w:rFonts w:ascii="Times New Roman" w:hAnsi="Times New Roman" w:cs="Times New Roman"/>
          <w:spacing w:val="0"/>
          <w:lang w:val="zh-CN"/>
        </w:rPr>
      </w:pPr>
      <w:r>
        <w:object>
          <v:shape id="_x0000_i1026" o:spt="75" type="#_x0000_t75" style="height:417pt;width:438.75pt;" o:ole="t" filled="f" o:preferrelative="t" stroked="f" coordsize="21600,21600">
            <v:path/>
            <v:fill on="f" focussize="0,0"/>
            <v:stroke on="f" joinstyle="miter"/>
            <v:imagedata r:id="rId24" o:title=""/>
            <o:lock v:ext="edit" aspectratio="t"/>
            <w10:wrap type="none"/>
            <w10:anchorlock/>
          </v:shape>
          <o:OLEObject Type="Embed" ProgID="Visio.Drawing.11" ShapeID="_x0000_i1026" DrawAspect="Content" ObjectID="_1468075726" r:id="rId23">
            <o:LockedField>false</o:LockedField>
          </o:OLEObject>
        </w:object>
      </w:r>
    </w:p>
    <w:p>
      <w:pPr>
        <w:jc w:val="center"/>
        <w:rPr>
          <w:rFonts w:eastAsia="宋体"/>
          <w:b/>
          <w:sz w:val="24"/>
          <w:szCs w:val="24"/>
        </w:rPr>
      </w:pPr>
      <w:r>
        <w:rPr>
          <w:rFonts w:eastAsia="宋体"/>
          <w:b/>
          <w:sz w:val="24"/>
          <w:szCs w:val="24"/>
        </w:rPr>
        <w:t xml:space="preserve">图3-2  </w:t>
      </w:r>
      <w:r>
        <w:rPr>
          <w:rFonts w:hint="eastAsia" w:eastAsia="宋体"/>
          <w:b/>
          <w:sz w:val="24"/>
          <w:szCs w:val="24"/>
        </w:rPr>
        <w:t>炼钢一厂现状</w:t>
      </w:r>
      <w:r>
        <w:rPr>
          <w:rFonts w:eastAsia="宋体"/>
          <w:b/>
          <w:sz w:val="24"/>
          <w:szCs w:val="24"/>
        </w:rPr>
        <w:t>生产工艺流程图</w:t>
      </w:r>
    </w:p>
    <w:p>
      <w:pPr>
        <w:pStyle w:val="4"/>
        <w:spacing w:line="480" w:lineRule="exact"/>
        <w:rPr>
          <w:rFonts w:ascii="Times New Roman" w:hAnsi="Times New Roman" w:cs="Times New Roman"/>
          <w:spacing w:val="0"/>
          <w:lang w:val="zh-CN"/>
        </w:rPr>
      </w:pPr>
      <w:r>
        <w:rPr>
          <w:rFonts w:ascii="Times New Roman" w:hAnsi="Times New Roman" w:cs="Times New Roman"/>
          <w:spacing w:val="0"/>
          <w:lang w:val="zh-CN"/>
        </w:rPr>
        <w:t>制氧车间：</w:t>
      </w:r>
    </w:p>
    <w:p>
      <w:pPr>
        <w:pStyle w:val="4"/>
        <w:spacing w:line="480" w:lineRule="exact"/>
        <w:rPr>
          <w:rFonts w:ascii="Times New Roman" w:hAnsi="Times New Roman" w:cs="Times New Roman"/>
          <w:spacing w:val="0"/>
        </w:rPr>
      </w:pPr>
      <w:r>
        <w:rPr>
          <w:rFonts w:ascii="Times New Roman" w:hAnsi="Times New Roman" w:cs="Times New Roman"/>
          <w:spacing w:val="0"/>
        </w:rPr>
        <w:t xml:space="preserve">空气在空压机吸入口经二级滤清器滤尘后压缩到 </w:t>
      </w:r>
      <w:r>
        <w:rPr>
          <w:rFonts w:ascii="Times New Roman" w:hAnsi="Times New Roman" w:eastAsia="Times New Roman" w:cs="Times New Roman"/>
          <w:spacing w:val="0"/>
        </w:rPr>
        <w:t>0.5~0.7MPa</w:t>
      </w:r>
      <w:r>
        <w:rPr>
          <w:rFonts w:ascii="Times New Roman" w:hAnsi="Times New Roman" w:cs="Times New Roman"/>
          <w:spacing w:val="0"/>
        </w:rPr>
        <w:t xml:space="preserve">，进入预冷器内预冷至 </w:t>
      </w:r>
      <w:r>
        <w:rPr>
          <w:rFonts w:ascii="Times New Roman" w:hAnsi="Times New Roman" w:eastAsia="Times New Roman" w:cs="Times New Roman"/>
          <w:spacing w:val="0"/>
        </w:rPr>
        <w:t>5</w:t>
      </w:r>
      <w:r>
        <w:rPr>
          <w:rFonts w:hint="eastAsia" w:ascii="宋体" w:hAnsi="宋体" w:cs="宋体"/>
          <w:spacing w:val="0"/>
        </w:rPr>
        <w:t>℃</w:t>
      </w:r>
      <w:r>
        <w:rPr>
          <w:rFonts w:ascii="Times New Roman" w:hAnsi="Times New Roman" w:cs="Times New Roman"/>
          <w:spacing w:val="0"/>
        </w:rPr>
        <w:t>左右，再送入分子筛纯化器</w:t>
      </w:r>
      <w:r>
        <w:rPr>
          <w:rFonts w:ascii="Times New Roman" w:hAnsi="Times New Roman" w:eastAsia="Times New Roman" w:cs="Times New Roman"/>
          <w:spacing w:val="0"/>
        </w:rPr>
        <w:t>(</w:t>
      </w:r>
      <w:r>
        <w:rPr>
          <w:rFonts w:ascii="Times New Roman" w:hAnsi="Times New Roman" w:cs="Times New Roman"/>
          <w:spacing w:val="0"/>
        </w:rPr>
        <w:t>共</w:t>
      </w:r>
      <w:r>
        <w:rPr>
          <w:rFonts w:ascii="Times New Roman" w:hAnsi="Times New Roman" w:eastAsia="Times New Roman" w:cs="Times New Roman"/>
          <w:spacing w:val="0"/>
        </w:rPr>
        <w:t>2</w:t>
      </w:r>
      <w:r>
        <w:rPr>
          <w:rFonts w:ascii="Times New Roman" w:hAnsi="Times New Roman" w:cs="Times New Roman"/>
          <w:spacing w:val="0"/>
        </w:rPr>
        <w:t>台，交替使用</w:t>
      </w:r>
      <w:r>
        <w:rPr>
          <w:rFonts w:ascii="Times New Roman" w:hAnsi="Times New Roman" w:eastAsia="Times New Roman" w:cs="Times New Roman"/>
          <w:spacing w:val="0"/>
        </w:rPr>
        <w:t xml:space="preserve">) </w:t>
      </w:r>
      <w:r>
        <w:rPr>
          <w:rFonts w:ascii="Times New Roman" w:hAnsi="Times New Roman" w:cs="Times New Roman"/>
          <w:spacing w:val="0"/>
        </w:rPr>
        <w:t>除去空气中的</w:t>
      </w:r>
      <w:r>
        <w:rPr>
          <w:rFonts w:ascii="Times New Roman" w:hAnsi="Times New Roman" w:eastAsia="Times New Roman" w:cs="Times New Roman"/>
          <w:spacing w:val="0"/>
        </w:rPr>
        <w:t>H</w:t>
      </w:r>
      <w:r>
        <w:rPr>
          <w:rFonts w:ascii="Times New Roman" w:hAnsi="Times New Roman" w:eastAsia="Times New Roman" w:cs="Times New Roman"/>
          <w:spacing w:val="0"/>
          <w:vertAlign w:val="subscript"/>
        </w:rPr>
        <w:t>2</w:t>
      </w:r>
      <w:r>
        <w:rPr>
          <w:rFonts w:ascii="Times New Roman" w:hAnsi="Times New Roman" w:eastAsia="Times New Roman" w:cs="Times New Roman"/>
          <w:spacing w:val="0"/>
        </w:rPr>
        <w:t>O</w:t>
      </w:r>
      <w:r>
        <w:rPr>
          <w:rFonts w:ascii="Times New Roman" w:hAnsi="Times New Roman" w:cs="Times New Roman"/>
          <w:spacing w:val="0"/>
        </w:rPr>
        <w:t>、</w:t>
      </w:r>
      <w:r>
        <w:rPr>
          <w:rFonts w:ascii="Times New Roman" w:hAnsi="Times New Roman" w:eastAsia="Times New Roman" w:cs="Times New Roman"/>
          <w:spacing w:val="0"/>
        </w:rPr>
        <w:t>CO</w:t>
      </w:r>
      <w:r>
        <w:rPr>
          <w:rFonts w:ascii="Times New Roman" w:hAnsi="Times New Roman" w:eastAsia="Times New Roman" w:cs="Times New Roman"/>
          <w:spacing w:val="0"/>
          <w:vertAlign w:val="subscript"/>
        </w:rPr>
        <w:t>2</w:t>
      </w:r>
      <w:r>
        <w:rPr>
          <w:rFonts w:ascii="Times New Roman" w:hAnsi="Times New Roman" w:eastAsia="Times New Roman" w:cs="Times New Roman"/>
          <w:spacing w:val="0"/>
        </w:rPr>
        <w:t xml:space="preserve"> </w:t>
      </w:r>
      <w:r>
        <w:rPr>
          <w:rFonts w:ascii="Times New Roman" w:hAnsi="Times New Roman" w:cs="Times New Roman"/>
          <w:spacing w:val="0"/>
        </w:rPr>
        <w:t>等，接着通过分馏塔冷却液化，冷量由透平膨胀机等温节流效应获取，在塔内反复进行气液热质交换后，最终获得合格的氧气和氮气，分别经氧压机或氮压机压缩，加压后送入管网，供炼钢使用。生产工艺流程</w:t>
      </w:r>
      <w:r>
        <w:rPr>
          <w:rFonts w:hint="eastAsia" w:ascii="Times New Roman" w:hAnsi="Times New Roman" w:cs="Times New Roman"/>
          <w:spacing w:val="0"/>
        </w:rPr>
        <w:t>示意</w:t>
      </w:r>
      <w:r>
        <w:rPr>
          <w:rFonts w:ascii="Times New Roman" w:hAnsi="Times New Roman" w:cs="Times New Roman"/>
          <w:spacing w:val="0"/>
        </w:rPr>
        <w:t>图详见图3-3。</w:t>
      </w:r>
    </w:p>
    <w:p>
      <w:pPr>
        <w:rPr>
          <w:rFonts w:ascii="宋体" w:hAnsi="宋体" w:eastAsia="宋体" w:cs="宋体"/>
          <w:kern w:val="0"/>
          <w:sz w:val="24"/>
          <w:szCs w:val="24"/>
        </w:rPr>
      </w:pPr>
      <w:r>
        <w:rPr>
          <w:rFonts w:ascii="宋体" w:hAnsi="宋体" w:eastAsia="宋体" w:cs="宋体"/>
          <w:kern w:val="0"/>
          <w:sz w:val="24"/>
          <w:szCs w:val="24"/>
        </w:rPr>
        <mc:AlternateContent>
          <mc:Choice Requires="wps">
            <w:drawing>
              <wp:inline distT="0" distB="0" distL="0" distR="0">
                <wp:extent cx="304800" cy="304800"/>
                <wp:effectExtent l="0" t="0" r="0" b="0"/>
                <wp:docPr id="459" name="矩形 459" descr="C:\Users\Administrator\AppData\Roaming\Tencent\Users\86197406\QQ\WinTemp\RichOle\X1]0`YQU)CSA{K]`C2LDV.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C:\Users\Administrator\AppData\Roaming\Tencent\Users\86197406\QQ\WinTemp\RichOle\X1]0`YQU)CSA{K]`C2LDV.pn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IK6Oy04CAAA4BAAADgAAAGRycy9lMm9Eb2MueG1srVPbjtMwEH1H&#10;4h8sv/FAk5buLdp0VbVahFjYS7tcpKy0ruMkFoltxu6mCx+DxBsfwecgfoOx05YuvCFeLM+MfXzm&#10;zPHxyaqpyZ0AK7VKab8XUyIU17lUZUqv56dPDymxjqmc1VqJlN4LS09Gjx8dtyYRA13pOhdAEETZ&#10;pDUprZwzSRRZXomG2Z42QmGx0NAwhyGUUQ6sRfSmjgZxvB+1GnIDmgtrMTvtinQU8ItCcHdeFFY4&#10;UqcUubmwQlgXfo1GxywpgZlK8jUN9g8sGiYVPrqFmjLHyBLkX1CN5KCtLlyP6ybSRSG5CD1gN/34&#10;j25mFTMi9ILiWLOVyf4/WP767gKIzFM63DuiRLEGh/Tzy7cf37+SkMmF5ajXJMmuLY45G+eNVNI6&#10;YE5DNjbGt5pdaYbpMpvj8IVy67OH+/2jg2G8n11eZm+lmovGZFeSV+e1yN71b+Lb95fXTyaz8eeX&#10;N7eTwdn0Tc+o0o+kNTZBZjNzAV5Ua840/2CJ0pOKqVKMrcHBot2Q8CYFoNtKsBy16XuI6AGGDyyi&#10;kUX7SufYIls6HQa2KqDxb+AoyCr44n7rC7FyhGPyWTw8jNE9HEvrvX+BJZvLBqx7LnRD/CalgOwC&#10;OLs7s647ujni31L6VNY15llSqwcJxPSZQN7z7aRY6PweuYPu7IvfDTeVhk+UtGjdlNqPSwaCkvqF&#10;wv6P+sOh93oIhnsHAwxgt7LYrTDFESqljpJuO3Hd/1gakGUVZO44jlGzQoZ+vJ4dqzVZtGdQZP2V&#10;vCl243Dq94c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zJZ00gAAAAMBAAAPAAAAAAAAAAEA&#10;IAAAACIAAABkcnMvZG93bnJldi54bWxQSwECFAAUAAAACACHTuJAIK6Oy04CAAA4BAAADgAAAAAA&#10;AAABACAAAAAhAQAAZHJzL2Uyb0RvYy54bWxQSwUGAAAAAAYABgBZAQAA4QUAAAAA&#10;">
                <v:fill on="f" focussize="0,0"/>
                <v:stroke on="f"/>
                <v:imagedata o:title=""/>
                <o:lock v:ext="edit" aspectratio="t"/>
                <w10:wrap type="none"/>
                <w10:anchorlock/>
              </v:rect>
            </w:pict>
          </mc:Fallback>
        </mc:AlternateContent>
      </w:r>
      <w:r>
        <w:t xml:space="preserve"> </w:t>
      </w:r>
      <w:r>
        <w:object>
          <v:shape id="_x0000_i1027" o:spt="75" type="#_x0000_t75" style="height:198.75pt;width:438pt;" o:ole="t" filled="f" o:preferrelative="t" stroked="f" coordsize="21600,21600">
            <v:path/>
            <v:fill on="f" focussize="0,0"/>
            <v:stroke on="f" joinstyle="miter"/>
            <v:imagedata r:id="rId26" o:title=""/>
            <o:lock v:ext="edit" aspectratio="t"/>
            <w10:wrap type="none"/>
            <w10:anchorlock/>
          </v:shape>
          <o:OLEObject Type="Embed" ProgID="Visio.Drawing.11" ShapeID="_x0000_i1027" DrawAspect="Content" ObjectID="_1468075727" r:id="rId25">
            <o:LockedField>false</o:LockedField>
          </o:OLEObject>
        </w:object>
      </w:r>
    </w:p>
    <w:p>
      <w:pPr>
        <w:jc w:val="center"/>
        <w:rPr>
          <w:rFonts w:eastAsia="宋体"/>
          <w:b/>
          <w:sz w:val="24"/>
          <w:szCs w:val="24"/>
        </w:rPr>
      </w:pPr>
      <w:r>
        <w:rPr>
          <w:rFonts w:eastAsia="宋体"/>
          <w:b/>
          <w:sz w:val="24"/>
          <w:szCs w:val="24"/>
        </w:rPr>
        <w:t xml:space="preserve">图3-3  </w:t>
      </w:r>
      <w:r>
        <w:rPr>
          <w:rFonts w:hint="eastAsia" w:eastAsia="宋体"/>
          <w:b/>
          <w:sz w:val="24"/>
          <w:szCs w:val="24"/>
        </w:rPr>
        <w:t>炼钢一厂制氧车间现状</w:t>
      </w:r>
      <w:r>
        <w:rPr>
          <w:rFonts w:eastAsia="宋体"/>
          <w:b/>
          <w:sz w:val="24"/>
          <w:szCs w:val="24"/>
        </w:rPr>
        <w:t>生产工艺流程图</w:t>
      </w:r>
    </w:p>
    <w:p>
      <w:pPr>
        <w:pStyle w:val="4"/>
        <w:rPr>
          <w:rFonts w:ascii="Times New Roman" w:hAnsi="Times New Roman" w:cs="Times New Roman"/>
          <w:spacing w:val="0"/>
          <w:lang w:val="zh-CN"/>
        </w:rPr>
      </w:pPr>
      <w:r>
        <w:rPr>
          <w:rFonts w:hint="eastAsia" w:ascii="Times New Roman" w:hAnsi="Times New Roman" w:cs="Times New Roman"/>
          <w:spacing w:val="0"/>
          <w:lang w:val="zh-CN"/>
        </w:rPr>
        <w:t>②产污环节</w:t>
      </w:r>
      <w:r>
        <w:rPr>
          <w:rFonts w:ascii="Times New Roman" w:hAnsi="Times New Roman" w:cs="Times New Roman"/>
          <w:spacing w:val="0"/>
          <w:lang w:val="zh-CN"/>
        </w:rPr>
        <w:t>及治理措施</w:t>
      </w:r>
    </w:p>
    <w:p>
      <w:pPr>
        <w:pStyle w:val="4"/>
        <w:rPr>
          <w:rFonts w:ascii="Times New Roman" w:hAnsi="Times New Roman" w:cs="Times New Roman"/>
          <w:spacing w:val="0"/>
          <w:lang w:val="zh-CN"/>
        </w:rPr>
      </w:pPr>
      <w:r>
        <w:rPr>
          <w:rFonts w:hint="eastAsia" w:ascii="Times New Roman" w:hAnsi="Times New Roman" w:cs="Times New Roman"/>
          <w:spacing w:val="0"/>
          <w:lang w:val="zh-CN"/>
        </w:rPr>
        <w:t>炼钢</w:t>
      </w:r>
      <w:r>
        <w:rPr>
          <w:rFonts w:ascii="Times New Roman" w:hAnsi="Times New Roman" w:cs="Times New Roman"/>
          <w:spacing w:val="0"/>
          <w:lang w:val="zh-CN"/>
        </w:rPr>
        <w:t>一厂</w:t>
      </w:r>
      <w:r>
        <w:rPr>
          <w:rFonts w:hint="eastAsia" w:ascii="Times New Roman" w:hAnsi="Times New Roman" w:cs="Times New Roman"/>
          <w:spacing w:val="0"/>
          <w:lang w:val="zh-CN"/>
        </w:rPr>
        <w:t>现状</w:t>
      </w:r>
      <w:r>
        <w:rPr>
          <w:rFonts w:ascii="Times New Roman" w:hAnsi="Times New Roman" w:cs="Times New Roman"/>
          <w:spacing w:val="0"/>
          <w:lang w:val="zh-CN"/>
        </w:rPr>
        <w:t>产污环节及治理措施详见表</w:t>
      </w:r>
      <w:r>
        <w:rPr>
          <w:rFonts w:hint="eastAsia" w:ascii="Times New Roman" w:hAnsi="Times New Roman" w:cs="Times New Roman"/>
          <w:spacing w:val="0"/>
          <w:lang w:val="zh-CN"/>
        </w:rPr>
        <w:t>3-6</w:t>
      </w:r>
      <w:r>
        <w:rPr>
          <w:rFonts w:ascii="Times New Roman" w:hAnsi="Times New Roman" w:cs="Times New Roman"/>
          <w:spacing w:val="0"/>
          <w:lang w:val="zh-CN"/>
        </w:rPr>
        <w:t>。</w:t>
      </w:r>
    </w:p>
    <w:p>
      <w:pPr>
        <w:pStyle w:val="313"/>
        <w:tabs>
          <w:tab w:val="clear" w:pos="3908"/>
        </w:tabs>
        <w:ind w:left="1122" w:hanging="561"/>
        <w:rPr>
          <w:rFonts w:ascii="Times New Roman" w:hAnsi="Times New Roman"/>
        </w:rPr>
      </w:pPr>
      <w:r>
        <w:rPr>
          <w:rFonts w:hint="eastAsia" w:ascii="Times New Roman" w:hAnsi="Times New Roman"/>
          <w:lang w:eastAsia="zh-CN"/>
        </w:rPr>
        <w:t>炼钢一厂</w:t>
      </w: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748"/>
        <w:gridCol w:w="1744"/>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1748"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744"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eastAsia="宋体"/>
                <w:sz w:val="21"/>
                <w:szCs w:val="21"/>
              </w:rPr>
              <w:t>废气</w:t>
            </w: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炼钢废气(电炉、AOD炉、LF炉)</w:t>
            </w:r>
          </w:p>
        </w:tc>
        <w:tc>
          <w:tcPr>
            <w:tcW w:w="1744"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颗粒物、二噁英、氟化物、</w:t>
            </w:r>
            <w:r>
              <w:rPr>
                <w:rFonts w:eastAsia="宋体"/>
                <w:sz w:val="21"/>
                <w:szCs w:val="21"/>
              </w:rPr>
              <w:t>铬及其化合物、镍及其化合物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电炉烟尘经四孔滑套+屋顶烟气捕集罩捕集；LF炉烟尘经炉盖罩捕集；AOD炉烟尘经炉顶烟气捕集罩+屋顶烟气捕集罩捕集，三路废气经各自捕集后进入布袋除尘器除尘，除尘尾气通过30m高排气筒(DA001)排放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修磨</w:t>
            </w:r>
          </w:p>
        </w:tc>
        <w:tc>
          <w:tcPr>
            <w:tcW w:w="1744"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w:t>
            </w:r>
            <w:r>
              <w:rPr>
                <w:rFonts w:eastAsia="宋体"/>
                <w:sz w:val="21"/>
                <w:szCs w:val="21"/>
              </w:rPr>
              <w:t>布袋除尘器除尘后排放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744"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接入</w:t>
            </w:r>
            <w:r>
              <w:rPr>
                <w:rFonts w:eastAsia="宋体"/>
                <w:sz w:val="21"/>
                <w:szCs w:val="21"/>
              </w:rPr>
              <w:t>轧钢车间的净环水系统，</w:t>
            </w:r>
            <w:r>
              <w:rPr>
                <w:rFonts w:hint="eastAsia" w:eastAsia="宋体"/>
                <w:sz w:val="21"/>
                <w:szCs w:val="21"/>
              </w:rPr>
              <w:t xml:space="preserve"> 循环使用，少量排放作为轧钢浊环水（直接冷却水）补充水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员工生活</w:t>
            </w:r>
          </w:p>
        </w:tc>
        <w:tc>
          <w:tcPr>
            <w:tcW w:w="1744" w:type="dxa"/>
            <w:vAlign w:val="center"/>
          </w:tcPr>
          <w:p>
            <w:pPr>
              <w:adjustRightInd w:val="0"/>
              <w:snapToGrid w:val="0"/>
              <w:spacing w:line="300" w:lineRule="exact"/>
              <w:jc w:val="center"/>
              <w:rPr>
                <w:rFonts w:eastAsia="宋体"/>
                <w:sz w:val="21"/>
                <w:szCs w:val="21"/>
              </w:rPr>
            </w:pPr>
            <w:r>
              <w:rPr>
                <w:rFonts w:hint="eastAsia" w:eastAsia="宋体"/>
                <w:sz w:val="21"/>
                <w:szCs w:val="21"/>
              </w:rPr>
              <w:t>生活污水</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噪声</w:t>
            </w:r>
          </w:p>
        </w:tc>
        <w:tc>
          <w:tcPr>
            <w:tcW w:w="1748" w:type="dxa"/>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744"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w:t>
            </w:r>
            <w:r>
              <w:rPr>
                <w:rFonts w:eastAsia="宋体"/>
                <w:sz w:val="21"/>
                <w:szCs w:val="21"/>
              </w:rPr>
              <w:t>废</w:t>
            </w:r>
          </w:p>
        </w:tc>
        <w:tc>
          <w:tcPr>
            <w:tcW w:w="1748"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原料包装</w:t>
            </w: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废原料桶</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危险废物，委托有资质单位(湖州南太湖资源回收利用有限公司)处置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一般废包装材料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一般固废，收集暂存后由物资公司回收利用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设备维修</w:t>
            </w: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废润滑油</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危险废物，委托有资质单位(宁波大港油料有限公司)处置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炼钢废气布袋除尘器</w:t>
            </w: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除尘灰</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危险废物，委托有资质单位(浙江特力再生资源有限公司、内蒙古察右前旗辰东化工有限责任公司)处置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生产过程</w:t>
            </w: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炉渣</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修磨屑</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废耐火材料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废砂轮片</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废电极</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1748" w:type="dxa"/>
            <w:vMerge w:val="continue"/>
            <w:vAlign w:val="center"/>
          </w:tcPr>
          <w:p>
            <w:pPr>
              <w:adjustRightInd w:val="0"/>
              <w:snapToGrid w:val="0"/>
              <w:spacing w:line="300" w:lineRule="exact"/>
              <w:jc w:val="center"/>
              <w:rPr>
                <w:rFonts w:eastAsia="宋体"/>
                <w:sz w:val="21"/>
                <w:szCs w:val="21"/>
              </w:rPr>
            </w:pPr>
          </w:p>
        </w:tc>
        <w:tc>
          <w:tcPr>
            <w:tcW w:w="1744"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废碳钢</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1748" w:type="dxa"/>
            <w:vAlign w:val="center"/>
          </w:tcPr>
          <w:p>
            <w:pPr>
              <w:adjustRightInd w:val="0"/>
              <w:snapToGrid w:val="0"/>
              <w:spacing w:line="300" w:lineRule="exact"/>
              <w:jc w:val="center"/>
              <w:rPr>
                <w:rFonts w:eastAsia="宋体"/>
                <w:sz w:val="21"/>
                <w:szCs w:val="21"/>
              </w:rPr>
            </w:pPr>
            <w:r>
              <w:rPr>
                <w:rFonts w:eastAsia="宋体"/>
                <w:sz w:val="21"/>
                <w:szCs w:val="21"/>
              </w:rPr>
              <w:t>员工生活</w:t>
            </w:r>
          </w:p>
        </w:tc>
        <w:tc>
          <w:tcPr>
            <w:tcW w:w="1744"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生活垃圾</w:t>
            </w:r>
          </w:p>
        </w:tc>
        <w:tc>
          <w:tcPr>
            <w:tcW w:w="4510"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收集后环卫部门清运</w:t>
            </w:r>
          </w:p>
        </w:tc>
      </w:tr>
    </w:tbl>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2、炼钢二厂</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①生产</w:t>
      </w:r>
      <w:r>
        <w:rPr>
          <w:rFonts w:ascii="Times New Roman" w:hAnsi="Times New Roman" w:cs="Times New Roman"/>
          <w:spacing w:val="0"/>
          <w:lang w:val="zh-CN"/>
        </w:rPr>
        <w:t>工艺流程及说明</w:t>
      </w:r>
    </w:p>
    <w:p>
      <w:pPr>
        <w:pStyle w:val="835"/>
        <w:spacing w:before="0" w:line="480" w:lineRule="exact"/>
        <w:ind w:firstLine="486"/>
        <w:rPr>
          <w:rFonts w:ascii="Times New Roman" w:hAnsi="Times New Roman"/>
        </w:rPr>
      </w:pPr>
      <w:r>
        <w:rPr>
          <w:rFonts w:hint="eastAsia" w:ascii="Times New Roman" w:hAnsi="Times New Roman"/>
        </w:rPr>
        <w:t>炼钢二厂</w:t>
      </w:r>
      <w:r>
        <w:rPr>
          <w:rFonts w:ascii="Times New Roman" w:hAnsi="Times New Roman"/>
        </w:rPr>
        <w:t>现有生产工艺流程详见图3-4。</w:t>
      </w:r>
    </w:p>
    <w:p>
      <w:pPr>
        <w:pStyle w:val="4"/>
        <w:spacing w:line="480" w:lineRule="exact"/>
        <w:rPr>
          <w:rFonts w:ascii="Times New Roman" w:hAnsi="Times New Roman" w:cs="Times New Roman"/>
          <w:spacing w:val="0"/>
          <w:lang w:val="zh-CN"/>
        </w:rPr>
      </w:pPr>
      <w:r>
        <w:rPr>
          <w:rFonts w:ascii="Times New Roman" w:hAnsi="Times New Roman" w:cs="Times New Roman"/>
          <w:spacing w:val="0"/>
          <w:lang w:val="zh-CN"/>
        </w:rPr>
        <w:t>废钢、铁合金等原料装入电炉，经电炉熔化后得到粗炼钢水。粗炼钢水经</w:t>
      </w:r>
      <w:r>
        <w:rPr>
          <w:rFonts w:hint="eastAsia" w:ascii="Times New Roman" w:hAnsi="Times New Roman" w:cs="Times New Roman"/>
          <w:spacing w:val="0"/>
          <w:lang w:val="zh-CN"/>
        </w:rPr>
        <w:t>氩氧炉</w:t>
      </w:r>
      <w:r>
        <w:rPr>
          <w:rFonts w:ascii="Times New Roman" w:hAnsi="Times New Roman" w:cs="Times New Roman"/>
          <w:spacing w:val="0"/>
          <w:lang w:val="zh-CN"/>
        </w:rPr>
        <w:t>精炼，以氧、氩、氮气体，通过碳氧反应，达到脱碳保铬的目的。AOD 炉精炼钢水转入LF 精炼炉，采用钢包底部吹氩的方式，LF 炉精炼钢水化学成分、温度达到所炼钢种要求后，通过连铸工序把钢水浇注成方坯或圆坯</w:t>
      </w:r>
      <w:r>
        <w:rPr>
          <w:rFonts w:hint="eastAsia" w:ascii="Times New Roman" w:hAnsi="Times New Roman" w:cs="Times New Roman"/>
          <w:spacing w:val="0"/>
          <w:lang w:val="zh-CN"/>
        </w:rPr>
        <w:t>，圆坯</w:t>
      </w:r>
      <w:r>
        <w:rPr>
          <w:rFonts w:ascii="Times New Roman" w:hAnsi="Times New Roman" w:cs="Times New Roman"/>
          <w:spacing w:val="0"/>
          <w:lang w:val="zh-CN"/>
        </w:rPr>
        <w:t>直接入库，方坯经</w:t>
      </w:r>
      <w:r>
        <w:rPr>
          <w:rFonts w:hint="eastAsia" w:ascii="Times New Roman" w:hAnsi="Times New Roman" w:cs="Times New Roman"/>
          <w:spacing w:val="0"/>
          <w:lang w:val="zh-CN"/>
        </w:rPr>
        <w:t>抛丸或</w:t>
      </w:r>
      <w:r>
        <w:rPr>
          <w:rFonts w:ascii="Times New Roman" w:hAnsi="Times New Roman" w:cs="Times New Roman"/>
          <w:spacing w:val="0"/>
          <w:lang w:val="zh-CN"/>
        </w:rPr>
        <w:t>修磨后</w:t>
      </w:r>
      <w:r>
        <w:rPr>
          <w:rFonts w:hint="eastAsia" w:ascii="Times New Roman" w:hAnsi="Times New Roman" w:cs="Times New Roman"/>
          <w:spacing w:val="0"/>
          <w:lang w:val="zh-CN"/>
        </w:rPr>
        <w:t>作为原料供轧钢厂生产或直接销售。</w:t>
      </w:r>
    </w:p>
    <w:p>
      <w:pPr>
        <w:widowControl/>
        <w:ind w:left="-141" w:leftChars="-50"/>
        <w:jc w:val="center"/>
        <w:rPr>
          <w:rFonts w:ascii="宋体" w:hAnsi="宋体" w:eastAsia="宋体" w:cs="宋体"/>
          <w:kern w:val="0"/>
          <w:sz w:val="24"/>
          <w:szCs w:val="24"/>
        </w:rPr>
      </w:pPr>
      <w:r>
        <w:object>
          <v:shape id="_x0000_i1028" o:spt="75" type="#_x0000_t75" style="height:480pt;width:410.25pt;" o:ole="t" filled="f" o:preferrelative="t" stroked="f" coordsize="21600,21600">
            <v:path/>
            <v:fill on="f" focussize="0,0"/>
            <v:stroke on="f" joinstyle="miter"/>
            <v:imagedata r:id="rId28" o:title=""/>
            <o:lock v:ext="edit" aspectratio="t"/>
            <w10:wrap type="none"/>
            <w10:anchorlock/>
          </v:shape>
          <o:OLEObject Type="Embed" ProgID="Visio.Drawing.11" ShapeID="_x0000_i1028" DrawAspect="Content" ObjectID="_1468075728" r:id="rId27">
            <o:LockedField>false</o:LockedField>
          </o:OLEObject>
        </w:object>
      </w:r>
    </w:p>
    <w:p>
      <w:pPr>
        <w:jc w:val="center"/>
        <w:rPr>
          <w:rFonts w:eastAsia="宋体"/>
          <w:b/>
          <w:sz w:val="24"/>
          <w:szCs w:val="24"/>
        </w:rPr>
      </w:pPr>
      <w:r>
        <w:rPr>
          <w:rFonts w:eastAsia="宋体"/>
          <w:b/>
          <w:sz w:val="24"/>
          <w:szCs w:val="24"/>
        </w:rPr>
        <w:t xml:space="preserve">图3-4  </w:t>
      </w:r>
      <w:r>
        <w:rPr>
          <w:rFonts w:hint="eastAsia" w:eastAsia="宋体"/>
          <w:b/>
          <w:sz w:val="24"/>
          <w:szCs w:val="24"/>
        </w:rPr>
        <w:t>炼钢二厂现有</w:t>
      </w:r>
      <w:r>
        <w:rPr>
          <w:rFonts w:eastAsia="宋体"/>
          <w:b/>
          <w:sz w:val="24"/>
          <w:szCs w:val="24"/>
        </w:rPr>
        <w:t>生产工艺流程图</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②配套</w:t>
      </w:r>
      <w:r>
        <w:rPr>
          <w:rFonts w:ascii="Times New Roman" w:hAnsi="Times New Roman" w:cs="Times New Roman"/>
          <w:spacing w:val="0"/>
          <w:szCs w:val="21"/>
          <w:lang w:eastAsia="zh-CN"/>
        </w:rPr>
        <w:t>设施</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w:t>
      </w:r>
      <w:r>
        <w:rPr>
          <w:rFonts w:ascii="Times New Roman" w:hAnsi="Times New Roman" w:cs="Times New Roman"/>
          <w:spacing w:val="0"/>
          <w:szCs w:val="21"/>
          <w:lang w:eastAsia="zh-CN"/>
        </w:rPr>
        <w:t>1</w:t>
      </w:r>
      <w:r>
        <w:rPr>
          <w:rFonts w:hint="eastAsia" w:ascii="Times New Roman" w:hAnsi="Times New Roman" w:cs="Times New Roman"/>
          <w:spacing w:val="0"/>
          <w:szCs w:val="21"/>
          <w:lang w:eastAsia="zh-CN"/>
        </w:rPr>
        <w:t>)净环水</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根据</w:t>
      </w:r>
      <w:r>
        <w:rPr>
          <w:rFonts w:ascii="Times New Roman" w:hAnsi="Times New Roman" w:cs="Times New Roman"/>
          <w:spacing w:val="0"/>
          <w:szCs w:val="21"/>
          <w:lang w:eastAsia="zh-CN"/>
        </w:rPr>
        <w:t>《</w:t>
      </w:r>
      <w:r>
        <w:rPr>
          <w:rFonts w:hint="eastAsia" w:ascii="Times New Roman" w:hAnsi="Times New Roman" w:cs="Times New Roman"/>
          <w:spacing w:val="0"/>
          <w:szCs w:val="21"/>
          <w:lang w:eastAsia="zh-CN"/>
        </w:rPr>
        <w:t>永兴</w:t>
      </w:r>
      <w:r>
        <w:rPr>
          <w:rFonts w:ascii="Times New Roman" w:hAnsi="Times New Roman" w:cs="Times New Roman"/>
          <w:spacing w:val="0"/>
          <w:szCs w:val="21"/>
          <w:lang w:eastAsia="zh-CN"/>
        </w:rPr>
        <w:t>特种不锈钢股份有限公司炼钢水处理系统设计方案》</w:t>
      </w:r>
      <w:r>
        <w:rPr>
          <w:rFonts w:hint="eastAsia" w:ascii="Times New Roman" w:hAnsi="Times New Roman" w:cs="Times New Roman"/>
          <w:spacing w:val="0"/>
          <w:szCs w:val="21"/>
          <w:lang w:eastAsia="zh-CN"/>
        </w:rPr>
        <w:t>(上海</w:t>
      </w:r>
      <w:r>
        <w:rPr>
          <w:rFonts w:ascii="Times New Roman" w:hAnsi="Times New Roman" w:cs="Times New Roman"/>
          <w:spacing w:val="0"/>
          <w:szCs w:val="21"/>
          <w:lang w:eastAsia="zh-CN"/>
        </w:rPr>
        <w:t>宝钢工程</w:t>
      </w:r>
      <w:r>
        <w:rPr>
          <w:rFonts w:hint="eastAsia" w:ascii="Times New Roman" w:hAnsi="Times New Roman" w:cs="Times New Roman"/>
          <w:spacing w:val="0"/>
          <w:szCs w:val="21"/>
          <w:lang w:eastAsia="zh-CN"/>
        </w:rPr>
        <w:t>技术</w:t>
      </w:r>
      <w:r>
        <w:rPr>
          <w:rFonts w:ascii="Times New Roman" w:hAnsi="Times New Roman" w:cs="Times New Roman"/>
          <w:spacing w:val="0"/>
          <w:szCs w:val="21"/>
          <w:lang w:eastAsia="zh-CN"/>
        </w:rPr>
        <w:t>有限公司编制</w:t>
      </w:r>
      <w:r>
        <w:rPr>
          <w:rFonts w:hint="eastAsia" w:ascii="Times New Roman" w:hAnsi="Times New Roman" w:cs="Times New Roman"/>
          <w:spacing w:val="0"/>
          <w:szCs w:val="21"/>
          <w:lang w:eastAsia="zh-CN"/>
        </w:rPr>
        <w:t>)，炼钢二厂的“三步法”炼钢设备，如EAF炉、AOD炉、LF炉等生产系统设备间接冷却水，年产生量为</w:t>
      </w:r>
      <w:r>
        <w:rPr>
          <w:rFonts w:ascii="Times New Roman" w:hAnsi="Times New Roman" w:cs="Times New Roman"/>
          <w:spacing w:val="0"/>
          <w:szCs w:val="21"/>
          <w:lang w:eastAsia="zh-CN"/>
        </w:rPr>
        <w:t>1180</w:t>
      </w:r>
      <w:r>
        <w:rPr>
          <w:rFonts w:hint="eastAsia" w:ascii="Times New Roman" w:hAnsi="Times New Roman" w:cs="Times New Roman"/>
          <w:spacing w:val="0"/>
          <w:szCs w:val="21"/>
          <w:lang w:eastAsia="zh-CN"/>
        </w:rPr>
        <w:t>万t/a。除水温稍高外，无其它污染物质，因此又称清下水或称净下水。经玻璃钢冷却塔和净环水池系统中的净化过滤器去除杂质后循环利用。净环水</w:t>
      </w:r>
      <w:r>
        <w:rPr>
          <w:rFonts w:ascii="Times New Roman" w:hAnsi="Times New Roman" w:cs="Times New Roman"/>
          <w:spacing w:val="0"/>
          <w:szCs w:val="21"/>
          <w:lang w:eastAsia="zh-CN"/>
        </w:rPr>
        <w:t>系统</w:t>
      </w:r>
      <w:r>
        <w:rPr>
          <w:rFonts w:hint="eastAsia" w:ascii="Times New Roman" w:hAnsi="Times New Roman" w:cs="Times New Roman"/>
          <w:spacing w:val="0"/>
          <w:szCs w:val="21"/>
          <w:lang w:eastAsia="zh-CN"/>
        </w:rPr>
        <w:t>根据循环水的电导率进行强制排污，排放</w:t>
      </w:r>
      <w:r>
        <w:rPr>
          <w:rFonts w:ascii="Times New Roman" w:hAnsi="Times New Roman" w:cs="Times New Roman"/>
          <w:spacing w:val="0"/>
          <w:szCs w:val="21"/>
          <w:lang w:eastAsia="zh-CN"/>
        </w:rPr>
        <w:t>的</w:t>
      </w:r>
      <w:r>
        <w:rPr>
          <w:rFonts w:hint="eastAsia" w:ascii="Times New Roman" w:hAnsi="Times New Roman" w:cs="Times New Roman"/>
          <w:spacing w:val="0"/>
          <w:szCs w:val="21"/>
          <w:lang w:eastAsia="zh-CN"/>
        </w:rPr>
        <w:t>净环水(</w:t>
      </w:r>
      <w:r>
        <w:rPr>
          <w:rFonts w:ascii="Times New Roman" w:hAnsi="Times New Roman" w:cs="Times New Roman"/>
          <w:spacing w:val="0"/>
          <w:szCs w:val="21"/>
          <w:lang w:eastAsia="zh-CN"/>
        </w:rPr>
        <w:t>循环量</w:t>
      </w:r>
      <w:r>
        <w:rPr>
          <w:rFonts w:hint="eastAsia" w:ascii="Times New Roman" w:hAnsi="Times New Roman" w:cs="Times New Roman"/>
          <w:spacing w:val="0"/>
          <w:szCs w:val="21"/>
          <w:lang w:eastAsia="zh-CN"/>
        </w:rPr>
        <w:t>的</w:t>
      </w:r>
      <w:r>
        <w:rPr>
          <w:rFonts w:ascii="Times New Roman" w:hAnsi="Times New Roman" w:cs="Times New Roman"/>
          <w:spacing w:val="0"/>
          <w:szCs w:val="21"/>
          <w:lang w:eastAsia="zh-CN"/>
        </w:rPr>
        <w:t>0.2%</w:t>
      </w:r>
      <w:r>
        <w:rPr>
          <w:rFonts w:hint="eastAsia" w:ascii="Times New Roman" w:hAnsi="Times New Roman" w:cs="Times New Roman"/>
          <w:spacing w:val="0"/>
          <w:szCs w:val="21"/>
          <w:lang w:eastAsia="zh-CN"/>
        </w:rPr>
        <w:t>、</w:t>
      </w:r>
      <w:r>
        <w:rPr>
          <w:rFonts w:ascii="Times New Roman" w:hAnsi="Times New Roman" w:cs="Times New Roman"/>
          <w:spacing w:val="0"/>
          <w:szCs w:val="21"/>
          <w:lang w:eastAsia="zh-CN"/>
        </w:rPr>
        <w:t>约</w:t>
      </w:r>
      <w:r>
        <w:rPr>
          <w:rFonts w:hint="eastAsia" w:ascii="Times New Roman" w:hAnsi="Times New Roman" w:cs="Times New Roman"/>
          <w:spacing w:val="0"/>
          <w:szCs w:val="21"/>
          <w:lang w:eastAsia="zh-CN"/>
        </w:rPr>
        <w:t>23600t/a)补充至浊循环水系统中。</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w:t>
      </w:r>
      <w:r>
        <w:rPr>
          <w:rFonts w:ascii="Times New Roman" w:hAnsi="Times New Roman" w:cs="Times New Roman"/>
          <w:spacing w:val="0"/>
          <w:szCs w:val="21"/>
          <w:lang w:eastAsia="zh-CN"/>
        </w:rPr>
        <w:t>2</w:t>
      </w:r>
      <w:r>
        <w:rPr>
          <w:rFonts w:hint="eastAsia" w:ascii="Times New Roman" w:hAnsi="Times New Roman" w:cs="Times New Roman"/>
          <w:spacing w:val="0"/>
          <w:szCs w:val="21"/>
          <w:lang w:eastAsia="zh-CN"/>
        </w:rPr>
        <w:t>)浊环水</w:t>
      </w:r>
    </w:p>
    <w:p>
      <w:pPr>
        <w:pStyle w:val="712"/>
        <w:spacing w:line="480" w:lineRule="exact"/>
        <w:ind w:firstLine="486" w:firstLineChars="200"/>
        <w:rPr>
          <w:rFonts w:ascii="Times New Roman" w:hAnsi="Times New Roman" w:cs="Times New Roman"/>
          <w:spacing w:val="0"/>
          <w:szCs w:val="24"/>
          <w:lang w:eastAsia="zh-CN"/>
        </w:rPr>
      </w:pPr>
      <w:r>
        <w:rPr>
          <w:rFonts w:hint="eastAsia" w:ascii="Times New Roman" w:hAnsi="Times New Roman" w:cs="Times New Roman"/>
          <w:spacing w:val="0"/>
          <w:szCs w:val="21"/>
          <w:lang w:eastAsia="zh-CN"/>
        </w:rPr>
        <w:t>炼钢二厂的“三步法”中的连铸机二冷段喷水冷却、切割冷却等直接冷却水，年循环量为</w:t>
      </w:r>
      <w:r>
        <w:rPr>
          <w:rFonts w:ascii="Times New Roman" w:hAnsi="Times New Roman" w:cs="Times New Roman"/>
          <w:spacing w:val="0"/>
          <w:szCs w:val="21"/>
          <w:lang w:eastAsia="zh-CN"/>
        </w:rPr>
        <w:t>71.5</w:t>
      </w:r>
      <w:r>
        <w:rPr>
          <w:rFonts w:hint="eastAsia" w:ascii="Times New Roman" w:hAnsi="Times New Roman" w:cs="Times New Roman"/>
          <w:spacing w:val="0"/>
          <w:szCs w:val="21"/>
          <w:lang w:eastAsia="zh-CN"/>
        </w:rPr>
        <w:t>万t/a，需</w:t>
      </w:r>
      <w:r>
        <w:rPr>
          <w:rFonts w:ascii="Times New Roman" w:hAnsi="Times New Roman" w:cs="Times New Roman"/>
          <w:spacing w:val="0"/>
          <w:szCs w:val="21"/>
          <w:lang w:eastAsia="zh-CN"/>
        </w:rPr>
        <w:t>补充新鲜水35750</w:t>
      </w:r>
      <w:r>
        <w:rPr>
          <w:rFonts w:hint="eastAsia" w:ascii="Times New Roman" w:hAnsi="Times New Roman" w:cs="Times New Roman"/>
          <w:spacing w:val="0"/>
          <w:szCs w:val="21"/>
          <w:lang w:eastAsia="zh-CN"/>
        </w:rPr>
        <w:t>t/a</w:t>
      </w:r>
      <w:r>
        <w:rPr>
          <w:rFonts w:ascii="Times New Roman" w:hAnsi="Times New Roman" w:cs="Times New Roman"/>
          <w:spacing w:val="0"/>
          <w:szCs w:val="21"/>
          <w:lang w:eastAsia="zh-CN"/>
        </w:rPr>
        <w:t>，</w:t>
      </w:r>
      <w:r>
        <w:rPr>
          <w:rFonts w:hint="eastAsia" w:ascii="Times New Roman" w:hAnsi="Times New Roman" w:cs="Times New Roman"/>
          <w:spacing w:val="0"/>
          <w:szCs w:val="21"/>
          <w:lang w:eastAsia="zh-CN"/>
        </w:rPr>
        <w:t>其中有</w:t>
      </w:r>
      <w:r>
        <w:rPr>
          <w:rFonts w:ascii="Times New Roman" w:hAnsi="Times New Roman" w:cs="Times New Roman"/>
          <w:spacing w:val="0"/>
          <w:szCs w:val="21"/>
          <w:lang w:eastAsia="zh-CN"/>
        </w:rPr>
        <w:t>23600</w:t>
      </w:r>
      <w:r>
        <w:rPr>
          <w:rFonts w:hint="eastAsia" w:ascii="Times New Roman" w:hAnsi="Times New Roman" w:cs="Times New Roman"/>
          <w:spacing w:val="0"/>
          <w:szCs w:val="21"/>
          <w:lang w:eastAsia="zh-CN"/>
        </w:rPr>
        <w:t>t/a 来自于净环水系统</w:t>
      </w:r>
      <w:r>
        <w:rPr>
          <w:rFonts w:hint="eastAsia" w:ascii="Times New Roman" w:hAnsi="Times New Roman" w:cs="Times New Roman"/>
          <w:spacing w:val="0"/>
          <w:szCs w:val="24"/>
          <w:lang w:eastAsia="zh-CN"/>
        </w:rPr>
        <w:t>，浊</w:t>
      </w:r>
      <w:r>
        <w:rPr>
          <w:rFonts w:ascii="Times New Roman" w:hAnsi="Times New Roman" w:cs="Times New Roman"/>
          <w:spacing w:val="0"/>
          <w:szCs w:val="24"/>
          <w:lang w:eastAsia="zh-CN"/>
        </w:rPr>
        <w:t>环</w:t>
      </w:r>
      <w:r>
        <w:rPr>
          <w:rFonts w:hint="eastAsia" w:ascii="Times New Roman" w:hAnsi="Times New Roman" w:cs="Times New Roman"/>
          <w:spacing w:val="0"/>
          <w:szCs w:val="24"/>
          <w:lang w:eastAsia="zh-CN"/>
        </w:rPr>
        <w:t>水经隔油+</w:t>
      </w:r>
      <w:r>
        <w:rPr>
          <w:rFonts w:hint="eastAsia"/>
          <w:szCs w:val="24"/>
        </w:rPr>
        <w:t>沉淀+过滤+冷却</w:t>
      </w:r>
      <w:r>
        <w:rPr>
          <w:rFonts w:hint="eastAsia" w:ascii="Times New Roman" w:hAnsi="Times New Roman" w:cs="Times New Roman"/>
          <w:spacing w:val="0"/>
          <w:szCs w:val="24"/>
          <w:lang w:eastAsia="zh-CN"/>
        </w:rPr>
        <w:t>后循环利用。</w:t>
      </w:r>
    </w:p>
    <w:p>
      <w:pPr>
        <w:pStyle w:val="712"/>
        <w:spacing w:line="480" w:lineRule="exact"/>
        <w:ind w:left="488" w:firstLine="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③</w:t>
      </w:r>
      <w:r>
        <w:rPr>
          <w:rFonts w:ascii="Times New Roman" w:hAnsi="Times New Roman" w:cs="Times New Roman"/>
          <w:spacing w:val="0"/>
          <w:szCs w:val="21"/>
          <w:lang w:eastAsia="zh-CN"/>
        </w:rPr>
        <w:t>炼钢二厂现有产污环节及污染防治措施</w:t>
      </w:r>
    </w:p>
    <w:p>
      <w:pPr>
        <w:pStyle w:val="712"/>
        <w:spacing w:line="480" w:lineRule="exact"/>
        <w:ind w:left="488" w:firstLine="0"/>
        <w:rPr>
          <w:rFonts w:ascii="Times New Roman" w:hAnsi="Times New Roman" w:cs="Times New Roman"/>
          <w:spacing w:val="0"/>
          <w:szCs w:val="21"/>
          <w:lang w:eastAsia="zh-CN"/>
        </w:rPr>
      </w:pPr>
      <w:r>
        <w:rPr>
          <w:rFonts w:ascii="Times New Roman" w:hAnsi="Times New Roman" w:cs="Times New Roman"/>
          <w:spacing w:val="0"/>
          <w:szCs w:val="21"/>
          <w:lang w:eastAsia="zh-CN"/>
        </w:rPr>
        <w:t>炼钢二厂现有产污环节及污染防治措施</w:t>
      </w:r>
      <w:r>
        <w:rPr>
          <w:rFonts w:hint="eastAsia" w:ascii="Times New Roman" w:hAnsi="Times New Roman" w:cs="Times New Roman"/>
          <w:spacing w:val="0"/>
          <w:szCs w:val="21"/>
          <w:lang w:eastAsia="zh-CN"/>
        </w:rPr>
        <w:t>见表3-7。</w:t>
      </w:r>
    </w:p>
    <w:p>
      <w:pPr>
        <w:pStyle w:val="313"/>
        <w:tabs>
          <w:tab w:val="clear" w:pos="3908"/>
        </w:tabs>
        <w:ind w:left="1122" w:hanging="561"/>
        <w:rPr>
          <w:rFonts w:ascii="Times New Roman" w:hAnsi="Times New Roman"/>
        </w:rPr>
      </w:pPr>
      <w:r>
        <w:rPr>
          <w:rFonts w:hint="eastAsia" w:ascii="Times New Roman" w:hAnsi="Times New Roman"/>
          <w:lang w:eastAsia="zh-CN"/>
        </w:rPr>
        <w:t>炼钢二厂</w:t>
      </w: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607"/>
        <w:gridCol w:w="1885"/>
        <w:gridCol w:w="4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1607"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885"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废气</w:t>
            </w: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炼钢废气(电炉、AOD炉、LF炉) 、</w:t>
            </w:r>
            <w:r>
              <w:rPr>
                <w:rFonts w:eastAsia="宋体"/>
                <w:sz w:val="21"/>
                <w:szCs w:val="21"/>
              </w:rPr>
              <w:t>连铸废气</w:t>
            </w:r>
          </w:p>
        </w:tc>
        <w:tc>
          <w:tcPr>
            <w:tcW w:w="1885"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颗粒物、二噁英、氟化物、</w:t>
            </w:r>
            <w:r>
              <w:rPr>
                <w:rFonts w:eastAsia="宋体"/>
                <w:sz w:val="21"/>
                <w:szCs w:val="21"/>
              </w:rPr>
              <w:t>铬及其化合物、镍及其化合物</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电炉烟气采用第四孔烟气+屋顶罩捕集技术；AOD炉烟气采用炉顶罩（双工位）+屋顶罩捕集技术；LF炉烟气采用炉盖罩捕集技术，三路废气经各自捕集后进入离线回转脉冲清灰袋式除尘器，除尘尾气通过30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修磨工段</w:t>
            </w:r>
          </w:p>
        </w:tc>
        <w:tc>
          <w:tcPr>
            <w:tcW w:w="1885"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经收集后采用布袋除尘器除尘，除尘尾气通过20m高排气筒排放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885"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循环使用，少量排放作为浊环水补充水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浊环水</w:t>
            </w:r>
          </w:p>
        </w:tc>
        <w:tc>
          <w:tcPr>
            <w:tcW w:w="1885" w:type="dxa"/>
            <w:vAlign w:val="center"/>
          </w:tcPr>
          <w:p>
            <w:pPr>
              <w:adjustRightInd w:val="0"/>
              <w:snapToGrid w:val="0"/>
              <w:spacing w:line="300" w:lineRule="exact"/>
              <w:jc w:val="center"/>
              <w:rPr>
                <w:rFonts w:eastAsia="宋体"/>
                <w:sz w:val="21"/>
                <w:szCs w:val="21"/>
              </w:rPr>
            </w:pPr>
            <w:r>
              <w:rPr>
                <w:rFonts w:hint="eastAsia" w:eastAsia="宋体"/>
                <w:sz w:val="21"/>
                <w:szCs w:val="21"/>
              </w:rPr>
              <w:t>SS、氧化铁皮</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经浊环水处理系统(隔油+沉淀+过滤+冷却)后回用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员工生活</w:t>
            </w:r>
          </w:p>
        </w:tc>
        <w:tc>
          <w:tcPr>
            <w:tcW w:w="1885" w:type="dxa"/>
            <w:vAlign w:val="center"/>
          </w:tcPr>
          <w:p>
            <w:pPr>
              <w:adjustRightInd w:val="0"/>
              <w:snapToGrid w:val="0"/>
              <w:spacing w:line="300" w:lineRule="exact"/>
              <w:jc w:val="center"/>
              <w:rPr>
                <w:rFonts w:eastAsia="宋体"/>
                <w:sz w:val="21"/>
                <w:szCs w:val="21"/>
              </w:rPr>
            </w:pPr>
            <w:r>
              <w:rPr>
                <w:rFonts w:hint="eastAsia" w:eastAsia="宋体"/>
                <w:sz w:val="21"/>
                <w:szCs w:val="21"/>
              </w:rPr>
              <w:t>生活污水</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Align w:val="center"/>
          </w:tcPr>
          <w:p>
            <w:pPr>
              <w:adjustRightInd w:val="0"/>
              <w:snapToGrid w:val="0"/>
              <w:spacing w:line="300" w:lineRule="exact"/>
              <w:jc w:val="center"/>
              <w:rPr>
                <w:rFonts w:eastAsia="宋体"/>
                <w:sz w:val="21"/>
                <w:szCs w:val="21"/>
              </w:rPr>
            </w:pPr>
            <w:r>
              <w:rPr>
                <w:rFonts w:eastAsia="宋体"/>
                <w:sz w:val="21"/>
                <w:szCs w:val="21"/>
              </w:rPr>
              <w:t>噪声</w:t>
            </w:r>
          </w:p>
        </w:tc>
        <w:tc>
          <w:tcPr>
            <w:tcW w:w="1607" w:type="dxa"/>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885"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8"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w:t>
            </w:r>
            <w:r>
              <w:rPr>
                <w:rFonts w:eastAsia="宋体"/>
                <w:sz w:val="21"/>
                <w:szCs w:val="21"/>
              </w:rPr>
              <w:t>废</w:t>
            </w:r>
          </w:p>
        </w:tc>
        <w:tc>
          <w:tcPr>
            <w:tcW w:w="1607"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原料包装</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废原料桶</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危险废物，委托有资质单位(湖州南太湖资源回收利用有限公司)处置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一般废包装材料</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一般固废，收集暂存后由物资公司回收利用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设备维修</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废润滑油</w:t>
            </w:r>
          </w:p>
        </w:tc>
        <w:tc>
          <w:tcPr>
            <w:tcW w:w="4511"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危险废物，委托有资质单位(宁波大港油料有限公司)处置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浊环水</w:t>
            </w:r>
            <w:r>
              <w:rPr>
                <w:rFonts w:eastAsia="宋体"/>
                <w:sz w:val="21"/>
                <w:szCs w:val="21"/>
              </w:rPr>
              <w:t>系统</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废油</w:t>
            </w:r>
          </w:p>
        </w:tc>
        <w:tc>
          <w:tcPr>
            <w:tcW w:w="4511" w:type="dxa"/>
            <w:vMerge w:val="continue"/>
            <w:vAlign w:val="center"/>
          </w:tcPr>
          <w:p>
            <w:pPr>
              <w:adjustRightInd w:val="0"/>
              <w:snapToGrid w:val="0"/>
              <w:spacing w:line="30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炼钢废气布袋除尘器</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除尘灰</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危险废物，委托有资质单位(浙江特力再生资源有限公司、内蒙古察右前旗辰东化工有限责任公司)处置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生产过程</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氧化皮</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切割渣</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炉渣</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修磨屑</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废边角料等废铁</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废耐火材料</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废砂轮片</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废电极</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8" w:type="dxa"/>
            <w:vMerge w:val="continue"/>
            <w:vAlign w:val="center"/>
          </w:tcPr>
          <w:p>
            <w:pPr>
              <w:adjustRightInd w:val="0"/>
              <w:snapToGrid w:val="0"/>
              <w:spacing w:line="300" w:lineRule="exact"/>
              <w:jc w:val="center"/>
              <w:rPr>
                <w:rFonts w:eastAsia="宋体"/>
                <w:sz w:val="21"/>
                <w:szCs w:val="21"/>
              </w:rPr>
            </w:pPr>
          </w:p>
        </w:tc>
        <w:tc>
          <w:tcPr>
            <w:tcW w:w="1607" w:type="dxa"/>
            <w:vMerge w:val="continue"/>
            <w:vAlign w:val="center"/>
          </w:tcPr>
          <w:p>
            <w:pPr>
              <w:adjustRightInd w:val="0"/>
              <w:snapToGrid w:val="0"/>
              <w:spacing w:line="300" w:lineRule="exact"/>
              <w:jc w:val="center"/>
              <w:rPr>
                <w:rFonts w:eastAsia="宋体"/>
                <w:sz w:val="21"/>
                <w:szCs w:val="21"/>
              </w:rPr>
            </w:pPr>
          </w:p>
        </w:tc>
        <w:tc>
          <w:tcPr>
            <w:tcW w:w="1885"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废碳钢</w:t>
            </w:r>
          </w:p>
        </w:tc>
        <w:tc>
          <w:tcPr>
            <w:tcW w:w="4511"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vAlign w:val="center"/>
          </w:tcPr>
          <w:p>
            <w:pPr>
              <w:adjustRightInd w:val="0"/>
              <w:snapToGrid w:val="0"/>
              <w:spacing w:line="300" w:lineRule="exact"/>
              <w:jc w:val="center"/>
              <w:rPr>
                <w:rFonts w:eastAsia="宋体"/>
                <w:sz w:val="21"/>
                <w:szCs w:val="21"/>
              </w:rPr>
            </w:pPr>
          </w:p>
        </w:tc>
        <w:tc>
          <w:tcPr>
            <w:tcW w:w="1607" w:type="dxa"/>
            <w:vAlign w:val="center"/>
          </w:tcPr>
          <w:p>
            <w:pPr>
              <w:adjustRightInd w:val="0"/>
              <w:snapToGrid w:val="0"/>
              <w:spacing w:line="300" w:lineRule="exact"/>
              <w:jc w:val="center"/>
              <w:rPr>
                <w:rFonts w:eastAsia="宋体"/>
                <w:sz w:val="21"/>
                <w:szCs w:val="21"/>
              </w:rPr>
            </w:pPr>
            <w:r>
              <w:rPr>
                <w:rFonts w:eastAsia="宋体"/>
                <w:sz w:val="21"/>
                <w:szCs w:val="21"/>
              </w:rPr>
              <w:t>员工生活</w:t>
            </w:r>
          </w:p>
        </w:tc>
        <w:tc>
          <w:tcPr>
            <w:tcW w:w="1885"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生活垃圾</w:t>
            </w:r>
          </w:p>
        </w:tc>
        <w:tc>
          <w:tcPr>
            <w:tcW w:w="4511"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收集后环卫部门清运</w:t>
            </w:r>
          </w:p>
        </w:tc>
      </w:tr>
    </w:tbl>
    <w:p>
      <w:pPr>
        <w:pStyle w:val="712"/>
        <w:spacing w:line="440" w:lineRule="exact"/>
        <w:ind w:left="488" w:firstLine="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3、轧钢厂</w:t>
      </w:r>
    </w:p>
    <w:p>
      <w:pPr>
        <w:pStyle w:val="835"/>
        <w:spacing w:before="0" w:line="440" w:lineRule="exact"/>
        <w:ind w:firstLine="486"/>
        <w:rPr>
          <w:rFonts w:ascii="Times New Roman" w:hAnsi="Times New Roman" w:eastAsiaTheme="minorEastAsia"/>
        </w:rPr>
      </w:pPr>
      <w:r>
        <w:rPr>
          <w:rFonts w:hint="eastAsia" w:ascii="Times New Roman" w:hAnsi="Times New Roman" w:eastAsiaTheme="minorEastAsia"/>
        </w:rPr>
        <w:t>①</w:t>
      </w:r>
      <w:r>
        <w:rPr>
          <w:rFonts w:ascii="Times New Roman" w:hAnsi="Times New Roman" w:eastAsiaTheme="minorEastAsia"/>
        </w:rPr>
        <w:t>生产工艺流程及说明</w:t>
      </w:r>
    </w:p>
    <w:p>
      <w:pPr>
        <w:pStyle w:val="835"/>
        <w:spacing w:before="0" w:line="440" w:lineRule="exact"/>
        <w:ind w:firstLine="486"/>
        <w:rPr>
          <w:rFonts w:ascii="Times New Roman" w:hAnsi="Times New Roman" w:eastAsiaTheme="minorEastAsia"/>
        </w:rPr>
      </w:pPr>
      <w:r>
        <w:rPr>
          <w:rFonts w:ascii="Times New Roman" w:hAnsi="Times New Roman" w:eastAsiaTheme="minorEastAsia"/>
        </w:rPr>
        <w:t>来自炼钢厂的合格坯料，经步进梁式加热炉加热，通过高压水除鳞，去除表面氧化铁皮，进入可逆轧机进行粗轧，再分别经初轧、中轧、预精轧和精轧机组后，得到不同规格、尺寸的棒材、线材和大盘卷。</w:t>
      </w:r>
    </w:p>
    <w:p>
      <w:pPr>
        <w:pStyle w:val="835"/>
        <w:spacing w:before="0" w:line="440" w:lineRule="exact"/>
        <w:ind w:firstLine="486"/>
        <w:rPr>
          <w:rFonts w:ascii="Times New Roman" w:hAnsi="Times New Roman"/>
        </w:rPr>
      </w:pPr>
      <w:r>
        <w:rPr>
          <w:rFonts w:hint="eastAsia" w:ascii="Times New Roman" w:hAnsi="Times New Roman"/>
        </w:rPr>
        <w:t>老轧钢厂已于2018.7停产，新轧钢厂于2018.4建成投产。新轧钢生产工艺流程详见图3-</w:t>
      </w:r>
      <w:r>
        <w:rPr>
          <w:rFonts w:ascii="Times New Roman" w:hAnsi="Times New Roman"/>
        </w:rPr>
        <w:t>5</w:t>
      </w:r>
      <w:r>
        <w:rPr>
          <w:rFonts w:hint="eastAsia" w:ascii="Times New Roman" w:hAnsi="Times New Roman"/>
        </w:rPr>
        <w:t>，老轧钢厂生产工艺流程详见图3-</w:t>
      </w:r>
      <w:r>
        <w:rPr>
          <w:rFonts w:ascii="Times New Roman" w:hAnsi="Times New Roman"/>
        </w:rPr>
        <w:t>6</w:t>
      </w:r>
      <w:r>
        <w:rPr>
          <w:rFonts w:hint="eastAsia" w:ascii="Times New Roman" w:hAnsi="Times New Roman"/>
        </w:rPr>
        <w:t>。</w:t>
      </w:r>
    </w:p>
    <w:p>
      <w:pPr>
        <w:widowControl/>
        <w:jc w:val="left"/>
        <w:rPr>
          <w:rFonts w:ascii="宋体" w:hAnsi="宋体" w:eastAsia="宋体" w:cs="宋体"/>
          <w:kern w:val="0"/>
          <w:sz w:val="24"/>
          <w:szCs w:val="24"/>
        </w:rPr>
      </w:pPr>
      <w:r>
        <w:object>
          <v:shape id="_x0000_i1029" o:spt="75" type="#_x0000_t75" style="height:492pt;width:425.25pt;" o:ole="t" filled="f" o:preferrelative="t" stroked="f" coordsize="21600,21600">
            <v:path/>
            <v:fill on="f" focussize="0,0"/>
            <v:stroke on="f" joinstyle="miter"/>
            <v:imagedata r:id="rId30" o:title=""/>
            <o:lock v:ext="edit" aspectratio="t"/>
            <w10:wrap type="none"/>
            <w10:anchorlock/>
          </v:shape>
          <o:OLEObject Type="Embed" ProgID="Visio.Drawing.11" ShapeID="_x0000_i1029" DrawAspect="Content" ObjectID="_1468075729" r:id="rId29">
            <o:LockedField>false</o:LockedField>
          </o:OLEObject>
        </w:object>
      </w:r>
    </w:p>
    <w:p>
      <w:pPr>
        <w:jc w:val="center"/>
        <w:rPr>
          <w:rFonts w:eastAsia="宋体"/>
          <w:b/>
          <w:sz w:val="24"/>
          <w:szCs w:val="24"/>
        </w:rPr>
      </w:pPr>
      <w:r>
        <w:rPr>
          <w:rFonts w:eastAsia="宋体"/>
          <w:b/>
          <w:sz w:val="24"/>
          <w:szCs w:val="24"/>
        </w:rPr>
        <w:t xml:space="preserve">图3-5  </w:t>
      </w:r>
      <w:r>
        <w:rPr>
          <w:rFonts w:hint="eastAsia" w:eastAsia="宋体"/>
          <w:b/>
          <w:sz w:val="24"/>
          <w:szCs w:val="24"/>
        </w:rPr>
        <w:t>新轧钢厂</w:t>
      </w:r>
      <w:r>
        <w:rPr>
          <w:rFonts w:eastAsia="宋体"/>
          <w:b/>
          <w:sz w:val="24"/>
          <w:szCs w:val="24"/>
        </w:rPr>
        <w:t>生产工艺流程图</w:t>
      </w:r>
    </w:p>
    <w:p>
      <w:pPr>
        <w:widowControl/>
        <w:jc w:val="center"/>
      </w:pPr>
      <w:r>
        <w:object>
          <v:shape id="_x0000_i1030" o:spt="75" type="#_x0000_t75" style="height:428.25pt;width:391.5pt;" o:ole="t" filled="f" o:preferrelative="t" stroked="f" coordsize="21600,21600">
            <v:path/>
            <v:fill on="f" focussize="0,0"/>
            <v:stroke on="f" joinstyle="miter"/>
            <v:imagedata r:id="rId32" o:title=""/>
            <o:lock v:ext="edit" aspectratio="t"/>
            <w10:wrap type="none"/>
            <w10:anchorlock/>
          </v:shape>
          <o:OLEObject Type="Embed" ProgID="Visio.Drawing.11" ShapeID="_x0000_i1030" DrawAspect="Content" ObjectID="_1468075730" r:id="rId31">
            <o:LockedField>false</o:LockedField>
          </o:OLEObject>
        </w:object>
      </w:r>
    </w:p>
    <w:p>
      <w:pPr>
        <w:widowControl/>
        <w:jc w:val="center"/>
        <w:rPr>
          <w:rFonts w:eastAsia="宋体"/>
          <w:b/>
          <w:sz w:val="24"/>
          <w:szCs w:val="24"/>
        </w:rPr>
      </w:pPr>
      <w:r>
        <w:rPr>
          <w:rFonts w:eastAsia="宋体"/>
          <w:b/>
          <w:sz w:val="24"/>
          <w:szCs w:val="24"/>
        </w:rPr>
        <w:t xml:space="preserve">图3-6  </w:t>
      </w:r>
      <w:r>
        <w:rPr>
          <w:rFonts w:hint="eastAsia" w:eastAsia="宋体"/>
          <w:b/>
          <w:sz w:val="24"/>
          <w:szCs w:val="24"/>
        </w:rPr>
        <w:t>老轧钢厂</w:t>
      </w:r>
      <w:r>
        <w:rPr>
          <w:rFonts w:eastAsia="宋体"/>
          <w:b/>
          <w:sz w:val="24"/>
          <w:szCs w:val="24"/>
        </w:rPr>
        <w:t>生产工艺流程图</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②配套</w:t>
      </w:r>
      <w:r>
        <w:rPr>
          <w:rFonts w:ascii="Times New Roman" w:hAnsi="Times New Roman" w:cs="Times New Roman"/>
          <w:spacing w:val="0"/>
          <w:szCs w:val="21"/>
          <w:lang w:eastAsia="zh-CN"/>
        </w:rPr>
        <w:t>设施</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轧钢车间</w:t>
      </w:r>
      <w:r>
        <w:rPr>
          <w:rFonts w:ascii="Times New Roman" w:hAnsi="Times New Roman" w:cs="Times New Roman"/>
          <w:spacing w:val="0"/>
          <w:szCs w:val="21"/>
          <w:lang w:eastAsia="zh-CN"/>
        </w:rPr>
        <w:t>配套建设有净环水系统、浊环水系统。</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w:t>
      </w:r>
      <w:r>
        <w:rPr>
          <w:rFonts w:ascii="Times New Roman" w:hAnsi="Times New Roman" w:cs="Times New Roman"/>
          <w:spacing w:val="0"/>
          <w:szCs w:val="21"/>
          <w:lang w:eastAsia="zh-CN"/>
        </w:rPr>
        <w:t>1</w:t>
      </w:r>
      <w:r>
        <w:rPr>
          <w:rFonts w:hint="eastAsia" w:ascii="Times New Roman" w:hAnsi="Times New Roman" w:cs="Times New Roman"/>
          <w:spacing w:val="0"/>
          <w:szCs w:val="21"/>
          <w:lang w:eastAsia="zh-CN"/>
        </w:rPr>
        <w:t>)</w:t>
      </w:r>
      <w:r>
        <w:rPr>
          <w:rFonts w:ascii="Times New Roman" w:hAnsi="Times New Roman" w:cs="Times New Roman"/>
          <w:spacing w:val="0"/>
          <w:szCs w:val="21"/>
          <w:lang w:eastAsia="zh-CN"/>
        </w:rPr>
        <w:t>净环水</w:t>
      </w:r>
      <w:r>
        <w:rPr>
          <w:rFonts w:hint="eastAsia" w:ascii="Times New Roman" w:hAnsi="Times New Roman" w:cs="Times New Roman"/>
          <w:spacing w:val="0"/>
          <w:szCs w:val="21"/>
          <w:lang w:eastAsia="zh-CN"/>
        </w:rPr>
        <w:t>系统</w:t>
      </w:r>
    </w:p>
    <w:p>
      <w:pPr>
        <w:pStyle w:val="712"/>
        <w:spacing w:line="480" w:lineRule="exact"/>
        <w:ind w:firstLine="486" w:firstLineChars="20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轧钢车间设备间接冷却水→净循环冷却水池→净环玻璃钢冷却塔→回用于生产。该系统主要供给轧钢厂的加热炉、轧机区的电动机等间接冷却、设备的液压系统与设备的润滑系统等用户的间接冷却，同时还供应炼钢一厂的设备间接冷却。</w:t>
      </w:r>
    </w:p>
    <w:p>
      <w:pPr>
        <w:spacing w:line="480" w:lineRule="exact"/>
        <w:ind w:firstLine="486" w:firstLineChars="200"/>
        <w:rPr>
          <w:rFonts w:eastAsiaTheme="minorEastAsia"/>
          <w:sz w:val="24"/>
          <w:szCs w:val="24"/>
        </w:rPr>
      </w:pPr>
      <w:r>
        <w:rPr>
          <w:rFonts w:hint="eastAsia" w:eastAsiaTheme="minorEastAsia"/>
          <w:sz w:val="24"/>
          <w:szCs w:val="24"/>
        </w:rPr>
        <w:t>根据</w:t>
      </w:r>
      <w:r>
        <w:rPr>
          <w:rFonts w:eastAsiaTheme="minorEastAsia"/>
          <w:sz w:val="24"/>
          <w:szCs w:val="24"/>
        </w:rPr>
        <w:t>《永兴特钢</w:t>
      </w:r>
      <w:r>
        <w:rPr>
          <w:rFonts w:hint="eastAsia" w:eastAsiaTheme="minorEastAsia"/>
          <w:sz w:val="24"/>
          <w:szCs w:val="24"/>
        </w:rPr>
        <w:t>轧钢厂</w:t>
      </w:r>
      <w:r>
        <w:rPr>
          <w:rFonts w:eastAsiaTheme="minorEastAsia"/>
          <w:sz w:val="24"/>
          <w:szCs w:val="24"/>
        </w:rPr>
        <w:t>高线与</w:t>
      </w:r>
      <w:r>
        <w:rPr>
          <w:rFonts w:hint="eastAsia" w:eastAsiaTheme="minorEastAsia"/>
          <w:sz w:val="24"/>
          <w:szCs w:val="24"/>
        </w:rPr>
        <w:t>卷盘</w:t>
      </w:r>
      <w:r>
        <w:rPr>
          <w:rFonts w:eastAsiaTheme="minorEastAsia"/>
          <w:sz w:val="24"/>
          <w:szCs w:val="24"/>
        </w:rPr>
        <w:t>复合生产线水处理系统总承包工程技术协议》</w:t>
      </w:r>
      <w:r>
        <w:rPr>
          <w:rFonts w:hint="eastAsia" w:eastAsiaTheme="minorEastAsia"/>
          <w:sz w:val="24"/>
          <w:szCs w:val="24"/>
        </w:rPr>
        <w:t>，</w:t>
      </w:r>
      <w:r>
        <w:rPr>
          <w:rFonts w:eastAsiaTheme="minorEastAsia"/>
          <w:sz w:val="24"/>
          <w:szCs w:val="24"/>
        </w:rPr>
        <w:t>净环水系统设计最大循环量为1859m</w:t>
      </w:r>
      <w:r>
        <w:rPr>
          <w:rFonts w:eastAsiaTheme="minorEastAsia"/>
          <w:sz w:val="24"/>
          <w:szCs w:val="24"/>
          <w:vertAlign w:val="superscript"/>
        </w:rPr>
        <w:t>3</w:t>
      </w:r>
      <w:r>
        <w:rPr>
          <w:rFonts w:eastAsiaTheme="minorEastAsia"/>
          <w:sz w:val="24"/>
          <w:szCs w:val="24"/>
        </w:rPr>
        <w:t>/h，主要供给轧钢厂的加热炉、轧机区的电动机的间接冷却、设备的液压系统与设备的润滑系统等用户的间接冷却，同时还供应炼钢一厂的设备间接冷却，间接冷却后的水只是温度的升高，水质未受到污染，回水利用余压进去冷却塔降温后，再经过加压后送车间循环使用。净循环水系统的损失主要由两部分组成：冷却塔蒸发、降级排水，最大工况新水补充水量为36m</w:t>
      </w:r>
      <w:r>
        <w:rPr>
          <w:rFonts w:eastAsiaTheme="minorEastAsia"/>
          <w:sz w:val="24"/>
          <w:szCs w:val="24"/>
          <w:vertAlign w:val="superscript"/>
        </w:rPr>
        <w:t>3</w:t>
      </w:r>
      <w:r>
        <w:rPr>
          <w:rFonts w:eastAsiaTheme="minorEastAsia"/>
          <w:sz w:val="24"/>
          <w:szCs w:val="24"/>
        </w:rPr>
        <w:t>/h，由外部自来水补充。为防止高倍率水循环后的浓缩，该系统设计采</w:t>
      </w:r>
      <w:r>
        <w:rPr>
          <w:rFonts w:asciiTheme="minorEastAsia" w:hAnsiTheme="minorEastAsia" w:eastAsiaTheme="minorEastAsia"/>
          <w:sz w:val="24"/>
          <w:szCs w:val="24"/>
        </w:rPr>
        <w:t>取了“以新补净、以净补浊”的节水理念，</w:t>
      </w:r>
      <w:r>
        <w:rPr>
          <w:rFonts w:eastAsiaTheme="minorEastAsia"/>
          <w:sz w:val="24"/>
          <w:szCs w:val="24"/>
        </w:rPr>
        <w:t>净环系统将按3.7m</w:t>
      </w:r>
      <w:r>
        <w:rPr>
          <w:rFonts w:eastAsiaTheme="minorEastAsia"/>
          <w:sz w:val="24"/>
          <w:szCs w:val="24"/>
          <w:vertAlign w:val="superscript"/>
        </w:rPr>
        <w:t>3</w:t>
      </w:r>
      <w:r>
        <w:rPr>
          <w:rFonts w:eastAsiaTheme="minorEastAsia"/>
          <w:sz w:val="24"/>
          <w:szCs w:val="24"/>
        </w:rPr>
        <w:t>/h</w:t>
      </w:r>
      <w:r>
        <w:rPr>
          <w:rFonts w:hint="eastAsia" w:eastAsiaTheme="minorEastAsia"/>
          <w:sz w:val="24"/>
          <w:szCs w:val="24"/>
        </w:rPr>
        <w:t>(循环量的0.2</w:t>
      </w:r>
      <w:r>
        <w:rPr>
          <w:rFonts w:eastAsiaTheme="minorEastAsia"/>
          <w:sz w:val="24"/>
          <w:szCs w:val="24"/>
        </w:rPr>
        <w:t>%</w:t>
      </w:r>
      <w:r>
        <w:rPr>
          <w:rFonts w:hint="eastAsia" w:eastAsiaTheme="minorEastAsia"/>
          <w:sz w:val="24"/>
          <w:szCs w:val="24"/>
        </w:rPr>
        <w:t>)</w:t>
      </w:r>
      <w:r>
        <w:rPr>
          <w:rFonts w:eastAsiaTheme="minorEastAsia"/>
          <w:sz w:val="24"/>
          <w:szCs w:val="24"/>
        </w:rPr>
        <w:t>的排水量，降级排放至直接冷却的浊循环水系统作为补充水。间接冷却的净环系统没有废水外排。</w:t>
      </w:r>
    </w:p>
    <w:p>
      <w:pPr>
        <w:pStyle w:val="712"/>
        <w:spacing w:line="480" w:lineRule="exact"/>
        <w:ind w:firstLine="486" w:firstLineChars="200"/>
        <w:rPr>
          <w:rFonts w:ascii="Times New Roman" w:hAnsi="Times New Roman" w:cs="Times New Roman"/>
          <w:spacing w:val="0"/>
        </w:rPr>
      </w:pPr>
      <w:r>
        <w:rPr>
          <w:rFonts w:hint="eastAsia" w:ascii="宋体" w:hAnsi="宋体"/>
          <w:spacing w:val="0"/>
          <w:lang w:eastAsia="zh-CN"/>
        </w:rPr>
        <w:t>(</w:t>
      </w:r>
      <w:r>
        <w:rPr>
          <w:rFonts w:ascii="宋体" w:hAnsi="宋体"/>
          <w:spacing w:val="0"/>
          <w:lang w:eastAsia="zh-CN"/>
        </w:rPr>
        <w:t>2</w:t>
      </w:r>
      <w:r>
        <w:rPr>
          <w:rFonts w:hint="eastAsia" w:ascii="宋体" w:hAnsi="宋体"/>
          <w:spacing w:val="0"/>
          <w:lang w:eastAsia="zh-CN"/>
        </w:rPr>
        <w:t>)</w:t>
      </w:r>
      <w:r>
        <w:rPr>
          <w:rFonts w:ascii="Times New Roman" w:hAnsi="Times New Roman" w:cs="Times New Roman"/>
          <w:spacing w:val="0"/>
          <w:lang w:eastAsia="zh-CN"/>
        </w:rPr>
        <w:t>浊环水</w:t>
      </w:r>
      <w:r>
        <w:rPr>
          <w:rFonts w:ascii="Times New Roman" w:hAnsi="Times New Roman" w:cs="Times New Roman"/>
          <w:spacing w:val="0"/>
        </w:rPr>
        <w:t>系统</w:t>
      </w:r>
    </w:p>
    <w:p>
      <w:pPr>
        <w:pStyle w:val="712"/>
        <w:spacing w:line="480" w:lineRule="exact"/>
        <w:ind w:firstLine="486" w:firstLineChars="200"/>
        <w:rPr>
          <w:rFonts w:ascii="Times New Roman" w:hAnsi="Times New Roman" w:cs="Times New Roman"/>
          <w:spacing w:val="0"/>
          <w:lang w:eastAsia="zh-CN"/>
        </w:rPr>
      </w:pPr>
      <w:r>
        <w:rPr>
          <w:rFonts w:ascii="Times New Roman" w:hAnsi="Times New Roman" w:cs="Times New Roman"/>
          <w:spacing w:val="0"/>
          <w:lang w:eastAsia="zh-CN"/>
        </w:rPr>
        <w:t>现状浊环水系统详见图3-7。</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518660" cy="1540510"/>
            <wp:effectExtent l="0" t="0" r="0" b="2540"/>
            <wp:docPr id="36" name="图片 36" descr="C:\Users\Administrator\AppData\Roaming\Tencent\Users\86197406\QQ\WinTemp\RichOle\MWPM7S)HQNK4(64EJXK72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Tencent\Users\86197406\QQ\WinTemp\RichOle\MWPM7S)HQNK4(64EJXK72ZY.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42501" cy="1548876"/>
                    </a:xfrm>
                    <a:prstGeom prst="rect">
                      <a:avLst/>
                    </a:prstGeom>
                    <a:noFill/>
                    <a:ln>
                      <a:noFill/>
                    </a:ln>
                  </pic:spPr>
                </pic:pic>
              </a:graphicData>
            </a:graphic>
          </wp:inline>
        </w:drawing>
      </w:r>
    </w:p>
    <w:p>
      <w:pPr>
        <w:pStyle w:val="712"/>
        <w:spacing w:line="480" w:lineRule="exact"/>
        <w:ind w:left="488" w:firstLine="0"/>
        <w:jc w:val="center"/>
        <w:rPr>
          <w:rFonts w:ascii="Times New Roman" w:hAnsi="Times New Roman" w:cs="Times New Roman"/>
          <w:b/>
          <w:spacing w:val="0"/>
          <w:szCs w:val="24"/>
          <w:lang w:val="en-US" w:eastAsia="zh-CN"/>
        </w:rPr>
      </w:pPr>
      <w:r>
        <w:rPr>
          <w:rFonts w:hint="eastAsia" w:ascii="Times New Roman" w:hAnsi="Times New Roman" w:cs="Times New Roman"/>
          <w:b/>
          <w:spacing w:val="0"/>
          <w:szCs w:val="24"/>
          <w:lang w:val="en-US" w:eastAsia="zh-CN"/>
        </w:rPr>
        <w:t>图3-</w:t>
      </w:r>
      <w:r>
        <w:rPr>
          <w:rFonts w:ascii="Times New Roman" w:hAnsi="Times New Roman" w:cs="Times New Roman"/>
          <w:b/>
          <w:spacing w:val="0"/>
          <w:szCs w:val="24"/>
          <w:lang w:val="en-US" w:eastAsia="zh-CN"/>
        </w:rPr>
        <w:t>7</w:t>
      </w:r>
      <w:r>
        <w:rPr>
          <w:rFonts w:hint="eastAsia" w:ascii="Times New Roman" w:hAnsi="Times New Roman" w:cs="Times New Roman"/>
          <w:b/>
          <w:spacing w:val="0"/>
          <w:szCs w:val="24"/>
          <w:lang w:val="en-US" w:eastAsia="zh-CN"/>
        </w:rPr>
        <w:t xml:space="preserve"> 轧钢车间浊环水系统工艺流程图</w:t>
      </w:r>
    </w:p>
    <w:p>
      <w:pPr>
        <w:pStyle w:val="712"/>
        <w:spacing w:line="480" w:lineRule="exact"/>
        <w:ind w:firstLine="486" w:firstLineChars="200"/>
        <w:rPr>
          <w:rFonts w:ascii="宋体" w:hAnsi="宋体"/>
          <w:spacing w:val="0"/>
          <w:lang w:eastAsia="zh-CN"/>
        </w:rPr>
      </w:pPr>
      <w:r>
        <w:rPr>
          <w:rFonts w:hint="eastAsia" w:ascii="宋体" w:hAnsi="宋体"/>
          <w:spacing w:val="0"/>
          <w:lang w:eastAsia="zh-CN"/>
        </w:rPr>
        <w:t>轧机浊环水系统主要是供给加热炉、轧机、轧辊等设备的直接冷却水。</w:t>
      </w:r>
    </w:p>
    <w:p>
      <w:pPr>
        <w:pStyle w:val="712"/>
        <w:spacing w:line="480" w:lineRule="exact"/>
        <w:ind w:firstLine="486" w:firstLineChars="200"/>
        <w:rPr>
          <w:rFonts w:ascii="Times New Roman" w:hAnsi="Times New Roman" w:cs="Times New Roman" w:eastAsiaTheme="minorEastAsia"/>
          <w:spacing w:val="0"/>
          <w:szCs w:val="24"/>
          <w:lang w:eastAsia="zh-CN"/>
        </w:rPr>
      </w:pPr>
      <w:r>
        <w:rPr>
          <w:rFonts w:hint="eastAsia" w:eastAsiaTheme="minorEastAsia"/>
          <w:spacing w:val="0"/>
          <w:szCs w:val="24"/>
        </w:rPr>
        <w:t>根据</w:t>
      </w:r>
      <w:r>
        <w:rPr>
          <w:rFonts w:eastAsiaTheme="minorEastAsia"/>
          <w:spacing w:val="0"/>
          <w:szCs w:val="24"/>
        </w:rPr>
        <w:t>《永兴特钢</w:t>
      </w:r>
      <w:r>
        <w:rPr>
          <w:rFonts w:hint="eastAsia" w:eastAsiaTheme="minorEastAsia"/>
          <w:spacing w:val="0"/>
          <w:szCs w:val="24"/>
        </w:rPr>
        <w:t>轧钢厂</w:t>
      </w:r>
      <w:r>
        <w:rPr>
          <w:rFonts w:eastAsiaTheme="minorEastAsia"/>
          <w:spacing w:val="0"/>
          <w:szCs w:val="24"/>
        </w:rPr>
        <w:t>高线与</w:t>
      </w:r>
      <w:r>
        <w:rPr>
          <w:rFonts w:hint="eastAsia" w:eastAsiaTheme="minorEastAsia"/>
          <w:spacing w:val="0"/>
          <w:szCs w:val="24"/>
        </w:rPr>
        <w:t>卷盘</w:t>
      </w:r>
      <w:r>
        <w:rPr>
          <w:rFonts w:eastAsiaTheme="minorEastAsia"/>
          <w:spacing w:val="0"/>
          <w:szCs w:val="24"/>
        </w:rPr>
        <w:t>复合生产线水处理系统总承包工程技术协议》</w:t>
      </w:r>
      <w:r>
        <w:rPr>
          <w:rFonts w:hint="eastAsia" w:eastAsiaTheme="minorEastAsia"/>
          <w:spacing w:val="0"/>
          <w:szCs w:val="24"/>
          <w:lang w:eastAsia="zh-CN"/>
        </w:rPr>
        <w:t>，</w:t>
      </w:r>
      <w:r>
        <w:rPr>
          <w:rFonts w:hint="eastAsia" w:ascii="Times New Roman" w:hAnsi="Times New Roman" w:cs="Times New Roman" w:eastAsiaTheme="minorEastAsia"/>
          <w:spacing w:val="0"/>
          <w:szCs w:val="24"/>
          <w:lang w:eastAsia="zh-CN"/>
        </w:rPr>
        <w:t>浊环水</w:t>
      </w:r>
      <w:r>
        <w:rPr>
          <w:rFonts w:ascii="Times New Roman" w:hAnsi="Times New Roman" w:cs="Times New Roman" w:eastAsiaTheme="minorEastAsia"/>
          <w:spacing w:val="0"/>
          <w:szCs w:val="24"/>
        </w:rPr>
        <w:t>系统设计最大循环量为2845m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h，主要是供给除磷、轧机、轧辊等设备的直接冷却水。直接冷却水系统特点是在使用过程中与产品直接接触，从而使回水不仅水温升高、水质亦受到污染，故回水直接进入轧机铁皮冲渣沟。这些含铁皮污水流入沉淀池经沉淀去除大颗粒的氧化铁皮后，利用设在沉淀池的泵组，加压后管道输送至直接冷却水高效净化器，再经强化絮凝沉淀、除油后利用余压进去冷却塔进行冷却。直接冷却水循环系统损失由三部分组成：与高温轧件接触后的蒸发、冷却塔蒸发、排水。水量由新水、净环水降级进行补充，最大工况时补充新水量为38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/h</w:t>
      </w:r>
      <w:r>
        <w:rPr>
          <w:rFonts w:ascii="Times New Roman" w:hAnsi="Times New Roman" w:cs="Times New Roman" w:eastAsiaTheme="minorEastAsia"/>
          <w:spacing w:val="0"/>
          <w:szCs w:val="24"/>
          <w:lang w:eastAsia="zh-CN"/>
        </w:rPr>
        <w:t>。</w:t>
      </w:r>
      <w:r>
        <w:rPr>
          <w:rFonts w:hint="eastAsia" w:ascii="Times New Roman" w:hAnsi="Times New Roman" w:cs="Times New Roman" w:eastAsiaTheme="minorEastAsia"/>
          <w:spacing w:val="0"/>
          <w:szCs w:val="24"/>
          <w:lang w:eastAsia="zh-CN"/>
        </w:rPr>
        <w:t>根据</w:t>
      </w:r>
      <w:r>
        <w:rPr>
          <w:rFonts w:ascii="Times New Roman" w:hAnsi="Times New Roman" w:cs="Times New Roman" w:eastAsiaTheme="minorEastAsia"/>
          <w:spacing w:val="0"/>
          <w:szCs w:val="24"/>
          <w:lang w:eastAsia="zh-CN"/>
        </w:rPr>
        <w:t>调查，由于浊环水中长期循环使得氯离子含量增加，</w:t>
      </w:r>
      <w:r>
        <w:rPr>
          <w:rFonts w:ascii="Times New Roman" w:hAnsi="Times New Roman" w:cs="Times New Roman" w:eastAsiaTheme="minorEastAsia"/>
          <w:spacing w:val="0"/>
          <w:szCs w:val="24"/>
        </w:rPr>
        <w:t>氯离子</w:t>
      </w:r>
      <w:r>
        <w:rPr>
          <w:rFonts w:hint="eastAsia" w:ascii="Times New Roman" w:hAnsi="Times New Roman" w:cs="Times New Roman" w:eastAsiaTheme="minorEastAsia"/>
          <w:spacing w:val="0"/>
          <w:szCs w:val="24"/>
        </w:rPr>
        <w:t>对奥氏体不锈会产生点蚀</w:t>
      </w:r>
      <w:r>
        <w:rPr>
          <w:rFonts w:ascii="Times New Roman" w:hAnsi="Times New Roman" w:cs="Times New Roman" w:eastAsiaTheme="minorEastAsia"/>
          <w:spacing w:val="0"/>
          <w:szCs w:val="24"/>
          <w:lang w:eastAsia="zh-CN"/>
        </w:rPr>
        <w:t>，因此企业现状轧钢厂</w:t>
      </w:r>
      <w:r>
        <w:rPr>
          <w:rFonts w:hint="eastAsia" w:ascii="Times New Roman" w:hAnsi="Times New Roman" w:cs="Times New Roman" w:eastAsiaTheme="minorEastAsia"/>
          <w:spacing w:val="0"/>
          <w:szCs w:val="24"/>
          <w:lang w:eastAsia="zh-CN"/>
        </w:rPr>
        <w:t>部分循环水(约循环量</w:t>
      </w:r>
      <w:r>
        <w:rPr>
          <w:rFonts w:ascii="Times New Roman" w:hAnsi="Times New Roman" w:cs="Times New Roman" w:eastAsiaTheme="minorEastAsia"/>
          <w:spacing w:val="0"/>
          <w:szCs w:val="24"/>
          <w:lang w:eastAsia="zh-CN"/>
        </w:rPr>
        <w:t>的</w:t>
      </w:r>
      <w:r>
        <w:rPr>
          <w:rFonts w:hint="eastAsia" w:ascii="Times New Roman" w:hAnsi="Times New Roman" w:cs="Times New Roman" w:eastAsiaTheme="minorEastAsia"/>
          <w:spacing w:val="0"/>
          <w:szCs w:val="24"/>
          <w:lang w:eastAsia="zh-CN"/>
        </w:rPr>
        <w:t>0.</w:t>
      </w:r>
      <w:r>
        <w:rPr>
          <w:rFonts w:ascii="Times New Roman" w:hAnsi="Times New Roman" w:cs="Times New Roman" w:eastAsiaTheme="minorEastAsia"/>
          <w:spacing w:val="0"/>
          <w:szCs w:val="24"/>
          <w:lang w:eastAsia="zh-CN"/>
        </w:rPr>
        <w:t>5%</w:t>
      </w:r>
      <w:r>
        <w:rPr>
          <w:rFonts w:hint="eastAsia" w:ascii="Times New Roman" w:hAnsi="Times New Roman" w:cs="Times New Roman" w:eastAsiaTheme="minorEastAsia"/>
          <w:spacing w:val="0"/>
          <w:szCs w:val="24"/>
          <w:lang w:eastAsia="zh-CN"/>
        </w:rPr>
        <w:t>)</w:t>
      </w:r>
      <w:r>
        <w:rPr>
          <w:rFonts w:ascii="Times New Roman" w:hAnsi="Times New Roman" w:cs="Times New Roman" w:eastAsiaTheme="minorEastAsia"/>
          <w:spacing w:val="0"/>
          <w:szCs w:val="24"/>
          <w:lang w:eastAsia="zh-CN"/>
        </w:rPr>
        <w:t>排放，进入厂区水处理站</w:t>
      </w:r>
      <w:r>
        <w:rPr>
          <w:rFonts w:hint="eastAsia" w:ascii="Times New Roman" w:hAnsi="Times New Roman" w:cs="Times New Roman" w:eastAsiaTheme="minorEastAsia"/>
          <w:spacing w:val="0"/>
          <w:szCs w:val="24"/>
          <w:lang w:eastAsia="zh-CN"/>
        </w:rPr>
        <w:t>处理达标</w:t>
      </w:r>
      <w:r>
        <w:rPr>
          <w:rFonts w:ascii="Times New Roman" w:hAnsi="Times New Roman" w:cs="Times New Roman" w:eastAsiaTheme="minorEastAsia"/>
          <w:spacing w:val="0"/>
          <w:szCs w:val="24"/>
          <w:lang w:eastAsia="zh-CN"/>
        </w:rPr>
        <w:t>后纳管排放。</w:t>
      </w:r>
    </w:p>
    <w:p>
      <w:pPr>
        <w:pStyle w:val="712"/>
        <w:spacing w:line="480" w:lineRule="exact"/>
        <w:ind w:firstLine="486" w:firstLineChars="200"/>
        <w:rPr>
          <w:rFonts w:ascii="Times New Roman" w:hAnsi="Times New Roman" w:cs="Times New Roman" w:eastAsiaTheme="minorEastAsia"/>
          <w:spacing w:val="0"/>
          <w:szCs w:val="24"/>
          <w:lang w:eastAsia="zh-CN"/>
        </w:rPr>
      </w:pPr>
      <w:r>
        <w:rPr>
          <w:rFonts w:hint="eastAsia" w:ascii="Times New Roman" w:hAnsi="Times New Roman" w:cs="Times New Roman" w:eastAsiaTheme="minorEastAsia"/>
          <w:spacing w:val="0"/>
          <w:szCs w:val="24"/>
          <w:lang w:eastAsia="zh-CN"/>
        </w:rPr>
        <w:t>③</w:t>
      </w:r>
      <w:r>
        <w:rPr>
          <w:rFonts w:ascii="Times New Roman" w:hAnsi="Times New Roman" w:cs="Times New Roman" w:eastAsiaTheme="minorEastAsia"/>
          <w:spacing w:val="0"/>
          <w:szCs w:val="24"/>
          <w:lang w:eastAsia="zh-CN"/>
        </w:rPr>
        <w:t>产污环节及治理措施</w:t>
      </w:r>
    </w:p>
    <w:p>
      <w:pPr>
        <w:pStyle w:val="712"/>
        <w:spacing w:line="480" w:lineRule="exact"/>
        <w:ind w:firstLine="486" w:firstLineChars="200"/>
        <w:rPr>
          <w:rFonts w:ascii="Times New Roman" w:hAnsi="Times New Roman" w:cs="Times New Roman" w:eastAsiaTheme="minorEastAsia"/>
          <w:spacing w:val="0"/>
          <w:szCs w:val="24"/>
          <w:lang w:eastAsia="zh-CN"/>
        </w:rPr>
      </w:pPr>
      <w:r>
        <w:rPr>
          <w:rFonts w:hint="eastAsia" w:ascii="Times New Roman" w:hAnsi="Times New Roman" w:cs="Times New Roman" w:eastAsiaTheme="minorEastAsia"/>
          <w:spacing w:val="0"/>
          <w:szCs w:val="24"/>
          <w:lang w:eastAsia="zh-CN"/>
        </w:rPr>
        <w:t>轧钢厂</w:t>
      </w:r>
      <w:r>
        <w:rPr>
          <w:rFonts w:ascii="Times New Roman" w:hAnsi="Times New Roman" w:cs="Times New Roman" w:eastAsiaTheme="minorEastAsia"/>
          <w:spacing w:val="0"/>
          <w:szCs w:val="24"/>
          <w:lang w:eastAsia="zh-CN"/>
        </w:rPr>
        <w:t>产污环节及治理措施详见表</w:t>
      </w:r>
      <w:r>
        <w:rPr>
          <w:rFonts w:hint="eastAsia" w:ascii="Times New Roman" w:hAnsi="Times New Roman" w:cs="Times New Roman" w:eastAsiaTheme="minorEastAsia"/>
          <w:spacing w:val="0"/>
          <w:szCs w:val="24"/>
          <w:lang w:eastAsia="zh-CN"/>
        </w:rPr>
        <w:t>3-8。</w:t>
      </w:r>
    </w:p>
    <w:p>
      <w:pPr>
        <w:pStyle w:val="313"/>
        <w:tabs>
          <w:tab w:val="clear" w:pos="3908"/>
        </w:tabs>
        <w:ind w:left="1122" w:hanging="561"/>
        <w:rPr>
          <w:rFonts w:ascii="Times New Roman" w:hAnsi="Times New Roman"/>
        </w:rPr>
      </w:pPr>
      <w:r>
        <w:rPr>
          <w:rFonts w:hint="eastAsia" w:ascii="Times New Roman" w:hAnsi="Times New Roman"/>
          <w:lang w:eastAsia="zh-CN"/>
        </w:rPr>
        <w:t>轧钢厂</w:t>
      </w: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26"/>
        <w:gridCol w:w="1385"/>
        <w:gridCol w:w="1281"/>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分厂或车间</w:t>
            </w:r>
          </w:p>
        </w:tc>
        <w:tc>
          <w:tcPr>
            <w:tcW w:w="1385"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废气</w:t>
            </w: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新轧钢厂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步进式加热炉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低氮燃烧后通过28m排气筒(DA010)排放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在线固溶炉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纯氧燃烧后通过25m高排气筒(DA011)排放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离线固溶炉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低氮燃烧后通过25m高排气筒(DA005)排放后排放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老轧钢厂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加热炉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w:t>
            </w:r>
            <w:r>
              <w:rPr>
                <w:rFonts w:eastAsia="宋体"/>
                <w:sz w:val="21"/>
                <w:szCs w:val="21"/>
              </w:rPr>
              <w:t>5</w:t>
            </w:r>
            <w:r>
              <w:rPr>
                <w:rFonts w:hint="eastAsia" w:eastAsia="宋体"/>
                <w:sz w:val="21"/>
                <w:szCs w:val="21"/>
              </w:rPr>
              <w:t>m排气筒排放(新轧钢厂</w:t>
            </w:r>
            <w:r>
              <w:rPr>
                <w:rFonts w:eastAsia="宋体"/>
                <w:sz w:val="21"/>
                <w:szCs w:val="21"/>
              </w:rPr>
              <w:t>建成后，</w:t>
            </w:r>
            <w:r>
              <w:rPr>
                <w:rFonts w:hint="eastAsia" w:eastAsia="宋体"/>
                <w:sz w:val="21"/>
                <w:szCs w:val="21"/>
              </w:rPr>
              <w:t>该</w:t>
            </w:r>
            <w:r>
              <w:rPr>
                <w:rFonts w:eastAsia="宋体"/>
                <w:sz w:val="21"/>
                <w:szCs w:val="21"/>
              </w:rPr>
              <w:t>加热炉已拆除</w:t>
            </w: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循环使用，少量排放作为轧钢浊环水（直接冷却水）补充水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浊环水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石油类、氧化铁皮</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经浊环水处理系统(除油+沉淀+过滤+冷却)后大部分回用，</w:t>
            </w:r>
            <w:r>
              <w:rPr>
                <w:rFonts w:eastAsia="宋体"/>
                <w:sz w:val="21"/>
                <w:szCs w:val="21"/>
              </w:rPr>
              <w:t>仅有</w:t>
            </w:r>
            <w:r>
              <w:rPr>
                <w:rFonts w:hint="eastAsia" w:eastAsia="宋体"/>
                <w:sz w:val="21"/>
                <w:szCs w:val="21"/>
              </w:rPr>
              <w:t>0.1</w:t>
            </w:r>
            <w:r>
              <w:rPr>
                <w:rFonts w:eastAsia="宋体"/>
                <w:sz w:val="21"/>
                <w:szCs w:val="21"/>
              </w:rPr>
              <w:t>%的</w:t>
            </w:r>
            <w:r>
              <w:rPr>
                <w:rFonts w:hint="eastAsia" w:eastAsia="宋体"/>
                <w:sz w:val="21"/>
                <w:szCs w:val="21"/>
              </w:rPr>
              <w:t>循环水纳管排放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车间</w:t>
            </w:r>
            <w:r>
              <w:rPr>
                <w:rFonts w:eastAsia="宋体"/>
                <w:sz w:val="21"/>
                <w:szCs w:val="21"/>
              </w:rPr>
              <w:t>地面</w:t>
            </w:r>
            <w:r>
              <w:rPr>
                <w:rFonts w:hint="eastAsia" w:eastAsia="宋体"/>
                <w:sz w:val="21"/>
                <w:szCs w:val="21"/>
              </w:rPr>
              <w:t>打扫</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车间</w:t>
            </w:r>
            <w:r>
              <w:rPr>
                <w:rFonts w:eastAsia="宋体"/>
                <w:sz w:val="21"/>
                <w:szCs w:val="21"/>
              </w:rPr>
              <w:t>地面</w:t>
            </w:r>
            <w:r>
              <w:rPr>
                <w:rFonts w:hint="eastAsia" w:eastAsia="宋体"/>
                <w:sz w:val="21"/>
                <w:szCs w:val="21"/>
              </w:rPr>
              <w:t>打扫</w:t>
            </w:r>
            <w:r>
              <w:rPr>
                <w:rFonts w:eastAsia="宋体"/>
                <w:sz w:val="21"/>
                <w:szCs w:val="21"/>
              </w:rPr>
              <w:t>废水</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进入浊环水系统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员工</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员工生活</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生活污水</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噪声</w:t>
            </w: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w:t>
            </w:r>
            <w:r>
              <w:rPr>
                <w:rFonts w:eastAsia="宋体"/>
                <w:sz w:val="21"/>
                <w:szCs w:val="21"/>
              </w:rPr>
              <w:t>废</w:t>
            </w:r>
          </w:p>
        </w:tc>
        <w:tc>
          <w:tcPr>
            <w:tcW w:w="2211" w:type="dxa"/>
            <w:gridSpan w:val="2"/>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原料包装</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废原料桶</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危险废物，委托有资质单位(湖州南太湖资源回收利用有限公司)处置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一般废包装材料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一般固废，收集暂存后由物资公司回收利用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设备维修</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废润滑油</w:t>
            </w:r>
          </w:p>
        </w:tc>
        <w:tc>
          <w:tcPr>
            <w:tcW w:w="4510"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危险废物，委托有资质单位(宁波大港油料有限公司)处置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浊环水系统</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废油</w:t>
            </w:r>
          </w:p>
        </w:tc>
        <w:tc>
          <w:tcPr>
            <w:tcW w:w="4510" w:type="dxa"/>
            <w:vMerge w:val="continue"/>
            <w:vAlign w:val="center"/>
          </w:tcPr>
          <w:p>
            <w:pPr>
              <w:adjustRightInd w:val="0"/>
              <w:snapToGrid w:val="0"/>
              <w:spacing w:line="30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生产过程</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氧化皮</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废边角料、废刚盘丝等废铁</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废耐火材料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浊环水系统废油</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危险废物，委托有资质单位(宁波大港油料有限公司)处置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员工生活</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生活垃圾</w:t>
            </w:r>
          </w:p>
        </w:tc>
        <w:tc>
          <w:tcPr>
            <w:tcW w:w="4510"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收集后环卫部门清运</w:t>
            </w:r>
          </w:p>
        </w:tc>
      </w:tr>
    </w:tbl>
    <w:p>
      <w:pPr>
        <w:pStyle w:val="712"/>
        <w:spacing w:line="480" w:lineRule="exact"/>
        <w:ind w:left="488" w:firstLine="0"/>
        <w:rPr>
          <w:rFonts w:ascii="Times New Roman" w:hAnsi="Times New Roman" w:cs="Times New Roman"/>
          <w:spacing w:val="0"/>
          <w:szCs w:val="21"/>
          <w:lang w:eastAsia="zh-CN"/>
        </w:rPr>
      </w:pPr>
      <w:r>
        <w:rPr>
          <w:rFonts w:hint="eastAsia" w:ascii="Times New Roman" w:hAnsi="Times New Roman" w:cs="Times New Roman"/>
          <w:spacing w:val="0"/>
          <w:szCs w:val="21"/>
          <w:lang w:eastAsia="zh-CN"/>
        </w:rPr>
        <w:t>4、酸洗精整车间</w:t>
      </w:r>
    </w:p>
    <w:p>
      <w:pPr>
        <w:pStyle w:val="835"/>
        <w:ind w:firstLine="486"/>
        <w:rPr>
          <w:rFonts w:ascii="Times New Roman" w:hAnsi="Times New Roman"/>
        </w:rPr>
      </w:pPr>
      <w:r>
        <w:rPr>
          <w:rFonts w:hint="eastAsia" w:ascii="Times New Roman" w:hAnsi="Times New Roman"/>
        </w:rPr>
        <w:t>①</w:t>
      </w:r>
      <w:r>
        <w:rPr>
          <w:rFonts w:ascii="Times New Roman" w:hAnsi="Times New Roman"/>
        </w:rPr>
        <w:t>生产工艺流程及流程说明</w:t>
      </w:r>
    </w:p>
    <w:p>
      <w:pPr>
        <w:pStyle w:val="835"/>
        <w:ind w:firstLine="486"/>
        <w:rPr>
          <w:rFonts w:ascii="Times New Roman" w:hAnsi="Times New Roman"/>
        </w:rPr>
      </w:pPr>
      <w:r>
        <w:rPr>
          <w:rFonts w:ascii="Times New Roman" w:hAnsi="Times New Roman"/>
        </w:rPr>
        <w:t>来自轧钢车间的盘条，经 HF、HNO</w:t>
      </w:r>
      <w:r>
        <w:rPr>
          <w:rFonts w:ascii="Times New Roman" w:hAnsi="Times New Roman"/>
          <w:vertAlign w:val="subscript"/>
        </w:rPr>
        <w:t>3</w:t>
      </w:r>
      <w:r>
        <w:rPr>
          <w:rFonts w:ascii="Times New Roman" w:hAnsi="Times New Roman"/>
        </w:rPr>
        <w:t xml:space="preserve"> 酸洗去除表面的黑色氧化层， 再以少量碱液中和表面酸液，用水冲洗表面后晾干就得到成品。</w:t>
      </w:r>
    </w:p>
    <w:p>
      <w:pPr>
        <w:pStyle w:val="835"/>
        <w:ind w:firstLine="486"/>
        <w:rPr>
          <w:rFonts w:ascii="Times New Roman" w:hAnsi="Times New Roman"/>
        </w:rPr>
      </w:pPr>
      <w:r>
        <w:rPr>
          <w:rFonts w:ascii="Times New Roman" w:hAnsi="Times New Roman"/>
        </w:rPr>
        <w:t>酸洗车间</w:t>
      </w:r>
      <w:r>
        <w:rPr>
          <w:rFonts w:hint="eastAsia" w:ascii="Times New Roman" w:hAnsi="Times New Roman"/>
        </w:rPr>
        <w:t>设有</w:t>
      </w:r>
      <w:r>
        <w:rPr>
          <w:rFonts w:ascii="Times New Roman" w:hAnsi="Times New Roman"/>
        </w:rPr>
        <w:t>两条生产线，现状在酸洗钝化时所用的酸洗液均为混酸，由硝酸和氢氟酸两种酸组成，硝酸浓度 6~8%，酸洗温度一般</w:t>
      </w:r>
      <w:r>
        <w:rPr>
          <w:rFonts w:hint="eastAsia" w:ascii="Times New Roman" w:hAnsi="Times New Roman"/>
        </w:rPr>
        <w:t>约</w:t>
      </w:r>
      <w:r>
        <w:rPr>
          <w:rFonts w:ascii="Times New Roman" w:hAnsi="Times New Roman"/>
        </w:rPr>
        <w:t>30</w:t>
      </w:r>
      <w:r>
        <w:rPr>
          <w:rFonts w:hint="eastAsia" w:ascii="宋体" w:hAnsi="宋体" w:cs="宋体"/>
          <w:lang w:eastAsia="ja-JP"/>
        </w:rPr>
        <w:t>℃</w:t>
      </w:r>
      <w:r>
        <w:rPr>
          <w:rFonts w:ascii="Times New Roman" w:hAnsi="Times New Roman"/>
        </w:rPr>
        <w:t>，酸洗过程会有一定量的混合酸雾(NOx、HF)产生。</w:t>
      </w:r>
    </w:p>
    <w:p>
      <w:pPr>
        <w:pStyle w:val="835"/>
        <w:ind w:firstLine="486"/>
        <w:rPr>
          <w:rFonts w:ascii="Times New Roman" w:hAnsi="Times New Roman"/>
        </w:rPr>
      </w:pPr>
      <w:r>
        <w:rPr>
          <w:rFonts w:ascii="Times New Roman" w:hAnsi="Times New Roman"/>
        </w:rPr>
        <w:t>1</w:t>
      </w:r>
      <w:r>
        <w:rPr>
          <w:rFonts w:hint="eastAsia" w:ascii="Times New Roman" w:hAnsi="Times New Roman"/>
        </w:rPr>
        <w:t>#酸洗线生产工艺流程详见图3-</w:t>
      </w:r>
      <w:r>
        <w:rPr>
          <w:rFonts w:ascii="Times New Roman" w:hAnsi="Times New Roman"/>
        </w:rPr>
        <w:t>8</w:t>
      </w:r>
      <w:r>
        <w:rPr>
          <w:rFonts w:hint="eastAsia" w:ascii="Times New Roman" w:hAnsi="Times New Roman"/>
        </w:rPr>
        <w:t>，</w:t>
      </w:r>
      <w:r>
        <w:rPr>
          <w:rFonts w:ascii="Times New Roman" w:hAnsi="Times New Roman"/>
        </w:rPr>
        <w:t>2</w:t>
      </w:r>
      <w:r>
        <w:rPr>
          <w:rFonts w:hint="eastAsia" w:ascii="Times New Roman" w:hAnsi="Times New Roman"/>
        </w:rPr>
        <w:t>#酸洗线生产工艺流程详见图3-</w:t>
      </w:r>
      <w:r>
        <w:rPr>
          <w:rFonts w:ascii="Times New Roman" w:hAnsi="Times New Roman"/>
        </w:rPr>
        <w:t>9</w:t>
      </w:r>
      <w:r>
        <w:rPr>
          <w:rFonts w:hint="eastAsia" w:ascii="Times New Roman" w:hAnsi="Times New Roman"/>
        </w:rPr>
        <w:t>。</w:t>
      </w:r>
    </w:p>
    <w:p>
      <w:pPr>
        <w:jc w:val="center"/>
        <w:rPr>
          <w:rFonts w:eastAsia="宋体"/>
          <w:b/>
          <w:sz w:val="24"/>
          <w:szCs w:val="24"/>
        </w:rPr>
      </w:pPr>
      <w:r>
        <w:object>
          <v:shape id="_x0000_i1031" o:spt="75" type="#_x0000_t75" style="height:251.25pt;width:440.25pt;" o:ole="t" filled="f" o:preferrelative="t" stroked="f" coordsize="21600,21600">
            <v:path/>
            <v:fill on="f" focussize="0,0"/>
            <v:stroke on="f" joinstyle="miter"/>
            <v:imagedata r:id="rId35" o:title=""/>
            <o:lock v:ext="edit" aspectratio="t"/>
            <w10:wrap type="none"/>
            <w10:anchorlock/>
          </v:shape>
          <o:OLEObject Type="Embed" ProgID="Visio.Drawing.11" ShapeID="_x0000_i1031" DrawAspect="Content" ObjectID="_1468075731" r:id="rId34">
            <o:LockedField>false</o:LockedField>
          </o:OLEObject>
        </w:object>
      </w:r>
      <w:r>
        <w:rPr>
          <w:rFonts w:eastAsia="宋体"/>
          <w:b/>
          <w:sz w:val="24"/>
          <w:szCs w:val="24"/>
        </w:rPr>
        <w:t>图3-8</w:t>
      </w:r>
      <w:r>
        <w:rPr>
          <w:rFonts w:hint="eastAsia" w:eastAsia="宋体"/>
          <w:b/>
          <w:sz w:val="24"/>
          <w:szCs w:val="24"/>
        </w:rPr>
        <w:t xml:space="preserve">  1#酸洗线</w:t>
      </w:r>
      <w:r>
        <w:rPr>
          <w:rFonts w:eastAsia="宋体"/>
          <w:b/>
          <w:sz w:val="24"/>
          <w:szCs w:val="24"/>
        </w:rPr>
        <w:t>生产工艺流程图</w:t>
      </w:r>
    </w:p>
    <w:p>
      <w:pPr>
        <w:widowControl/>
        <w:jc w:val="left"/>
        <w:rPr>
          <w:rFonts w:ascii="宋体" w:hAnsi="宋体" w:eastAsia="宋体" w:cs="宋体"/>
          <w:kern w:val="0"/>
          <w:sz w:val="24"/>
          <w:szCs w:val="24"/>
        </w:rPr>
      </w:pPr>
      <w:r>
        <w:object>
          <v:shape id="_x0000_i1032" o:spt="75" type="#_x0000_t75" style="height:282.75pt;width:438.75pt;" o:ole="t" filled="f" o:preferrelative="t" stroked="f" coordsize="21600,21600">
            <v:path/>
            <v:fill on="f" focussize="0,0"/>
            <v:stroke on="f" joinstyle="miter"/>
            <v:imagedata r:id="rId37" o:title=""/>
            <o:lock v:ext="edit" aspectratio="t"/>
            <w10:wrap type="none"/>
            <w10:anchorlock/>
          </v:shape>
          <o:OLEObject Type="Embed" ProgID="Visio.Drawing.11" ShapeID="_x0000_i1032" DrawAspect="Content" ObjectID="_1468075732" r:id="rId36">
            <o:LockedField>false</o:LockedField>
          </o:OLEObject>
        </w:object>
      </w:r>
    </w:p>
    <w:p>
      <w:pPr>
        <w:jc w:val="center"/>
        <w:rPr>
          <w:rFonts w:eastAsia="宋体"/>
          <w:b/>
          <w:sz w:val="24"/>
          <w:szCs w:val="24"/>
        </w:rPr>
      </w:pPr>
      <w:r>
        <w:rPr>
          <w:rFonts w:eastAsia="宋体"/>
          <w:b/>
          <w:sz w:val="24"/>
          <w:szCs w:val="24"/>
        </w:rPr>
        <w:t xml:space="preserve">图3-9 </w:t>
      </w:r>
      <w:r>
        <w:rPr>
          <w:rFonts w:hint="eastAsia" w:eastAsia="宋体"/>
          <w:b/>
          <w:sz w:val="24"/>
          <w:szCs w:val="24"/>
        </w:rPr>
        <w:t xml:space="preserve"> 2#酸洗线</w:t>
      </w:r>
      <w:r>
        <w:rPr>
          <w:rFonts w:eastAsia="宋体"/>
          <w:b/>
          <w:sz w:val="24"/>
          <w:szCs w:val="24"/>
        </w:rPr>
        <w:t>生产工艺流程图</w:t>
      </w:r>
    </w:p>
    <w:p>
      <w:pPr>
        <w:pStyle w:val="835"/>
        <w:widowControl w:val="0"/>
        <w:spacing w:line="240" w:lineRule="auto"/>
        <w:ind w:firstLine="480" w:firstLineChars="0"/>
      </w:pPr>
      <w:r>
        <w:rPr>
          <w:rFonts w:hint="eastAsia"/>
        </w:rPr>
        <w:t>②</w:t>
      </w:r>
      <w:r>
        <w:t>废酸再生</w:t>
      </w:r>
    </w:p>
    <w:p>
      <w:pPr>
        <w:pStyle w:val="835"/>
        <w:widowControl w:val="0"/>
        <w:spacing w:line="240" w:lineRule="auto"/>
        <w:ind w:firstLine="480" w:firstLineChars="0"/>
        <w:rPr>
          <w:rFonts w:ascii="Times New Roman" w:hAnsi="Times New Roman"/>
        </w:rPr>
      </w:pPr>
      <w:r>
        <w:rPr>
          <w:rFonts w:ascii="Times New Roman" w:hAnsi="Times New Roman"/>
        </w:rPr>
        <w:t>精整酸洗车间废酸再生工艺流程详见图3-10。</w:t>
      </w:r>
    </w:p>
    <w:p>
      <w:pPr>
        <w:widowControl/>
        <w:jc w:val="left"/>
        <w:rPr>
          <w:rFonts w:ascii="宋体" w:hAnsi="宋体" w:eastAsia="宋体" w:cs="宋体"/>
          <w:kern w:val="0"/>
          <w:sz w:val="24"/>
          <w:szCs w:val="24"/>
        </w:rPr>
      </w:pPr>
      <w:r>
        <w:rPr>
          <w:rFonts w:ascii="宋体" w:hAnsi="宋体" w:eastAsia="宋体" w:cs="宋体"/>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4251325</wp:posOffset>
                </wp:positionH>
                <wp:positionV relativeFrom="paragraph">
                  <wp:posOffset>2465070</wp:posOffset>
                </wp:positionV>
                <wp:extent cx="474345" cy="323850"/>
                <wp:effectExtent l="0" t="0" r="1905" b="0"/>
                <wp:wrapNone/>
                <wp:docPr id="46" name="矩形 46"/>
                <wp:cNvGraphicFramePr/>
                <a:graphic xmlns:a="http://schemas.openxmlformats.org/drawingml/2006/main">
                  <a:graphicData uri="http://schemas.microsoft.com/office/word/2010/wordprocessingShape">
                    <wps:wsp>
                      <wps:cNvSpPr/>
                      <wps:spPr>
                        <a:xfrm>
                          <a:off x="0" y="0"/>
                          <a:ext cx="474345" cy="323850"/>
                        </a:xfrm>
                        <a:prstGeom prst="rect">
                          <a:avLst/>
                        </a:prstGeom>
                        <a:solidFill>
                          <a:srgbClr val="FFFFFF"/>
                        </a:solidFill>
                        <a:ln w="25400" cap="flat" cmpd="sng" algn="ctr">
                          <a:noFill/>
                          <a:prstDash val="solid"/>
                        </a:ln>
                        <a:effectLst/>
                      </wps:spPr>
                      <wps:txbx>
                        <w:txbxContent>
                          <w:p>
                            <w:pPr>
                              <w:jc w:val="center"/>
                              <w:rPr>
                                <w:rFonts w:asciiTheme="minorEastAsia" w:hAnsiTheme="minorEastAsia" w:eastAsiaTheme="minorEastAsia"/>
                                <w:color w:val="000000" w:themeColor="text1"/>
                                <w:sz w:val="2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75pt;margin-top:194.1pt;height:25.5pt;width:37.35pt;z-index:251669504;v-text-anchor:middle;mso-width-relative:page;mso-height-relative:page;" fillcolor="#FFFFFF" filled="t" stroked="f" coordsize="21600,21600" o:gfxdata="UEsDBAoAAAAAAIdO4kAAAAAAAAAAAAAAAAAEAAAAZHJzL1BLAwQUAAAACACHTuJA7GltddcAAAAL&#10;AQAADwAAAGRycy9kb3ducmV2LnhtbE2PwU7DMAyG70i8Q2QkbixdW0pXmk4CCXFmm3ZOG6+t1jhV&#10;km3l7TEnuNnyp9/fX28XO4kr+jA6UrBeJSCQOmdG6hUc9h9PJYgQNRk9OUIF3xhg29zf1boy7kZf&#10;eN3FXnAIhUorGGKcKylDN6DVYeVmJL6dnLc68up7aby+cbidZJokhbR6JP4w6BnfB+zOu4tVIOMn&#10;nvdLeqQsyXX75k+H4yyVenxYJ68gIi7xD4ZffVaHhp1adyETxKSgKDbPjCrIyjIFwcRLnvPQKsiz&#10;TQqyqeX/Ds0PUEsDBBQAAAAIAIdO4kBd7gBKUgIAAIAEAAAOAAAAZHJzL2Uyb0RvYy54bWytVEtu&#10;2zAQ3RfoHQjuG/kjJ6kROTASuCgQNAHcomuaIi0BJIcd0pbTyxTorofIcYpeo0NKcdLPqqgW1Axn&#10;NJ83b3RxebCG7RWGFlzFxycjzpSTULduW/EP71evzjkLUbhaGHCq4vcq8MvFyxcXnZ+rCTRgaoWM&#10;grgw73zFmxj9vCiCbJQV4QS8cmTUgFZEUnFb1Cg6im5NMRmNTosOsPYIUoVAt9e9kS9yfK2VjLda&#10;BxWZqTjVFvOJ+dyks1hciPkWhW9aOZQh/qEKK1pHSY+hrkUUbIftH6FsKxEC6HgiwRagdStV7oG6&#10;GY9+62bdCK9yLwRO8EeYwv8LK9/t75C1dcXLU86csDSjH1++fX/4yuiC0Ol8mJPT2t/hoAUSU6sH&#10;jTa9qQl2yIjeHxFVh8gkXZZn5bSccSbJNJ1Mz2cZ8eLpY48hvlFgWRIqjjSwjKPY34RICcn10SXl&#10;CmDaetUakxXcbq4Msr2g4a7ykyqmT35xM451FZ/MyhERQAoimTYikmg9tR3cljNhtsReGTHndpAy&#10;UKQ+97UITZ8jhx1SGJfsKlNsKDVB1YOTpHjYHAbENlDfE8oIPf2Cl6uW2r0RId4JJL5RYbRD8ZYO&#10;bYCqhUHirAH8/Lf75E80ICtnHfGXOvm0E6g4M28dEeT1uCwT4bNSzs4mpOBzy+a5xe3sFRCKY9pW&#10;L7OY/KN5FDWC/UirtkxZySScpNw9ZoNyFfu9omWVarnMbkRyL+KNW3uZgifIHCx3EXSbp5uA6tGh&#10;uSWFaJ4nOKxk2qPnevZ6+nE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saW111wAAAAsBAAAP&#10;AAAAAAAAAAEAIAAAACIAAABkcnMvZG93bnJldi54bWxQSwECFAAUAAAACACHTuJAXe4ASlICAACA&#10;BAAADgAAAAAAAAABACAAAAAmAQAAZHJzL2Uyb0RvYy54bWxQSwUGAAAAAAYABgBZAQAA6gUAAAAA&#10;">
                <v:fill on="t" focussize="0,0"/>
                <v:stroke on="f" weight="2pt"/>
                <v:imagedata o:title=""/>
                <o:lock v:ext="edit" aspectratio="f"/>
                <v:textbox>
                  <w:txbxContent>
                    <w:p>
                      <w:pPr>
                        <w:jc w:val="center"/>
                        <w:rPr>
                          <w:rFonts w:asciiTheme="minorEastAsia" w:hAnsiTheme="minorEastAsia" w:eastAsiaTheme="minorEastAsia"/>
                          <w:color w:val="000000" w:themeColor="text1"/>
                          <w:sz w:val="21"/>
                          <w:szCs w:val="21"/>
                          <w14:textFill>
                            <w14:solidFill>
                              <w14:schemeClr w14:val="tx1"/>
                            </w14:solidFill>
                          </w14:textFill>
                        </w:rPr>
                      </w:pPr>
                    </w:p>
                  </w:txbxContent>
                </v:textbox>
              </v:rect>
            </w:pict>
          </mc:Fallback>
        </mc:AlternateContent>
      </w:r>
      <w:r>
        <w:rPr>
          <w:rFonts w:ascii="宋体" w:hAnsi="宋体" w:eastAsia="宋体" w:cs="宋体"/>
          <w:kern w:val="0"/>
          <w:sz w:val="24"/>
          <w:szCs w:val="24"/>
        </w:rPr>
        <mc:AlternateContent>
          <mc:Choice Requires="wps">
            <w:drawing>
              <wp:anchor distT="0" distB="0" distL="114300" distR="114300" simplePos="0" relativeHeight="251667456" behindDoc="0" locked="0" layoutInCell="1" allowOverlap="1">
                <wp:simplePos x="0" y="0"/>
                <wp:positionH relativeFrom="column">
                  <wp:posOffset>4441190</wp:posOffset>
                </wp:positionH>
                <wp:positionV relativeFrom="paragraph">
                  <wp:posOffset>2703195</wp:posOffset>
                </wp:positionV>
                <wp:extent cx="1266825" cy="323850"/>
                <wp:effectExtent l="0" t="0" r="9525" b="0"/>
                <wp:wrapNone/>
                <wp:docPr id="1" name="矩形 1"/>
                <wp:cNvGraphicFramePr/>
                <a:graphic xmlns:a="http://schemas.openxmlformats.org/drawingml/2006/main">
                  <a:graphicData uri="http://schemas.microsoft.com/office/word/2010/wordprocessingShape">
                    <wps:wsp>
                      <wps:cNvSpPr/>
                      <wps:spPr>
                        <a:xfrm>
                          <a:off x="0" y="0"/>
                          <a:ext cx="1266825" cy="32385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去</w:t>
                            </w:r>
                            <w:r>
                              <w:rPr>
                                <w:rFonts w:asciiTheme="minorEastAsia" w:hAnsiTheme="minorEastAsia" w:eastAsiaTheme="minorEastAsia"/>
                                <w:color w:val="000000" w:themeColor="text1"/>
                                <w:sz w:val="21"/>
                                <w:szCs w:val="21"/>
                                <w14:textFill>
                                  <w14:solidFill>
                                    <w14:schemeClr w14:val="tx1"/>
                                  </w14:solidFill>
                                </w14:textFill>
                              </w:rPr>
                              <w:t>酸洗废水处理站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7pt;margin-top:212.85pt;height:25.5pt;width:99.75pt;z-index:251667456;v-text-anchor:middle;mso-width-relative:page;mso-height-relative:page;" fillcolor="#FFFFFF" filled="t" stroked="f" coordsize="21600,21600" o:gfxdata="UEsDBAoAAAAAAIdO4kAAAAAAAAAAAAAAAAAEAAAAZHJzL1BLAwQUAAAACACHTuJA0QBzcdcAAAAL&#10;AQAADwAAAGRycy9kb3ducmV2LnhtbE2Py07DMBBF90j9B2uQ2FG7IeRFnEpFQqxpq66deJpEjceR&#10;7bbh7zErWM7M0Z1z6+1iJnZD50dLEjZrAQyps3qkXsLx8PFcAPNBkVaTJZTwjR62zeqhVpW2d/rC&#10;2z70LIaQr5SEIYS54tx3Axrl13ZGirezdUaFOLqea6fuMdxMPBEi40aNFD8Masb3AbvL/mok8PCJ&#10;l8OSnOhFpKrdufPxNHMpnx434g1YwCX8wfCrH9WhiU6tvZL2bJKQlWUaUQlp8poDi0RRFiWwNm7y&#10;LAfe1Px/h+YHUEsDBBQAAAAIAIdO4kAusv/nSgIAAHEEAAAOAAAAZHJzL2Uyb0RvYy54bWytVM1u&#10;2zAMvg/YOwi6L07cJOuCOkXQIsOAYC3QDTsrshQbkESNUuJkLzNgtz3EHmfYa4yS3Z/9nIb5IJMi&#10;zY/8SPri8mgNOygMLbiKT0ZjzpSTULduV/H379YvzjkLUbhaGHCq4icV+OXy+bOLzi9UCQ2YWiGj&#10;IC4sOl/xJka/KIogG2VFGIFXjowa0IpIKu6KGkVH0a0pyvF4XnSAtUeQKgS6ve6NfJnja61kvNE6&#10;qMhMxSm3mE/M5zadxfJCLHYofNPKIQ3xD1lY0ToCfQh1LaJge2z/CGVbiRBAx5EEW4DWrVS5Bqpm&#10;Mv6tmrtGeJVrIXKCf6Ap/L+w8u3hFllbU+84c8JSi358/vr92xc2Sdx0PizI5c7f4qAFElOhR402&#10;vakEdsx8nh74VMfIJF1Oyvn8vJxxJsl2Vp6dzzLhxePXHkN8rcCyJFQcqV+ZRnHYhEiI5HrvksAC&#10;mLZet8ZkBXfbK4PsIKi36/yklOmTX9yMY13Fy9l0TP2XgmZMGxFJtJ6qDm7HmTA7Gl4ZMWM7SAgU&#10;qce+FqHpMXLYAcI4Qkrs9HwkKR63x4GkLdQnohWhn7fg5bqlAjcixFuBNGCUCi1NvKFDG6D8YJA4&#10;awA//e0++VPfycpZRwNLuX/cC1ScmTeOJuLVZDpNE56V6exlSQo+tWyfWtzeXgHxRl2n7LKY/KO5&#10;FzWC/UC7tUqoZBJOEnbP0qBcxX6RaDulWq2yG021F3Hj7rxMwROJDlb7CLrN/UxE9ewM/NFc554N&#10;O5gW56mevR7/FM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QBzcdcAAAALAQAADwAAAAAAAAAB&#10;ACAAAAAiAAAAZHJzL2Rvd25yZXYueG1sUEsBAhQAFAAAAAgAh07iQC6y/+dKAgAAcQQAAA4AAAAA&#10;AAAAAQAgAAAAJgEAAGRycy9lMm9Eb2MueG1sUEsFBgAAAAAGAAYAWQEAAOIFAAAAAA==&#10;">
                <v:fill on="t" focussize="0,0"/>
                <v:stroke on="f" weight="2pt"/>
                <v:imagedata o:title=""/>
                <o:lock v:ext="edit" aspectratio="f"/>
                <v:textbox>
                  <w:txbxContent>
                    <w:p>
                      <w:pPr>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去</w:t>
                      </w:r>
                      <w:r>
                        <w:rPr>
                          <w:rFonts w:asciiTheme="minorEastAsia" w:hAnsiTheme="minorEastAsia" w:eastAsiaTheme="minorEastAsia"/>
                          <w:color w:val="000000" w:themeColor="text1"/>
                          <w:sz w:val="21"/>
                          <w:szCs w:val="21"/>
                          <w14:textFill>
                            <w14:solidFill>
                              <w14:schemeClr w14:val="tx1"/>
                            </w14:solidFill>
                          </w14:textFill>
                        </w:rPr>
                        <w:t>酸洗废水处理站</w:t>
                      </w:r>
                    </w:p>
                  </w:txbxContent>
                </v:textbox>
              </v:rect>
            </w:pict>
          </mc:Fallback>
        </mc:AlternateContent>
      </w:r>
      <w:r>
        <w:rPr>
          <w:rFonts w:ascii="宋体" w:hAnsi="宋体" w:eastAsia="宋体" w:cs="宋体"/>
          <w:kern w:val="0"/>
          <w:sz w:val="24"/>
          <w:szCs w:val="24"/>
        </w:rPr>
        <w:drawing>
          <wp:inline distT="0" distB="0" distL="0" distR="0">
            <wp:extent cx="4732020" cy="2974975"/>
            <wp:effectExtent l="0" t="0" r="0" b="0"/>
            <wp:docPr id="38" name="图片 38" descr="C:\Users\Administrator\AppData\Roaming\Tencent\Users\86197406\QQ\WinTemp\RichOle\}1W`]$1XYH}RRTZGTCFA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AppData\Roaming\Tencent\Users\86197406\QQ\WinTemp\RichOle\}1W`]$1XYH}RRTZGTCFAC7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39015" cy="2979381"/>
                    </a:xfrm>
                    <a:prstGeom prst="rect">
                      <a:avLst/>
                    </a:prstGeom>
                    <a:noFill/>
                    <a:ln>
                      <a:noFill/>
                    </a:ln>
                  </pic:spPr>
                </pic:pic>
              </a:graphicData>
            </a:graphic>
          </wp:inline>
        </w:drawing>
      </w:r>
    </w:p>
    <w:p>
      <w:pPr>
        <w:jc w:val="center"/>
        <w:rPr>
          <w:rFonts w:eastAsia="宋体"/>
          <w:b/>
          <w:sz w:val="24"/>
          <w:szCs w:val="24"/>
        </w:rPr>
      </w:pPr>
      <w:r>
        <w:rPr>
          <w:rFonts w:eastAsia="宋体"/>
          <w:b/>
          <w:sz w:val="24"/>
          <w:szCs w:val="24"/>
        </w:rPr>
        <w:t xml:space="preserve">图3-10 </w:t>
      </w:r>
      <w:r>
        <w:rPr>
          <w:rFonts w:hint="eastAsia" w:eastAsia="宋体"/>
          <w:b/>
          <w:sz w:val="24"/>
          <w:szCs w:val="24"/>
        </w:rPr>
        <w:t>废酸再生</w:t>
      </w:r>
      <w:r>
        <w:rPr>
          <w:rFonts w:eastAsia="宋体"/>
          <w:b/>
          <w:sz w:val="24"/>
          <w:szCs w:val="24"/>
        </w:rPr>
        <w:t>工艺流程图</w:t>
      </w:r>
    </w:p>
    <w:p>
      <w:pPr>
        <w:pStyle w:val="835"/>
        <w:widowControl w:val="0"/>
        <w:spacing w:before="0" w:line="480" w:lineRule="exact"/>
        <w:ind w:firstLine="480" w:firstLineChars="0"/>
      </w:pPr>
      <w:r>
        <w:rPr>
          <w:rFonts w:hint="eastAsia"/>
        </w:rPr>
        <w:t>废酸再生</w:t>
      </w:r>
      <w:r>
        <w:t>工艺说明：</w:t>
      </w:r>
    </w:p>
    <w:p>
      <w:pPr>
        <w:pStyle w:val="835"/>
        <w:spacing w:before="0" w:line="480" w:lineRule="exact"/>
        <w:ind w:firstLine="486"/>
        <w:rPr>
          <w:rFonts w:ascii="Times New Roman" w:hAnsi="Times New Roman"/>
        </w:rPr>
      </w:pPr>
      <w:r>
        <w:rPr>
          <w:rFonts w:ascii="Times New Roman" w:hAnsi="Times New Roman"/>
        </w:rPr>
        <w:t>1）酸洗过程中排放的废酸液储存于厂内的废酸储存池中，废酸储存池容积20m</w:t>
      </w:r>
      <w:r>
        <w:rPr>
          <w:rFonts w:ascii="Times New Roman" w:hAnsi="Times New Roman"/>
          <w:vertAlign w:val="superscript"/>
        </w:rPr>
        <w:t>3</w:t>
      </w:r>
      <w:r>
        <w:rPr>
          <w:rFonts w:ascii="Times New Roman" w:hAnsi="Times New Roman"/>
        </w:rPr>
        <w:t>，可容纳1天的废酸排放量；然后用泵送至回收场地的废酸缓冲罐，根据废酸缓冲罐的液位补充废酸。</w:t>
      </w:r>
    </w:p>
    <w:p>
      <w:pPr>
        <w:pStyle w:val="835"/>
        <w:spacing w:before="0" w:line="480" w:lineRule="exact"/>
        <w:ind w:firstLine="486"/>
        <w:rPr>
          <w:rFonts w:ascii="Times New Roman" w:hAnsi="Times New Roman"/>
        </w:rPr>
      </w:pPr>
      <w:r>
        <w:rPr>
          <w:rFonts w:ascii="Times New Roman" w:hAnsi="Times New Roman"/>
        </w:rPr>
        <w:t>2）废酸经过滤器（内填树脂）粗滤，然后再经精密过滤可去除废酸中颗粒杂质和结晶体，以保证后续的回收系统正常运行，过滤后的酸进入酸中间槽，根据酸控制槽的液位自动补充给酸控制补充酸；</w:t>
      </w:r>
    </w:p>
    <w:p>
      <w:pPr>
        <w:pStyle w:val="835"/>
        <w:spacing w:before="0" w:line="480" w:lineRule="exact"/>
        <w:ind w:firstLine="486"/>
        <w:rPr>
          <w:rFonts w:ascii="Times New Roman" w:hAnsi="Times New Roman"/>
        </w:rPr>
      </w:pPr>
      <w:r>
        <w:rPr>
          <w:rFonts w:ascii="Times New Roman" w:hAnsi="Times New Roman"/>
        </w:rPr>
        <w:t>3）酸控制槽内的废酸经泵送入全自动离子交换树脂酸回收系统，游离酸被固定于树脂床内，金属杂质随废水被排除进入废液槽，泵送至废水处理站；</w:t>
      </w:r>
      <w:r>
        <w:rPr>
          <w:rFonts w:hint="eastAsia" w:ascii="Times New Roman" w:hAnsi="Times New Roman"/>
        </w:rPr>
        <w:t xml:space="preserve"> </w:t>
      </w:r>
    </w:p>
    <w:p>
      <w:pPr>
        <w:pStyle w:val="835"/>
        <w:spacing w:before="0" w:line="480" w:lineRule="exact"/>
        <w:ind w:firstLine="486"/>
        <w:rPr>
          <w:rFonts w:ascii="Times New Roman" w:hAnsi="Times New Roman"/>
        </w:rPr>
      </w:pPr>
      <w:r>
        <w:rPr>
          <w:rFonts w:ascii="Times New Roman" w:hAnsi="Times New Roman"/>
        </w:rPr>
        <w:t>4）树脂吸附一段时间后即转入再生程序，再生液为自来水，由再生控制槽泵送至回收系统内，再生时游离酸从树脂床上脱离进入水中，即得再生酸，进入再生酸槽待回用；离子交换树脂</w:t>
      </w:r>
      <w:r>
        <w:rPr>
          <w:rFonts w:hint="eastAsia" w:ascii="Times New Roman" w:hAnsi="Times New Roman"/>
        </w:rPr>
        <w:t>使用至今</w:t>
      </w:r>
      <w:r>
        <w:rPr>
          <w:rFonts w:ascii="Times New Roman" w:hAnsi="Times New Roman"/>
        </w:rPr>
        <w:t>未进行更换。</w:t>
      </w:r>
    </w:p>
    <w:p>
      <w:pPr>
        <w:pStyle w:val="835"/>
        <w:spacing w:before="0" w:line="480" w:lineRule="exact"/>
        <w:ind w:firstLine="486"/>
        <w:rPr>
          <w:rFonts w:ascii="Times New Roman" w:hAnsi="Times New Roman"/>
        </w:rPr>
      </w:pPr>
      <w:r>
        <w:rPr>
          <w:rFonts w:ascii="Times New Roman" w:hAnsi="Times New Roman"/>
        </w:rPr>
        <w:t>5）系统采用全自动控制程序并具有自动检错功能，开机后可自动运行、再生，每个处理周期约15分钟，产酸量为250L</w:t>
      </w:r>
      <w:r>
        <w:rPr>
          <w:rFonts w:hint="eastAsia" w:ascii="Times New Roman" w:hAnsi="Times New Roman"/>
        </w:rPr>
        <w:t>，</w:t>
      </w:r>
      <w:r>
        <w:rPr>
          <w:rFonts w:ascii="Times New Roman" w:hAnsi="Times New Roman"/>
        </w:rPr>
        <w:t>每小时可处理4个周期，即每小时的产酸能力为1000L。系统出现故障，PLC程序将会终止系统的运行并报告错误，以方便操作人员及时排除故障。</w:t>
      </w:r>
      <w:r>
        <w:rPr>
          <w:rFonts w:hint="eastAsia" w:ascii="Times New Roman" w:hAnsi="Times New Roman"/>
        </w:rPr>
        <w:t>废酸液中含有 Fe、Cr、Ni等金属离子，pH小于1。废酸液拟排入废酸槽罐内，由管道压力输送进入减压蒸馏废酸回收装置进行处理。</w:t>
      </w:r>
    </w:p>
    <w:p>
      <w:pPr>
        <w:pStyle w:val="835"/>
        <w:widowControl w:val="0"/>
        <w:spacing w:before="0" w:line="480" w:lineRule="exact"/>
        <w:ind w:firstLine="480" w:firstLineChars="0"/>
        <w:rPr>
          <w:rFonts w:ascii="Times New Roman" w:hAnsi="Times New Roman"/>
        </w:rPr>
      </w:pPr>
      <w:r>
        <w:rPr>
          <w:rFonts w:hint="eastAsia" w:ascii="Times New Roman" w:hAnsi="Times New Roman"/>
        </w:rPr>
        <w:t>③酸洗废水</w:t>
      </w:r>
      <w:r>
        <w:rPr>
          <w:rFonts w:ascii="Times New Roman" w:hAnsi="Times New Roman"/>
        </w:rPr>
        <w:t>处理站</w:t>
      </w:r>
    </w:p>
    <w:p>
      <w:pPr>
        <w:pStyle w:val="835"/>
        <w:widowControl w:val="0"/>
        <w:spacing w:before="0" w:line="480" w:lineRule="exact"/>
        <w:ind w:firstLine="480" w:firstLineChars="0"/>
        <w:rPr>
          <w:rFonts w:ascii="Times New Roman" w:hAnsi="Times New Roman"/>
        </w:rPr>
      </w:pPr>
      <w:r>
        <w:rPr>
          <w:rFonts w:hint="eastAsia" w:ascii="Times New Roman" w:hAnsi="Times New Roman"/>
        </w:rPr>
        <w:t>酸洗废水</w:t>
      </w:r>
      <w:r>
        <w:rPr>
          <w:rFonts w:ascii="Times New Roman" w:hAnsi="Times New Roman"/>
        </w:rPr>
        <w:t>处理工艺流程</w:t>
      </w:r>
      <w:r>
        <w:rPr>
          <w:rFonts w:hint="eastAsia" w:ascii="Times New Roman" w:hAnsi="Times New Roman"/>
        </w:rPr>
        <w:t>详见</w:t>
      </w:r>
      <w:r>
        <w:rPr>
          <w:rFonts w:ascii="Times New Roman" w:hAnsi="Times New Roman"/>
        </w:rPr>
        <w:t>图</w:t>
      </w:r>
      <w:r>
        <w:rPr>
          <w:rFonts w:hint="eastAsia" w:ascii="Times New Roman" w:hAnsi="Times New Roman"/>
        </w:rPr>
        <w:t>3-1</w:t>
      </w:r>
      <w:r>
        <w:rPr>
          <w:rFonts w:ascii="Times New Roman" w:hAnsi="Times New Roman"/>
        </w:rPr>
        <w:t>1</w:t>
      </w:r>
      <w:r>
        <w:rPr>
          <w:rFonts w:hint="eastAsia" w:ascii="Times New Roman" w:hAnsi="Times New Roman"/>
        </w:rPr>
        <w:t>。</w:t>
      </w:r>
    </w:p>
    <w:p>
      <w:pPr>
        <w:widowControl/>
        <w:jc w:val="center"/>
        <w:rPr>
          <w:rFonts w:ascii="宋体" w:hAnsi="宋体" w:eastAsia="宋体" w:cs="宋体"/>
          <w:kern w:val="0"/>
          <w:sz w:val="24"/>
          <w:szCs w:val="24"/>
        </w:rPr>
      </w:pPr>
      <w:r>
        <w:rPr>
          <w:rFonts w:ascii="宋体" w:hAnsi="宋体" w:eastAsia="宋体" w:cs="宋体"/>
          <w:kern w:val="0"/>
          <w:sz w:val="24"/>
          <w:szCs w:val="24"/>
        </w:rPr>
        <mc:AlternateContent>
          <mc:Choice Requires="wps">
            <w:drawing>
              <wp:anchor distT="0" distB="0" distL="114300" distR="114300" simplePos="0" relativeHeight="251780096" behindDoc="0" locked="0" layoutInCell="1" allowOverlap="1">
                <wp:simplePos x="0" y="0"/>
                <wp:positionH relativeFrom="column">
                  <wp:posOffset>1927225</wp:posOffset>
                </wp:positionH>
                <wp:positionV relativeFrom="paragraph">
                  <wp:posOffset>1513840</wp:posOffset>
                </wp:positionV>
                <wp:extent cx="1304925" cy="323850"/>
                <wp:effectExtent l="0" t="0" r="9525" b="0"/>
                <wp:wrapNone/>
                <wp:docPr id="64" name="矩形 64"/>
                <wp:cNvGraphicFramePr/>
                <a:graphic xmlns:a="http://schemas.openxmlformats.org/drawingml/2006/main">
                  <a:graphicData uri="http://schemas.microsoft.com/office/word/2010/wordprocessingShape">
                    <wps:wsp>
                      <wps:cNvSpPr/>
                      <wps:spPr>
                        <a:xfrm>
                          <a:off x="0" y="0"/>
                          <a:ext cx="1304925" cy="323850"/>
                        </a:xfrm>
                        <a:prstGeom prst="rect">
                          <a:avLst/>
                        </a:prstGeom>
                        <a:solidFill>
                          <a:srgbClr val="FFFFFF"/>
                        </a:solidFill>
                        <a:ln w="25400" cap="flat" cmpd="sng" algn="ctr">
                          <a:noFill/>
                          <a:prstDash val="solid"/>
                        </a:ln>
                        <a:effectLst/>
                      </wps:spPr>
                      <wps:txbx>
                        <w:txbxContent>
                          <w:p>
                            <w:pPr>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回用于</w:t>
                            </w:r>
                            <w:r>
                              <w:rPr>
                                <w:rFonts w:asciiTheme="minorEastAsia" w:hAnsiTheme="minorEastAsia" w:eastAsiaTheme="minorEastAsia"/>
                                <w:color w:val="000000" w:themeColor="text1"/>
                                <w:sz w:val="21"/>
                                <w:szCs w:val="21"/>
                                <w14:textFill>
                                  <w14:solidFill>
                                    <w14:schemeClr w14:val="tx1"/>
                                  </w14:solidFill>
                                </w14:textFill>
                              </w:rPr>
                              <w:t>钢渣车间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5pt;margin-top:119.2pt;height:25.5pt;width:102.75pt;z-index:251780096;v-text-anchor:middle;mso-width-relative:page;mso-height-relative:page;" fillcolor="#FFFFFF" filled="t" stroked="f" coordsize="21600,21600" o:gfxdata="UEsDBAoAAAAAAIdO4kAAAAAAAAAAAAAAAAAEAAAAZHJzL1BLAwQUAAAACACHTuJAxn8vHdYAAAAL&#10;AQAADwAAAGRycy9kb3ducmV2LnhtbE2PwW7CMAyG75P2DpGRdhsJbUGlNEXapGnnAeKcNqataJyq&#10;CdC9/bzTdrT96ff3l/vZDeKOU+g9aVgtFQikxtueWg2n48drDiJEQ9YMnlDDNwbYV89PpSmsf9AX&#10;3g+xFRxCoTAauhjHQsrQdOhMWPoRiW8XPzkTeZxaaSfz4HA3yESpjXSmJ/7QmRHfO2yuh5vTIOMn&#10;Xo9zcqZUZaZ+my6n8yi1flms1A5ExDn+wfCrz+pQsVPtb2SDGDSkKl0zqiFJ8wwEE2u15XY1b/Jt&#10;BrIq5f8O1Q9QSwMEFAAAAAgAh07iQNBEVk9TAgAAgQQAAA4AAABkcnMvZTJvRG9jLnhtbK1UzW7b&#10;MAy+D9g7CLqvTtKka4M6RdAiw4BgDZANOyuyFBuQRI1S4nQvM2C3PUQfZ9hrjJLdNPs5DfNBJkWa&#10;Px8/+vrmYA3bKwwNuJIPzwacKSehaty25B/eL15dchaicJUw4FTJH1TgN7OXL65bP1UjqMFUChkF&#10;cWHa+pLXMfppUQRZKyvCGXjlyKgBrYik4raoULQU3ZpiNBhcFC1g5RGkCoFu7zojn+X4WisZ77UO&#10;KjJTcqot5hPzuUlnMbsW0y0KXzeyL0P8QxVWNI6SHkPdiSjYDps/QtlGIgTQ8UyCLUDrRqrcA3Uz&#10;HPzWzboWXuVeCJzgjzCF/xdWvtuvkDVVyS/GnDlhaUY/vnz7/viV0QWh0/owJae1X2GvBRJTqweN&#10;Nr2pCXbIiD4cEVWHyCRdDs8H46vRhDNJtvPR+eUkQ148f+0xxDcKLEtCyZEmloEU+2WIlJFcn1xS&#10;sgCmqRaNMVnB7ebWINsLmu4iP6lk+uQXN+NYW/LRZDwgBkhBLNNGRBKtp76D23ImzJboKyPm3A5S&#10;BorU5b4Toe5y5LB9CuOSXWWO9aUmrDp0khQPm0MP2QaqB4IZoeNf8HLRULtLEeJKIBGOCqMlivd0&#10;aANULfQSZzXg57/dJ3/iAVk5a4nA1MmnnUDFmXnriCFXw/E4MT4r48nrESl4atmcWtzO3gKhOKR1&#10;9TKLyT+aJ1Ej2I+0a/OUlUzCScrdYdYrt7FbLNpWqebz7EYs9yIu3drLFDxB5mC+i6CbPN0EVIcO&#10;zS0pxPM8wX4n0yKd6tnr+c8x+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Gfy8d1gAAAAsBAAAP&#10;AAAAAAAAAAEAIAAAACIAAABkcnMvZG93bnJldi54bWxQSwECFAAUAAAACACHTuJA0ERWT1MCAACB&#10;BAAADgAAAAAAAAABACAAAAAlAQAAZHJzL2Uyb0RvYy54bWxQSwUGAAAAAAYABgBZAQAA6gUAAAAA&#10;">
                <v:fill on="t" focussize="0,0"/>
                <v:stroke on="f" weight="2pt"/>
                <v:imagedata o:title=""/>
                <o:lock v:ext="edit" aspectratio="f"/>
                <v:textbox>
                  <w:txbxContent>
                    <w:p>
                      <w:pPr>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回用于</w:t>
                      </w:r>
                      <w:r>
                        <w:rPr>
                          <w:rFonts w:asciiTheme="minorEastAsia" w:hAnsiTheme="minorEastAsia" w:eastAsiaTheme="minorEastAsia"/>
                          <w:color w:val="000000" w:themeColor="text1"/>
                          <w:sz w:val="21"/>
                          <w:szCs w:val="21"/>
                          <w14:textFill>
                            <w14:solidFill>
                              <w14:schemeClr w14:val="tx1"/>
                            </w14:solidFill>
                          </w14:textFill>
                        </w:rPr>
                        <w:t>钢渣车间</w:t>
                      </w:r>
                    </w:p>
                  </w:txbxContent>
                </v:textbox>
              </v:rect>
            </w:pict>
          </mc:Fallback>
        </mc:AlternateContent>
      </w:r>
      <w:r>
        <w:rPr>
          <w:rFonts w:ascii="宋体" w:hAnsi="宋体" w:eastAsia="宋体" w:cs="宋体"/>
          <w:kern w:val="0"/>
          <w:sz w:val="24"/>
          <w:szCs w:val="24"/>
        </w:rPr>
        <w:drawing>
          <wp:inline distT="0" distB="0" distL="0" distR="0">
            <wp:extent cx="4529455" cy="1798320"/>
            <wp:effectExtent l="0" t="0" r="4445" b="0"/>
            <wp:docPr id="39" name="图片 39" descr="C:\Users\Administrator\AppData\Roaming\Tencent\Users\86197406\QQ\WinTemp\RichOle\VP2R4%U0DF5VLC7B0ZMLOZ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Tencent\Users\86197406\QQ\WinTemp\RichOle\VP2R4%U0DF5VLC7B0ZMLOZ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32148" cy="1799257"/>
                    </a:xfrm>
                    <a:prstGeom prst="rect">
                      <a:avLst/>
                    </a:prstGeom>
                    <a:noFill/>
                    <a:ln>
                      <a:noFill/>
                    </a:ln>
                  </pic:spPr>
                </pic:pic>
              </a:graphicData>
            </a:graphic>
          </wp:inline>
        </w:drawing>
      </w:r>
    </w:p>
    <w:p>
      <w:pPr>
        <w:jc w:val="center"/>
        <w:rPr>
          <w:rFonts w:eastAsia="宋体"/>
          <w:b/>
          <w:sz w:val="24"/>
          <w:szCs w:val="24"/>
        </w:rPr>
      </w:pPr>
      <w:r>
        <w:rPr>
          <w:rFonts w:eastAsia="宋体"/>
          <w:b/>
          <w:sz w:val="24"/>
          <w:szCs w:val="24"/>
        </w:rPr>
        <w:t xml:space="preserve">图3-11 </w:t>
      </w:r>
      <w:r>
        <w:rPr>
          <w:rFonts w:hint="eastAsia" w:eastAsia="宋体"/>
          <w:b/>
          <w:sz w:val="24"/>
          <w:szCs w:val="24"/>
        </w:rPr>
        <w:t>酸洗废水处理</w:t>
      </w:r>
      <w:r>
        <w:rPr>
          <w:rFonts w:eastAsia="宋体"/>
          <w:b/>
          <w:sz w:val="24"/>
          <w:szCs w:val="24"/>
        </w:rPr>
        <w:t>工艺流程图</w:t>
      </w:r>
    </w:p>
    <w:p>
      <w:pPr>
        <w:pStyle w:val="835"/>
        <w:ind w:firstLine="486"/>
        <w:rPr>
          <w:rFonts w:ascii="Times New Roman" w:hAnsi="Times New Roman"/>
        </w:rPr>
      </w:pPr>
      <w:r>
        <w:rPr>
          <w:rFonts w:hint="eastAsia" w:ascii="Times New Roman" w:hAnsi="Times New Roman"/>
        </w:rPr>
        <w:t>酸洗废水</w:t>
      </w:r>
      <w:r>
        <w:rPr>
          <w:rFonts w:ascii="Times New Roman" w:hAnsi="Times New Roman"/>
        </w:rPr>
        <w:t>经</w:t>
      </w:r>
      <w:r>
        <w:rPr>
          <w:rFonts w:hint="eastAsia" w:ascii="Times New Roman" w:hAnsi="Times New Roman"/>
        </w:rPr>
        <w:t>高效、组合式的除铬、除氟以后，出水进入监测清水池后回用于酸洗工段。一级澄清池、二级澄清池排泥由污泥泵提升至污泥浓缩池，经过预浓缩之后由螺杆泵输送至板框压滤机压滤后委托</w:t>
      </w:r>
      <w:r>
        <w:rPr>
          <w:rFonts w:ascii="Times New Roman" w:hAnsi="Times New Roman"/>
        </w:rPr>
        <w:t>有</w:t>
      </w:r>
      <w:r>
        <w:rPr>
          <w:rFonts w:hint="eastAsia" w:ascii="Times New Roman" w:hAnsi="Times New Roman"/>
        </w:rPr>
        <w:t>资质单位</w:t>
      </w:r>
      <w:r>
        <w:rPr>
          <w:rFonts w:ascii="Times New Roman" w:hAnsi="Times New Roman"/>
        </w:rPr>
        <w:t>处置</w:t>
      </w:r>
      <w:r>
        <w:rPr>
          <w:rFonts w:hint="eastAsia" w:ascii="Times New Roman" w:hAnsi="Times New Roman"/>
        </w:rPr>
        <w:t>，压滤液回流至调节池循环处理。</w:t>
      </w:r>
    </w:p>
    <w:p>
      <w:pPr>
        <w:pStyle w:val="835"/>
        <w:widowControl w:val="0"/>
        <w:spacing w:line="240" w:lineRule="auto"/>
        <w:ind w:firstLine="480" w:firstLineChars="0"/>
        <w:rPr>
          <w:rFonts w:ascii="Times New Roman" w:hAnsi="Times New Roman"/>
        </w:rPr>
      </w:pPr>
      <w:r>
        <w:rPr>
          <w:rFonts w:hint="eastAsia" w:ascii="Times New Roman" w:hAnsi="Times New Roman"/>
        </w:rPr>
        <w:t>④</w:t>
      </w:r>
      <w:r>
        <w:rPr>
          <w:rFonts w:ascii="Times New Roman" w:hAnsi="Times New Roman"/>
        </w:rPr>
        <w:t>精整酸洗车间产污环节及治理措施</w:t>
      </w:r>
    </w:p>
    <w:p>
      <w:pPr>
        <w:pStyle w:val="835"/>
        <w:widowControl w:val="0"/>
        <w:spacing w:line="240" w:lineRule="auto"/>
        <w:ind w:firstLine="480" w:firstLineChars="0"/>
        <w:rPr>
          <w:rFonts w:ascii="Times New Roman" w:hAnsi="Times New Roman"/>
        </w:rPr>
      </w:pPr>
      <w:r>
        <w:rPr>
          <w:rFonts w:hint="eastAsia" w:ascii="Times New Roman" w:hAnsi="Times New Roman"/>
        </w:rPr>
        <w:t>根据调查</w:t>
      </w:r>
      <w:r>
        <w:rPr>
          <w:rFonts w:ascii="Times New Roman" w:hAnsi="Times New Roman"/>
        </w:rPr>
        <w:t>，企业废酸再生过程</w:t>
      </w:r>
      <w:r>
        <w:rPr>
          <w:rFonts w:hint="eastAsia" w:ascii="Times New Roman" w:hAnsi="Times New Roman"/>
        </w:rPr>
        <w:t>的</w:t>
      </w:r>
      <w:r>
        <w:rPr>
          <w:rFonts w:ascii="Times New Roman" w:hAnsi="Times New Roman"/>
        </w:rPr>
        <w:t>离子交换树脂</w:t>
      </w:r>
      <w:r>
        <w:rPr>
          <w:rFonts w:hint="eastAsia" w:ascii="Times New Roman" w:hAnsi="Times New Roman"/>
        </w:rPr>
        <w:t>企业至今</w:t>
      </w:r>
      <w:r>
        <w:rPr>
          <w:rFonts w:ascii="Times New Roman" w:hAnsi="Times New Roman"/>
        </w:rPr>
        <w:t>未更换过</w:t>
      </w:r>
      <w:r>
        <w:rPr>
          <w:rFonts w:hint="eastAsia" w:ascii="Times New Roman" w:hAnsi="Times New Roman"/>
        </w:rPr>
        <w:t>，</w:t>
      </w:r>
      <w:r>
        <w:rPr>
          <w:rFonts w:ascii="Times New Roman" w:hAnsi="Times New Roman"/>
        </w:rPr>
        <w:t>无废离子交换树脂产生。废酸液再</w:t>
      </w:r>
      <w:r>
        <w:rPr>
          <w:rFonts w:hint="eastAsia" w:ascii="Times New Roman" w:hAnsi="Times New Roman"/>
        </w:rPr>
        <w:t>生</w:t>
      </w:r>
      <w:r>
        <w:rPr>
          <w:rFonts w:ascii="Times New Roman" w:hAnsi="Times New Roman"/>
        </w:rPr>
        <w:t>过程中产生的废酸液纳入</w:t>
      </w:r>
      <w:r>
        <w:rPr>
          <w:rFonts w:hint="eastAsia" w:ascii="Times New Roman" w:hAnsi="Times New Roman"/>
        </w:rPr>
        <w:t>酸洗</w:t>
      </w:r>
      <w:r>
        <w:rPr>
          <w:rFonts w:ascii="Times New Roman" w:hAnsi="Times New Roman"/>
        </w:rPr>
        <w:t>废水处理站，经处理后回用于酸洗</w:t>
      </w:r>
      <w:r>
        <w:rPr>
          <w:rFonts w:hint="eastAsia" w:ascii="Times New Roman" w:hAnsi="Times New Roman"/>
        </w:rPr>
        <w:t>。</w:t>
      </w:r>
      <w:r>
        <w:rPr>
          <w:rFonts w:ascii="Times New Roman" w:hAnsi="Times New Roman"/>
        </w:rPr>
        <w:t>精整酸洗车间产污环节及治理措施</w:t>
      </w:r>
      <w:r>
        <w:rPr>
          <w:rFonts w:hint="eastAsia" w:ascii="Times New Roman" w:hAnsi="Times New Roman"/>
        </w:rPr>
        <w:t>详见</w:t>
      </w:r>
      <w:r>
        <w:rPr>
          <w:rFonts w:ascii="Times New Roman" w:hAnsi="Times New Roman"/>
        </w:rPr>
        <w:t>表</w:t>
      </w:r>
      <w:r>
        <w:rPr>
          <w:rFonts w:hint="eastAsia" w:ascii="Times New Roman" w:hAnsi="Times New Roman"/>
        </w:rPr>
        <w:t>3-9。</w:t>
      </w:r>
    </w:p>
    <w:p>
      <w:pPr>
        <w:pStyle w:val="313"/>
        <w:tabs>
          <w:tab w:val="clear" w:pos="3908"/>
        </w:tabs>
        <w:ind w:left="1122" w:hanging="561"/>
        <w:rPr>
          <w:rFonts w:ascii="Times New Roman" w:hAnsi="Times New Roman"/>
        </w:rPr>
      </w:pPr>
      <w:r>
        <w:rPr>
          <w:rFonts w:hint="eastAsia" w:ascii="Times New Roman" w:hAnsi="Times New Roman"/>
          <w:lang w:eastAsia="zh-CN"/>
        </w:rPr>
        <w:t>精整酸洗</w:t>
      </w:r>
      <w:r>
        <w:rPr>
          <w:rFonts w:ascii="Times New Roman" w:hAnsi="Times New Roman"/>
          <w:lang w:eastAsia="zh-CN"/>
        </w:rPr>
        <w:t>车间</w:t>
      </w: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26"/>
        <w:gridCol w:w="1385"/>
        <w:gridCol w:w="1281"/>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位置</w:t>
            </w:r>
          </w:p>
        </w:tc>
        <w:tc>
          <w:tcPr>
            <w:tcW w:w="1385"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废气</w:t>
            </w: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精整酸洗车间</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1#酸洗线</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硫酸雾、氟化物、NOx</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收集后经四级碱液喷淋后通过25m高排气筒(DA006)排放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2#酸洗线</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硫酸雾</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收集后经一级碱液喷淋吸收后通过20m高排气筒(DA007)排放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Merge w:val="continue"/>
            <w:vAlign w:val="center"/>
          </w:tcPr>
          <w:p>
            <w:pPr>
              <w:adjustRightInd w:val="0"/>
              <w:snapToGrid w:val="0"/>
              <w:spacing w:line="300" w:lineRule="exact"/>
              <w:jc w:val="center"/>
              <w:rPr>
                <w:rFonts w:eastAsia="宋体"/>
                <w:sz w:val="21"/>
                <w:szCs w:val="21"/>
              </w:rPr>
            </w:pP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氟化物、NOx</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采用全自动直线形隧道封闭式酸洗作业线，隧道入口进出料采用升降门自控装置，收集的酸雾经分体式酸雾净化塔+废气预热+SCR后通过30m高排气筒(DA008)排放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锅炉</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锅炉废气</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w:t>
            </w:r>
            <w:r>
              <w:rPr>
                <w:rFonts w:eastAsia="宋体"/>
                <w:sz w:val="21"/>
                <w:szCs w:val="21"/>
              </w:rPr>
              <w:t>、</w:t>
            </w:r>
            <w:r>
              <w:rPr>
                <w:rFonts w:hint="eastAsia" w:eastAsia="宋体"/>
                <w:sz w:val="21"/>
                <w:szCs w:val="21"/>
              </w:rPr>
              <w:t>SO</w:t>
            </w:r>
            <w:r>
              <w:rPr>
                <w:rFonts w:hint="eastAsia" w:eastAsia="宋体"/>
                <w:sz w:val="21"/>
                <w:szCs w:val="21"/>
                <w:vertAlign w:val="subscript"/>
              </w:rPr>
              <w:t>2</w:t>
            </w:r>
            <w:r>
              <w:rPr>
                <w:rFonts w:hint="eastAsia" w:eastAsia="宋体"/>
                <w:sz w:val="21"/>
                <w:szCs w:val="21"/>
              </w:rPr>
              <w:t>、NO</w:t>
            </w:r>
            <w:r>
              <w:rPr>
                <w:rFonts w:eastAsia="宋体"/>
                <w:sz w:val="21"/>
                <w:szCs w:val="21"/>
              </w:rPr>
              <w:t>x</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燃烧</w:t>
            </w:r>
            <w:r>
              <w:rPr>
                <w:rFonts w:eastAsia="宋体"/>
                <w:sz w:val="21"/>
                <w:szCs w:val="21"/>
              </w:rPr>
              <w:t>后直接排放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精整酸洗车间(1#、2#线)</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酸洗及清洗、脱脂及清洗、酸雾净化塔废水、SCR废水、</w:t>
            </w:r>
            <w:r>
              <w:rPr>
                <w:rFonts w:eastAsia="宋体"/>
                <w:sz w:val="21"/>
                <w:szCs w:val="21"/>
              </w:rPr>
              <w:t>高压冲洗废水</w:t>
            </w:r>
            <w:r>
              <w:rPr>
                <w:rFonts w:hint="eastAsia" w:eastAsia="宋体"/>
                <w:sz w:val="21"/>
                <w:szCs w:val="21"/>
              </w:rPr>
              <w:t>、</w:t>
            </w:r>
            <w:r>
              <w:rPr>
                <w:rFonts w:eastAsia="宋体"/>
                <w:sz w:val="21"/>
                <w:szCs w:val="21"/>
              </w:rPr>
              <w:t>废酸液</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pH</w:t>
            </w:r>
            <w:r>
              <w:rPr>
                <w:rFonts w:hint="eastAsia" w:eastAsia="宋体"/>
                <w:sz w:val="21"/>
                <w:szCs w:val="21"/>
              </w:rPr>
              <w:t>、S</w:t>
            </w:r>
            <w:r>
              <w:rPr>
                <w:rFonts w:eastAsia="宋体"/>
                <w:sz w:val="21"/>
                <w:szCs w:val="21"/>
              </w:rPr>
              <w:t>S</w:t>
            </w:r>
            <w:r>
              <w:rPr>
                <w:rFonts w:hint="eastAsia" w:eastAsia="宋体"/>
                <w:sz w:val="21"/>
                <w:szCs w:val="21"/>
              </w:rPr>
              <w:t>、C</w:t>
            </w:r>
            <w:r>
              <w:rPr>
                <w:rFonts w:eastAsia="宋体"/>
                <w:sz w:val="21"/>
                <w:szCs w:val="21"/>
              </w:rPr>
              <w:t>OD</w:t>
            </w:r>
            <w:r>
              <w:rPr>
                <w:rFonts w:eastAsia="宋体"/>
                <w:sz w:val="21"/>
                <w:szCs w:val="21"/>
                <w:vertAlign w:val="subscript"/>
              </w:rPr>
              <w:t>Cr</w:t>
            </w:r>
            <w:r>
              <w:rPr>
                <w:rFonts w:hint="eastAsia" w:eastAsia="宋体"/>
                <w:sz w:val="21"/>
                <w:szCs w:val="21"/>
              </w:rPr>
              <w:t>、铬、氟化物等</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收集后经两级还原+两级中和+一级斜板澄清池+pH调节池+二级斜板澄清池+活性氧化铝吸附罐处理后回用于酸洗</w:t>
            </w:r>
            <w:r>
              <w:rPr>
                <w:rFonts w:eastAsia="宋体"/>
                <w:sz w:val="21"/>
                <w:szCs w:val="21"/>
              </w:rPr>
              <w:t>和钢渣车间，不排放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车间</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初期雨水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SS、COD</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w:t>
            </w:r>
            <w:r>
              <w:rPr>
                <w:rFonts w:eastAsia="宋体"/>
                <w:sz w:val="21"/>
                <w:szCs w:val="21"/>
              </w:rPr>
              <w:t>后用于钢渣冷却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员工</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员工生活</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生活污水</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噪声</w:t>
            </w: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w:t>
            </w:r>
            <w:r>
              <w:rPr>
                <w:rFonts w:eastAsia="宋体"/>
                <w:sz w:val="21"/>
                <w:szCs w:val="21"/>
              </w:rPr>
              <w:t>废</w:t>
            </w:r>
          </w:p>
        </w:tc>
        <w:tc>
          <w:tcPr>
            <w:tcW w:w="2211" w:type="dxa"/>
            <w:gridSpan w:val="2"/>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原料包装</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废原料桶</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危险废物，委托有资质单位(湖州南太湖资源回收利用有限公司)处置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一般废包装材料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一般固废，收集暂存后由物资公司回收利用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酸洗废水处理站</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表面处理污泥</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危险废物，委托有资质单位(浙江特力再生资源有限公司、内蒙古察右前旗辰东化工有限责任公司)处置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酸洗等表面处理</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槽渣</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员工生活</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生活垃圾</w:t>
            </w:r>
          </w:p>
        </w:tc>
        <w:tc>
          <w:tcPr>
            <w:tcW w:w="4510"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收集后环卫部门清运</w:t>
            </w:r>
          </w:p>
        </w:tc>
      </w:tr>
    </w:tbl>
    <w:p>
      <w:pPr>
        <w:pStyle w:val="835"/>
        <w:widowControl w:val="0"/>
        <w:spacing w:line="240" w:lineRule="auto"/>
        <w:ind w:firstLine="480" w:firstLineChars="0"/>
        <w:rPr>
          <w:rFonts w:ascii="Times New Roman" w:hAnsi="Times New Roman"/>
        </w:rPr>
      </w:pPr>
      <w:r>
        <w:rPr>
          <w:rFonts w:ascii="Times New Roman" w:hAnsi="Times New Roman"/>
        </w:rPr>
        <w:t>5、公用工程</w:t>
      </w:r>
    </w:p>
    <w:p>
      <w:pPr>
        <w:pStyle w:val="835"/>
        <w:widowControl w:val="0"/>
        <w:spacing w:line="240" w:lineRule="auto"/>
        <w:ind w:firstLine="480" w:firstLineChars="0"/>
        <w:rPr>
          <w:rFonts w:ascii="Times New Roman" w:hAnsi="Times New Roman"/>
        </w:rPr>
      </w:pPr>
      <w:r>
        <w:rPr>
          <w:rFonts w:hint="eastAsia" w:ascii="Times New Roman" w:hAnsi="Times New Roman"/>
        </w:rPr>
        <w:t>①</w:t>
      </w:r>
      <w:r>
        <w:rPr>
          <w:rFonts w:ascii="Times New Roman" w:hAnsi="Times New Roman"/>
        </w:rPr>
        <w:t>钢渣车间</w:t>
      </w:r>
    </w:p>
    <w:p>
      <w:pPr>
        <w:pStyle w:val="835"/>
        <w:widowControl w:val="0"/>
        <w:spacing w:line="240" w:lineRule="auto"/>
        <w:ind w:firstLine="480" w:firstLineChars="0"/>
        <w:rPr>
          <w:rFonts w:ascii="Times New Roman" w:hAnsi="Times New Roman"/>
        </w:rPr>
      </w:pPr>
      <w:r>
        <w:rPr>
          <w:rFonts w:ascii="Times New Roman" w:hAnsi="Times New Roman"/>
        </w:rPr>
        <w:t>钢渣车间生产工艺流程图详见图3-12。</w:t>
      </w:r>
    </w:p>
    <w:p>
      <w:pPr>
        <w:widowControl/>
        <w:jc w:val="center"/>
        <w:rPr>
          <w:rFonts w:ascii="宋体" w:hAnsi="宋体" w:eastAsia="宋体" w:cs="宋体"/>
          <w:kern w:val="0"/>
          <w:sz w:val="24"/>
          <w:szCs w:val="24"/>
        </w:rPr>
      </w:pPr>
      <w:r>
        <w:object>
          <v:shape id="_x0000_i1033" o:spt="75" type="#_x0000_t75" style="height:201pt;width:311.25pt;" o:ole="t" filled="f" o:preferrelative="t" stroked="f" coordsize="21600,21600">
            <v:path/>
            <v:fill on="f" focussize="0,0"/>
            <v:stroke on="f" joinstyle="miter"/>
            <v:imagedata r:id="rId41" o:title=""/>
            <o:lock v:ext="edit" aspectratio="t"/>
            <w10:wrap type="none"/>
            <w10:anchorlock/>
          </v:shape>
          <o:OLEObject Type="Embed" ProgID="Visio.Drawing.11" ShapeID="_x0000_i1033" DrawAspect="Content" ObjectID="_1468075733" r:id="rId40">
            <o:LockedField>false</o:LockedField>
          </o:OLEObject>
        </w:object>
      </w:r>
    </w:p>
    <w:p>
      <w:pPr>
        <w:jc w:val="center"/>
        <w:rPr>
          <w:rFonts w:eastAsia="宋体"/>
          <w:b/>
          <w:sz w:val="24"/>
          <w:szCs w:val="24"/>
        </w:rPr>
      </w:pPr>
      <w:r>
        <w:rPr>
          <w:rFonts w:eastAsia="宋体"/>
          <w:b/>
          <w:sz w:val="24"/>
          <w:szCs w:val="24"/>
        </w:rPr>
        <w:t xml:space="preserve">图3-12  </w:t>
      </w:r>
      <w:r>
        <w:rPr>
          <w:rFonts w:hint="eastAsia" w:eastAsia="宋体"/>
          <w:b/>
          <w:sz w:val="24"/>
          <w:szCs w:val="24"/>
        </w:rPr>
        <w:t>钢渣车间</w:t>
      </w:r>
      <w:r>
        <w:rPr>
          <w:rFonts w:eastAsia="宋体"/>
          <w:b/>
          <w:sz w:val="24"/>
          <w:szCs w:val="24"/>
        </w:rPr>
        <w:t>生产工艺流程图</w:t>
      </w:r>
    </w:p>
    <w:p>
      <w:pPr>
        <w:pStyle w:val="835"/>
        <w:widowControl w:val="0"/>
        <w:spacing w:before="0" w:line="480" w:lineRule="exact"/>
        <w:ind w:firstLine="486"/>
        <w:rPr>
          <w:rFonts w:ascii="Times New Roman" w:hAnsi="Times New Roman"/>
        </w:rPr>
      </w:pPr>
      <w:r>
        <w:rPr>
          <w:rFonts w:ascii="Times New Roman" w:hAnsi="Times New Roman"/>
        </w:rPr>
        <w:t>工艺流程说明：</w:t>
      </w:r>
    </w:p>
    <w:p>
      <w:pPr>
        <w:pStyle w:val="835"/>
        <w:widowControl w:val="0"/>
        <w:spacing w:before="0" w:line="480" w:lineRule="exact"/>
        <w:ind w:firstLine="486"/>
        <w:rPr>
          <w:rFonts w:ascii="Times New Roman" w:hAnsi="Times New Roman"/>
        </w:rPr>
      </w:pPr>
      <w:r>
        <w:rPr>
          <w:rFonts w:ascii="Times New Roman" w:hAnsi="Times New Roman"/>
        </w:rPr>
        <w:t>炼钢产生的高温炉渣装入</w:t>
      </w:r>
      <w:r>
        <w:rPr>
          <w:rFonts w:hint="eastAsia" w:ascii="Times New Roman" w:hAnsi="Times New Roman"/>
        </w:rPr>
        <w:t>钢渣</w:t>
      </w:r>
      <w:r>
        <w:rPr>
          <w:rFonts w:ascii="Times New Roman" w:hAnsi="Times New Roman"/>
        </w:rPr>
        <w:t>闷罐设备里进行焖渣，利用钢渣700-800</w:t>
      </w:r>
      <w:r>
        <w:rPr>
          <w:rFonts w:hint="eastAsia" w:ascii="宋体" w:hAnsi="宋体" w:cs="宋体"/>
        </w:rPr>
        <w:t>℃</w:t>
      </w:r>
      <w:r>
        <w:rPr>
          <w:rFonts w:ascii="Times New Roman" w:hAnsi="Times New Roman"/>
        </w:rPr>
        <w:t>的余热，在加盖容器（渣罐）内骤然加入大量的冷却水，利用钢渣急冷时产生的热应力，使钢渣爆裂破碎，同时产生大量常压饱和蒸汽渗入炉渣中，使渣中游离氧化钙和热闷过程中矿物变化产生的游离氧化钙闷解成氢氧化钙，产生体积膨胀，硅酸二钙（比较难闷解的成分）在冷却过程中也由B型转变Y型，发生体积膨胀，闷解的过程是加快钢渣的分解过程。罐内大块状的钢渣，经闷解淬火后大部分成松散状或小块状，从而达到钢渣破碎的目的，并呈成含水率5~10%的粉粒状钢渣，而且钢块很干净地脱离开渣的包围。冷却后通过挖掘机挖掘后人工分拣，分拣出的</w:t>
      </w:r>
      <w:r>
        <w:rPr>
          <w:rFonts w:hint="eastAsia" w:ascii="Times New Roman" w:hAnsi="Times New Roman"/>
        </w:rPr>
        <w:t>废渣</w:t>
      </w:r>
      <w:r>
        <w:rPr>
          <w:rFonts w:ascii="Times New Roman" w:hAnsi="Times New Roman"/>
        </w:rPr>
        <w:t>装载后出售给水泥行业，废钢回炉再利。</w:t>
      </w:r>
    </w:p>
    <w:p>
      <w:pPr>
        <w:pStyle w:val="835"/>
        <w:widowControl w:val="0"/>
        <w:spacing w:before="0" w:line="480" w:lineRule="exact"/>
        <w:ind w:firstLine="482" w:firstLineChars="0"/>
        <w:rPr>
          <w:rFonts w:ascii="Times New Roman" w:hAnsi="Times New Roman"/>
        </w:rPr>
      </w:pPr>
      <w:r>
        <w:rPr>
          <w:rFonts w:hint="eastAsia" w:ascii="Times New Roman" w:hAnsi="Times New Roman"/>
        </w:rPr>
        <w:t>②应急</w:t>
      </w:r>
      <w:r>
        <w:rPr>
          <w:rFonts w:ascii="Times New Roman" w:hAnsi="Times New Roman"/>
        </w:rPr>
        <w:t>气源</w:t>
      </w:r>
    </w:p>
    <w:p>
      <w:pPr>
        <w:pStyle w:val="835"/>
        <w:widowControl w:val="0"/>
        <w:spacing w:before="0" w:line="480" w:lineRule="exact"/>
        <w:ind w:firstLine="482" w:firstLineChars="0"/>
        <w:rPr>
          <w:b/>
        </w:rPr>
      </w:pPr>
      <w:r>
        <w:rPr>
          <w:rFonts w:hint="eastAsia" w:ascii="Times New Roman" w:hAnsi="Times New Roman"/>
        </w:rPr>
        <w:t>应急气源</w:t>
      </w:r>
      <w:r>
        <w:rPr>
          <w:rFonts w:ascii="Times New Roman" w:hAnsi="Times New Roman"/>
        </w:rPr>
        <w:t>项目工艺流程图详见图3-13</w:t>
      </w:r>
      <w:r>
        <w:rPr>
          <w:rFonts w:hint="eastAsia" w:ascii="Times New Roman" w:hAnsi="Times New Roman"/>
        </w:rPr>
        <w:t>。</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4225925" cy="1866900"/>
            <wp:effectExtent l="0" t="0" r="3175" b="0"/>
            <wp:docPr id="37" name="图片 37" descr="C:\Users\Administrator\AppData\Roaming\Tencent\Users\86197406\QQ\WinTemp\RichOle\YLU)V}A]XK%WP88(63{DK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Tencent\Users\86197406\QQ\WinTemp\RichOle\YLU)V}A]XK%WP88(63{DKZ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228689" cy="1868072"/>
                    </a:xfrm>
                    <a:prstGeom prst="rect">
                      <a:avLst/>
                    </a:prstGeom>
                    <a:noFill/>
                    <a:ln>
                      <a:noFill/>
                    </a:ln>
                  </pic:spPr>
                </pic:pic>
              </a:graphicData>
            </a:graphic>
          </wp:inline>
        </w:drawing>
      </w:r>
    </w:p>
    <w:p>
      <w:pPr>
        <w:jc w:val="center"/>
        <w:rPr>
          <w:rFonts w:eastAsia="宋体"/>
          <w:b/>
          <w:sz w:val="24"/>
          <w:szCs w:val="24"/>
        </w:rPr>
      </w:pPr>
      <w:r>
        <w:rPr>
          <w:rFonts w:eastAsia="宋体"/>
          <w:b/>
          <w:sz w:val="24"/>
          <w:szCs w:val="24"/>
        </w:rPr>
        <w:t xml:space="preserve">图3-13  </w:t>
      </w:r>
      <w:r>
        <w:rPr>
          <w:rFonts w:hint="eastAsia" w:eastAsia="宋体"/>
          <w:b/>
          <w:sz w:val="24"/>
          <w:szCs w:val="24"/>
        </w:rPr>
        <w:t>应急气源</w:t>
      </w:r>
      <w:r>
        <w:rPr>
          <w:rFonts w:eastAsia="宋体"/>
          <w:b/>
          <w:sz w:val="24"/>
          <w:szCs w:val="24"/>
        </w:rPr>
        <w:t>工艺流程图</w:t>
      </w:r>
    </w:p>
    <w:p>
      <w:pPr>
        <w:pStyle w:val="835"/>
        <w:widowControl w:val="0"/>
        <w:spacing w:before="0" w:line="520" w:lineRule="exact"/>
        <w:ind w:firstLine="480" w:firstLineChars="0"/>
        <w:rPr>
          <w:rFonts w:ascii="宋体" w:hAnsi="宋体" w:cs="宋体"/>
        </w:rPr>
      </w:pPr>
      <w:r>
        <w:rPr>
          <w:rFonts w:hint="eastAsia" w:ascii="宋体" w:hAnsi="宋体" w:cs="宋体"/>
        </w:rPr>
        <w:t>工艺说明</w:t>
      </w:r>
      <w:r>
        <w:rPr>
          <w:rFonts w:ascii="宋体" w:hAnsi="宋体" w:cs="宋体"/>
        </w:rPr>
        <w:t>：</w:t>
      </w:r>
    </w:p>
    <w:p>
      <w:pPr>
        <w:pStyle w:val="835"/>
        <w:widowControl w:val="0"/>
        <w:spacing w:before="0" w:line="520" w:lineRule="exact"/>
        <w:ind w:firstLine="482" w:firstLineChars="0"/>
        <w:rPr>
          <w:rFonts w:ascii="Times New Roman" w:hAnsi="Times New Roman"/>
        </w:rPr>
      </w:pPr>
      <w:r>
        <w:rPr>
          <w:rFonts w:ascii="Times New Roman" w:hAnsi="Times New Roman"/>
        </w:rPr>
        <w:t>LNG</w:t>
      </w:r>
      <w:r>
        <w:rPr>
          <w:rFonts w:hint="eastAsia" w:ascii="Times New Roman" w:hAnsi="Times New Roman"/>
        </w:rPr>
        <w:t>气化站的设备及装置主要有卸车增压器、</w:t>
      </w:r>
      <w:r>
        <w:rPr>
          <w:rFonts w:ascii="Times New Roman" w:hAnsi="Times New Roman"/>
        </w:rPr>
        <w:t>LNG</w:t>
      </w:r>
      <w:r>
        <w:rPr>
          <w:rFonts w:hint="eastAsia" w:ascii="Times New Roman" w:hAnsi="Times New Roman"/>
        </w:rPr>
        <w:t>储罐、储罐增压器、空温式气化器、</w:t>
      </w:r>
      <w:r>
        <w:rPr>
          <w:rFonts w:ascii="Times New Roman" w:hAnsi="Times New Roman"/>
        </w:rPr>
        <w:t>BOG</w:t>
      </w:r>
      <w:r>
        <w:rPr>
          <w:rFonts w:hint="eastAsia" w:ascii="Times New Roman" w:hAnsi="Times New Roman"/>
        </w:rPr>
        <w:t>加热器、</w:t>
      </w:r>
      <w:r>
        <w:rPr>
          <w:rFonts w:ascii="Times New Roman" w:hAnsi="Times New Roman"/>
        </w:rPr>
        <w:t>EAG</w:t>
      </w:r>
      <w:r>
        <w:rPr>
          <w:rFonts w:hint="eastAsia" w:ascii="Times New Roman" w:hAnsi="Times New Roman"/>
        </w:rPr>
        <w:t>加热器、水浴式复热器、调压计量与加臭装置、</w:t>
      </w:r>
      <w:r>
        <w:rPr>
          <w:rFonts w:ascii="Times New Roman" w:hAnsi="Times New Roman"/>
        </w:rPr>
        <w:t>PLC</w:t>
      </w:r>
      <w:r>
        <w:rPr>
          <w:rFonts w:hint="eastAsia" w:ascii="Times New Roman" w:hAnsi="Times New Roman"/>
        </w:rPr>
        <w:t>控制系统等。</w:t>
      </w:r>
    </w:p>
    <w:p>
      <w:pPr>
        <w:pStyle w:val="835"/>
        <w:widowControl w:val="0"/>
        <w:spacing w:before="0" w:line="520" w:lineRule="exact"/>
        <w:ind w:firstLine="482" w:firstLineChars="0"/>
        <w:rPr>
          <w:rFonts w:ascii="Times New Roman" w:hAnsi="Times New Roman"/>
        </w:rPr>
      </w:pPr>
      <w:r>
        <w:rPr>
          <w:rFonts w:hint="eastAsia" w:ascii="Times New Roman" w:hAnsi="Times New Roman"/>
        </w:rPr>
        <w:t>液化天然气由低温槽车运至气化站，利用卸车增压器给槽车储罐增压，利用压差将</w:t>
      </w:r>
      <w:r>
        <w:rPr>
          <w:rFonts w:ascii="Times New Roman" w:hAnsi="Times New Roman"/>
        </w:rPr>
        <w:t>LNG</w:t>
      </w:r>
      <w:r>
        <w:rPr>
          <w:rFonts w:hint="eastAsia" w:ascii="Times New Roman" w:hAnsi="Times New Roman"/>
        </w:rPr>
        <w:t>送入</w:t>
      </w:r>
      <w:r>
        <w:rPr>
          <w:rFonts w:ascii="Times New Roman" w:hAnsi="Times New Roman"/>
        </w:rPr>
        <w:t>LNG</w:t>
      </w:r>
      <w:r>
        <w:rPr>
          <w:rFonts w:hint="eastAsia" w:ascii="Times New Roman" w:hAnsi="Times New Roman"/>
        </w:rPr>
        <w:t>储罐，进行卸车。通过储罐增压器将</w:t>
      </w:r>
      <w:r>
        <w:rPr>
          <w:rFonts w:ascii="Times New Roman" w:hAnsi="Times New Roman"/>
        </w:rPr>
        <w:t>LNG</w:t>
      </w:r>
      <w:r>
        <w:rPr>
          <w:rFonts w:hint="eastAsia" w:ascii="Times New Roman" w:hAnsi="Times New Roman"/>
        </w:rPr>
        <w:t>储罐增压，使</w:t>
      </w:r>
      <w:r>
        <w:rPr>
          <w:rFonts w:ascii="Times New Roman" w:hAnsi="Times New Roman"/>
        </w:rPr>
        <w:t>LNG</w:t>
      </w:r>
      <w:r>
        <w:rPr>
          <w:rFonts w:hint="eastAsia" w:ascii="Times New Roman" w:hAnsi="Times New Roman"/>
        </w:rPr>
        <w:t>进入空温式气化器，</w:t>
      </w:r>
      <w:r>
        <w:rPr>
          <w:rFonts w:ascii="Times New Roman" w:hAnsi="Times New Roman"/>
        </w:rPr>
        <w:t>LNG</w:t>
      </w:r>
      <w:r>
        <w:rPr>
          <w:rFonts w:hint="eastAsia" w:ascii="Times New Roman" w:hAnsi="Times New Roman"/>
        </w:rPr>
        <w:t>吸热气化发生相变（如环境温度过低，则通过水浴式气化器进行气化至</w:t>
      </w:r>
      <w:r>
        <w:rPr>
          <w:rFonts w:ascii="Times New Roman" w:hAnsi="Times New Roman"/>
        </w:rPr>
        <w:t>15-20</w:t>
      </w:r>
      <w:r>
        <w:rPr>
          <w:rFonts w:asciiTheme="minorEastAsia" w:hAnsiTheme="minorEastAsia" w:eastAsiaTheme="minorEastAsia"/>
        </w:rPr>
        <w:t>℃</w:t>
      </w:r>
      <w:r>
        <w:rPr>
          <w:rFonts w:hint="eastAsia" w:ascii="Times New Roman" w:hAnsi="Times New Roman"/>
        </w:rPr>
        <w:t>，成为气态天然气。最后经调压至0.1</w:t>
      </w:r>
      <w:r>
        <w:rPr>
          <w:rFonts w:ascii="Times New Roman" w:hAnsi="Times New Roman"/>
        </w:rPr>
        <w:t xml:space="preserve"> MPa</w:t>
      </w:r>
      <w:r>
        <w:rPr>
          <w:rFonts w:hint="eastAsia" w:ascii="Times New Roman" w:hAnsi="Times New Roman"/>
        </w:rPr>
        <w:t>、计量、加臭后送入管网输送至用气设备。</w:t>
      </w:r>
    </w:p>
    <w:p>
      <w:pPr>
        <w:pStyle w:val="835"/>
        <w:widowControl w:val="0"/>
        <w:spacing w:before="0" w:line="520" w:lineRule="exact"/>
        <w:ind w:firstLine="480" w:firstLineChars="0"/>
        <w:rPr>
          <w:rFonts w:ascii="Times New Roman" w:hAnsi="Times New Roman" w:eastAsiaTheme="minorEastAsia"/>
        </w:rPr>
      </w:pPr>
      <w:r>
        <w:rPr>
          <w:rFonts w:hint="eastAsia" w:ascii="宋体" w:hAnsi="宋体" w:cs="宋体"/>
        </w:rPr>
        <w:t>③</w:t>
      </w:r>
      <w:r>
        <w:rPr>
          <w:rFonts w:ascii="Times New Roman" w:hAnsi="Times New Roman" w:eastAsiaTheme="minorEastAsia"/>
        </w:rPr>
        <w:t>产污环节及污染防治措施</w:t>
      </w:r>
    </w:p>
    <w:p>
      <w:pPr>
        <w:pStyle w:val="835"/>
        <w:widowControl w:val="0"/>
        <w:spacing w:before="0" w:line="520" w:lineRule="exact"/>
        <w:ind w:firstLine="480" w:firstLineChars="0"/>
        <w:rPr>
          <w:rFonts w:ascii="Times New Roman" w:hAnsi="Times New Roman" w:eastAsiaTheme="minorEastAsia"/>
        </w:rPr>
      </w:pPr>
      <w:r>
        <w:rPr>
          <w:rFonts w:ascii="Times New Roman" w:hAnsi="Times New Roman" w:eastAsiaTheme="minorEastAsia"/>
        </w:rPr>
        <w:t>配套工程产污环节及治理措施详见表3-10</w:t>
      </w:r>
      <w:r>
        <w:rPr>
          <w:rFonts w:hint="eastAsia" w:ascii="Times New Roman" w:hAnsi="Times New Roman" w:eastAsiaTheme="minorEastAsia"/>
        </w:rPr>
        <w:t>。</w:t>
      </w:r>
    </w:p>
    <w:p>
      <w:pPr>
        <w:pStyle w:val="835"/>
        <w:widowControl w:val="0"/>
        <w:spacing w:before="0" w:line="520" w:lineRule="exact"/>
        <w:ind w:firstLine="480" w:firstLineChars="0"/>
        <w:rPr>
          <w:rFonts w:ascii="Times New Roman" w:hAnsi="Times New Roman" w:eastAsiaTheme="minorEastAsia"/>
        </w:rPr>
      </w:pPr>
    </w:p>
    <w:p>
      <w:pPr>
        <w:pStyle w:val="313"/>
        <w:tabs>
          <w:tab w:val="clear" w:pos="3908"/>
        </w:tabs>
        <w:ind w:left="1122" w:hanging="561"/>
        <w:rPr>
          <w:rFonts w:ascii="Times New Roman" w:hAnsi="Times New Roman"/>
        </w:rPr>
      </w:pPr>
      <w:r>
        <w:rPr>
          <w:rFonts w:hint="eastAsia" w:ascii="Times New Roman" w:hAnsi="Times New Roman"/>
          <w:lang w:eastAsia="zh-CN"/>
        </w:rPr>
        <w:t>配套工程</w:t>
      </w: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25"/>
        <w:gridCol w:w="1392"/>
        <w:gridCol w:w="1285"/>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1325" w:type="dxa"/>
            <w:vAlign w:val="center"/>
          </w:tcPr>
          <w:p>
            <w:pPr>
              <w:adjustRightInd w:val="0"/>
              <w:snapToGrid w:val="0"/>
              <w:spacing w:line="300" w:lineRule="exact"/>
              <w:jc w:val="center"/>
              <w:rPr>
                <w:rFonts w:eastAsia="宋体"/>
                <w:sz w:val="21"/>
                <w:szCs w:val="21"/>
              </w:rPr>
            </w:pPr>
            <w:r>
              <w:rPr>
                <w:rFonts w:hint="eastAsia" w:eastAsia="宋体"/>
                <w:sz w:val="21"/>
                <w:szCs w:val="21"/>
              </w:rPr>
              <w:t>位置</w:t>
            </w:r>
          </w:p>
        </w:tc>
        <w:tc>
          <w:tcPr>
            <w:tcW w:w="1392"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285"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adjustRightInd w:val="0"/>
              <w:snapToGrid w:val="0"/>
              <w:spacing w:line="300" w:lineRule="exact"/>
              <w:jc w:val="center"/>
              <w:rPr>
                <w:rFonts w:eastAsia="宋体"/>
                <w:sz w:val="21"/>
                <w:szCs w:val="21"/>
              </w:rPr>
            </w:pPr>
            <w:r>
              <w:rPr>
                <w:rFonts w:hint="eastAsia" w:eastAsia="宋体"/>
                <w:sz w:val="21"/>
                <w:szCs w:val="21"/>
              </w:rPr>
              <w:t>废气</w:t>
            </w:r>
          </w:p>
        </w:tc>
        <w:tc>
          <w:tcPr>
            <w:tcW w:w="1325" w:type="dxa"/>
            <w:vAlign w:val="center"/>
          </w:tcPr>
          <w:p>
            <w:pPr>
              <w:adjustRightInd w:val="0"/>
              <w:snapToGrid w:val="0"/>
              <w:spacing w:line="300" w:lineRule="exact"/>
              <w:jc w:val="center"/>
              <w:rPr>
                <w:rFonts w:eastAsia="宋体"/>
                <w:sz w:val="21"/>
                <w:szCs w:val="21"/>
              </w:rPr>
            </w:pPr>
            <w:r>
              <w:rPr>
                <w:rFonts w:hint="eastAsia" w:eastAsia="宋体"/>
                <w:sz w:val="21"/>
                <w:szCs w:val="21"/>
              </w:rPr>
              <w:t>钢渣</w:t>
            </w:r>
            <w:r>
              <w:rPr>
                <w:rFonts w:eastAsia="宋体"/>
                <w:sz w:val="21"/>
                <w:szCs w:val="21"/>
              </w:rPr>
              <w:t>车间</w:t>
            </w:r>
          </w:p>
        </w:tc>
        <w:tc>
          <w:tcPr>
            <w:tcW w:w="1392" w:type="dxa"/>
            <w:vAlign w:val="center"/>
          </w:tcPr>
          <w:p>
            <w:pPr>
              <w:adjustRightInd w:val="0"/>
              <w:snapToGrid w:val="0"/>
              <w:spacing w:line="300" w:lineRule="exact"/>
              <w:jc w:val="center"/>
              <w:rPr>
                <w:rFonts w:eastAsia="宋体"/>
                <w:sz w:val="21"/>
                <w:szCs w:val="21"/>
              </w:rPr>
            </w:pPr>
            <w:r>
              <w:rPr>
                <w:rFonts w:hint="eastAsia" w:eastAsia="宋体"/>
                <w:sz w:val="21"/>
                <w:szCs w:val="21"/>
              </w:rPr>
              <w:t>焖渣</w:t>
            </w:r>
          </w:p>
        </w:tc>
        <w:tc>
          <w:tcPr>
            <w:tcW w:w="1285" w:type="dxa"/>
            <w:vAlign w:val="center"/>
          </w:tcPr>
          <w:p>
            <w:pPr>
              <w:adjustRightInd w:val="0"/>
              <w:snapToGrid w:val="0"/>
              <w:spacing w:line="300" w:lineRule="exact"/>
              <w:jc w:val="center"/>
              <w:rPr>
                <w:rFonts w:eastAsia="宋体"/>
                <w:sz w:val="21"/>
                <w:szCs w:val="21"/>
              </w:rPr>
            </w:pPr>
            <w:r>
              <w:rPr>
                <w:rFonts w:hint="eastAsia" w:eastAsia="宋体"/>
                <w:sz w:val="21"/>
                <w:szCs w:val="21"/>
              </w:rPr>
              <w:t>水蒸汽</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排入</w:t>
            </w:r>
            <w:r>
              <w:rPr>
                <w:rFonts w:eastAsia="宋体"/>
                <w:sz w:val="21"/>
                <w:szCs w:val="21"/>
              </w:rPr>
              <w:t>大气环境中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1325" w:type="dxa"/>
            <w:vAlign w:val="center"/>
          </w:tcPr>
          <w:p>
            <w:pPr>
              <w:adjustRightInd w:val="0"/>
              <w:snapToGrid w:val="0"/>
              <w:spacing w:line="300" w:lineRule="exact"/>
              <w:jc w:val="center"/>
              <w:rPr>
                <w:rFonts w:eastAsia="宋体"/>
                <w:sz w:val="21"/>
                <w:szCs w:val="21"/>
              </w:rPr>
            </w:pPr>
            <w:r>
              <w:rPr>
                <w:rFonts w:hint="eastAsia" w:eastAsia="宋体"/>
                <w:sz w:val="21"/>
                <w:szCs w:val="21"/>
              </w:rPr>
              <w:t>钢渣</w:t>
            </w:r>
            <w:r>
              <w:rPr>
                <w:rFonts w:eastAsia="宋体"/>
                <w:sz w:val="21"/>
                <w:szCs w:val="21"/>
              </w:rPr>
              <w:t>车间</w:t>
            </w:r>
          </w:p>
        </w:tc>
        <w:tc>
          <w:tcPr>
            <w:tcW w:w="1392" w:type="dxa"/>
            <w:vAlign w:val="center"/>
          </w:tcPr>
          <w:p>
            <w:pPr>
              <w:adjustRightInd w:val="0"/>
              <w:snapToGrid w:val="0"/>
              <w:spacing w:line="300" w:lineRule="exact"/>
              <w:jc w:val="center"/>
              <w:rPr>
                <w:rFonts w:eastAsia="宋体"/>
                <w:sz w:val="21"/>
                <w:szCs w:val="21"/>
              </w:rPr>
            </w:pPr>
            <w:r>
              <w:rPr>
                <w:rFonts w:hint="eastAsia" w:eastAsia="宋体"/>
                <w:sz w:val="21"/>
                <w:szCs w:val="21"/>
              </w:rPr>
              <w:t>员工</w:t>
            </w:r>
            <w:r>
              <w:rPr>
                <w:rFonts w:eastAsia="宋体"/>
                <w:sz w:val="21"/>
                <w:szCs w:val="21"/>
              </w:rPr>
              <w:t>生活</w:t>
            </w:r>
          </w:p>
        </w:tc>
        <w:tc>
          <w:tcPr>
            <w:tcW w:w="1285" w:type="dxa"/>
            <w:vAlign w:val="center"/>
          </w:tcPr>
          <w:p>
            <w:pPr>
              <w:adjustRightInd w:val="0"/>
              <w:snapToGrid w:val="0"/>
              <w:spacing w:line="300" w:lineRule="exact"/>
              <w:jc w:val="center"/>
              <w:rPr>
                <w:rFonts w:eastAsia="宋体"/>
                <w:sz w:val="21"/>
                <w:szCs w:val="21"/>
              </w:rPr>
            </w:pPr>
            <w:r>
              <w:rPr>
                <w:rFonts w:hint="eastAsia" w:eastAsia="宋体"/>
                <w:sz w:val="21"/>
                <w:szCs w:val="21"/>
              </w:rPr>
              <w:t>COD、</w:t>
            </w:r>
            <w:r>
              <w:rPr>
                <w:rFonts w:eastAsia="宋体"/>
                <w:sz w:val="21"/>
                <w:szCs w:val="21"/>
              </w:rPr>
              <w:t>氨氮</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收集</w:t>
            </w:r>
            <w:r>
              <w:rPr>
                <w:rFonts w:eastAsia="宋体"/>
                <w:sz w:val="21"/>
                <w:szCs w:val="21"/>
              </w:rPr>
              <w:t>后经化粪池预处理后纳管排放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Align w:val="center"/>
          </w:tcPr>
          <w:p>
            <w:pPr>
              <w:adjustRightInd w:val="0"/>
              <w:snapToGrid w:val="0"/>
              <w:spacing w:line="300" w:lineRule="exact"/>
              <w:jc w:val="center"/>
              <w:rPr>
                <w:rFonts w:eastAsia="宋体"/>
                <w:sz w:val="21"/>
                <w:szCs w:val="21"/>
              </w:rPr>
            </w:pPr>
            <w:r>
              <w:rPr>
                <w:rFonts w:hint="eastAsia" w:eastAsia="宋体"/>
                <w:sz w:val="21"/>
                <w:szCs w:val="21"/>
              </w:rPr>
              <w:t>噪声</w:t>
            </w:r>
          </w:p>
        </w:tc>
        <w:tc>
          <w:tcPr>
            <w:tcW w:w="2717" w:type="dxa"/>
            <w:gridSpan w:val="2"/>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285"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固废</w:t>
            </w:r>
          </w:p>
        </w:tc>
        <w:tc>
          <w:tcPr>
            <w:tcW w:w="1325" w:type="dxa"/>
            <w:vAlign w:val="center"/>
          </w:tcPr>
          <w:p>
            <w:pPr>
              <w:adjustRightInd w:val="0"/>
              <w:snapToGrid w:val="0"/>
              <w:spacing w:line="300" w:lineRule="exact"/>
              <w:jc w:val="center"/>
              <w:rPr>
                <w:rFonts w:eastAsia="宋体"/>
                <w:sz w:val="21"/>
                <w:szCs w:val="21"/>
              </w:rPr>
            </w:pPr>
            <w:r>
              <w:rPr>
                <w:rFonts w:hint="eastAsia" w:eastAsia="宋体"/>
                <w:sz w:val="21"/>
                <w:szCs w:val="21"/>
              </w:rPr>
              <w:t>钢渣</w:t>
            </w:r>
            <w:r>
              <w:rPr>
                <w:rFonts w:eastAsia="宋体"/>
                <w:sz w:val="21"/>
                <w:szCs w:val="21"/>
              </w:rPr>
              <w:t>车间</w:t>
            </w:r>
            <w:r>
              <w:rPr>
                <w:rFonts w:hint="eastAsia" w:eastAsia="宋体"/>
                <w:sz w:val="21"/>
                <w:szCs w:val="21"/>
              </w:rPr>
              <w:t>、</w:t>
            </w:r>
            <w:r>
              <w:rPr>
                <w:rFonts w:eastAsia="宋体"/>
                <w:sz w:val="21"/>
                <w:szCs w:val="21"/>
              </w:rPr>
              <w:t>应急气源项目</w:t>
            </w:r>
          </w:p>
        </w:tc>
        <w:tc>
          <w:tcPr>
            <w:tcW w:w="1392" w:type="dxa"/>
            <w:vAlign w:val="center"/>
          </w:tcPr>
          <w:p>
            <w:pPr>
              <w:adjustRightInd w:val="0"/>
              <w:snapToGrid w:val="0"/>
              <w:spacing w:line="300" w:lineRule="exact"/>
              <w:jc w:val="center"/>
              <w:rPr>
                <w:rFonts w:eastAsia="宋体"/>
                <w:sz w:val="21"/>
                <w:szCs w:val="21"/>
              </w:rPr>
            </w:pPr>
            <w:r>
              <w:rPr>
                <w:rFonts w:hint="eastAsia" w:eastAsia="宋体"/>
                <w:sz w:val="21"/>
                <w:szCs w:val="21"/>
              </w:rPr>
              <w:t>员工</w:t>
            </w:r>
            <w:r>
              <w:rPr>
                <w:rFonts w:eastAsia="宋体"/>
                <w:sz w:val="21"/>
                <w:szCs w:val="21"/>
              </w:rPr>
              <w:t>生活</w:t>
            </w:r>
          </w:p>
        </w:tc>
        <w:tc>
          <w:tcPr>
            <w:tcW w:w="1285" w:type="dxa"/>
            <w:vAlign w:val="center"/>
          </w:tcPr>
          <w:p>
            <w:pPr>
              <w:adjustRightInd w:val="0"/>
              <w:snapToGrid w:val="0"/>
              <w:spacing w:line="300" w:lineRule="exact"/>
              <w:jc w:val="center"/>
              <w:rPr>
                <w:rFonts w:eastAsia="宋体"/>
                <w:sz w:val="21"/>
                <w:szCs w:val="21"/>
              </w:rPr>
            </w:pPr>
            <w:r>
              <w:rPr>
                <w:rFonts w:hint="eastAsia" w:eastAsia="宋体"/>
                <w:sz w:val="21"/>
                <w:szCs w:val="21"/>
              </w:rPr>
              <w:t>生活垃圾</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环卫部门</w:t>
            </w:r>
            <w:r>
              <w:rPr>
                <w:rFonts w:eastAsia="宋体"/>
                <w:sz w:val="21"/>
                <w:szCs w:val="21"/>
              </w:rPr>
              <w:t>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Merge w:val="continue"/>
            <w:vAlign w:val="center"/>
          </w:tcPr>
          <w:p>
            <w:pPr>
              <w:adjustRightInd w:val="0"/>
              <w:snapToGrid w:val="0"/>
              <w:spacing w:line="300" w:lineRule="exact"/>
              <w:jc w:val="center"/>
              <w:rPr>
                <w:rFonts w:eastAsia="宋体"/>
                <w:sz w:val="21"/>
                <w:szCs w:val="21"/>
              </w:rPr>
            </w:pPr>
          </w:p>
        </w:tc>
        <w:tc>
          <w:tcPr>
            <w:tcW w:w="1325"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钢渣车间</w:t>
            </w:r>
          </w:p>
        </w:tc>
        <w:tc>
          <w:tcPr>
            <w:tcW w:w="1392"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生产</w:t>
            </w:r>
            <w:r>
              <w:rPr>
                <w:rFonts w:eastAsia="宋体"/>
                <w:sz w:val="21"/>
                <w:szCs w:val="21"/>
              </w:rPr>
              <w:t>过程</w:t>
            </w:r>
          </w:p>
        </w:tc>
        <w:tc>
          <w:tcPr>
            <w:tcW w:w="1285" w:type="dxa"/>
            <w:vAlign w:val="center"/>
          </w:tcPr>
          <w:p>
            <w:pPr>
              <w:adjustRightInd w:val="0"/>
              <w:snapToGrid w:val="0"/>
              <w:spacing w:line="300" w:lineRule="exact"/>
              <w:jc w:val="center"/>
              <w:rPr>
                <w:rFonts w:eastAsia="宋体"/>
                <w:sz w:val="21"/>
                <w:szCs w:val="21"/>
              </w:rPr>
            </w:pPr>
            <w:r>
              <w:rPr>
                <w:rFonts w:hint="eastAsia" w:eastAsia="宋体"/>
                <w:sz w:val="21"/>
                <w:szCs w:val="21"/>
              </w:rPr>
              <w:t>钢渣</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收集</w:t>
            </w:r>
            <w:r>
              <w:rPr>
                <w:rFonts w:eastAsia="宋体"/>
                <w:sz w:val="21"/>
                <w:szCs w:val="21"/>
              </w:rPr>
              <w:t>后回用于炼钢一厂</w:t>
            </w:r>
            <w:r>
              <w:rPr>
                <w:rFonts w:hint="eastAsia" w:eastAsia="宋体"/>
                <w:sz w:val="21"/>
                <w:szCs w:val="21"/>
              </w:rPr>
              <w:t>/二厂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0" w:type="dxa"/>
            <w:vMerge w:val="continue"/>
            <w:vAlign w:val="center"/>
          </w:tcPr>
          <w:p>
            <w:pPr>
              <w:adjustRightInd w:val="0"/>
              <w:snapToGrid w:val="0"/>
              <w:spacing w:line="300" w:lineRule="exact"/>
              <w:jc w:val="center"/>
              <w:rPr>
                <w:rFonts w:eastAsia="宋体"/>
                <w:sz w:val="21"/>
                <w:szCs w:val="21"/>
              </w:rPr>
            </w:pPr>
          </w:p>
        </w:tc>
        <w:tc>
          <w:tcPr>
            <w:tcW w:w="1325" w:type="dxa"/>
            <w:vMerge w:val="continue"/>
            <w:vAlign w:val="center"/>
          </w:tcPr>
          <w:p>
            <w:pPr>
              <w:adjustRightInd w:val="0"/>
              <w:snapToGrid w:val="0"/>
              <w:spacing w:line="300" w:lineRule="exact"/>
              <w:jc w:val="center"/>
              <w:rPr>
                <w:rFonts w:eastAsia="宋体"/>
                <w:sz w:val="21"/>
                <w:szCs w:val="21"/>
              </w:rPr>
            </w:pPr>
          </w:p>
        </w:tc>
        <w:tc>
          <w:tcPr>
            <w:tcW w:w="1392" w:type="dxa"/>
            <w:vMerge w:val="continue"/>
            <w:vAlign w:val="center"/>
          </w:tcPr>
          <w:p>
            <w:pPr>
              <w:adjustRightInd w:val="0"/>
              <w:snapToGrid w:val="0"/>
              <w:spacing w:line="300" w:lineRule="exact"/>
              <w:jc w:val="center"/>
              <w:rPr>
                <w:rFonts w:eastAsia="宋体"/>
                <w:sz w:val="21"/>
                <w:szCs w:val="21"/>
              </w:rPr>
            </w:pPr>
          </w:p>
        </w:tc>
        <w:tc>
          <w:tcPr>
            <w:tcW w:w="1285" w:type="dxa"/>
            <w:vAlign w:val="center"/>
          </w:tcPr>
          <w:p>
            <w:pPr>
              <w:adjustRightInd w:val="0"/>
              <w:snapToGrid w:val="0"/>
              <w:spacing w:line="300" w:lineRule="exact"/>
              <w:jc w:val="center"/>
              <w:rPr>
                <w:rFonts w:eastAsia="宋体"/>
                <w:sz w:val="21"/>
                <w:szCs w:val="21"/>
              </w:rPr>
            </w:pPr>
            <w:r>
              <w:rPr>
                <w:rFonts w:hint="eastAsia" w:eastAsia="宋体"/>
                <w:sz w:val="21"/>
                <w:szCs w:val="21"/>
              </w:rPr>
              <w:t>废渣</w:t>
            </w:r>
          </w:p>
        </w:tc>
        <w:tc>
          <w:tcPr>
            <w:tcW w:w="3999"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w:t>
            </w:r>
            <w:r>
              <w:rPr>
                <w:rFonts w:eastAsia="宋体"/>
                <w:sz w:val="21"/>
                <w:szCs w:val="21"/>
              </w:rPr>
              <w:t>，收集后外卖处置</w:t>
            </w:r>
          </w:p>
        </w:tc>
      </w:tr>
    </w:tbl>
    <w:p>
      <w:pPr>
        <w:pStyle w:val="5"/>
        <w:numPr>
          <w:ilvl w:val="2"/>
          <w:numId w:val="25"/>
        </w:numPr>
        <w:rPr>
          <w:rFonts w:ascii="Times New Roman"/>
        </w:rPr>
      </w:pPr>
      <w:r>
        <w:rPr>
          <w:rFonts w:hint="eastAsia" w:ascii="Times New Roman"/>
          <w:lang w:eastAsia="zh-CN"/>
        </w:rPr>
        <w:t>企业</w:t>
      </w:r>
      <w:r>
        <w:rPr>
          <w:rFonts w:ascii="Times New Roman"/>
        </w:rPr>
        <w:t>现状</w:t>
      </w:r>
      <w:r>
        <w:rPr>
          <w:rFonts w:hint="eastAsia" w:ascii="Times New Roman"/>
          <w:lang w:eastAsia="zh-CN"/>
        </w:rPr>
        <w:t>产污环节及采取的</w:t>
      </w:r>
      <w:r>
        <w:rPr>
          <w:rFonts w:ascii="Times New Roman"/>
        </w:rPr>
        <w:t>污染防治措施</w:t>
      </w:r>
    </w:p>
    <w:p>
      <w:pPr>
        <w:pStyle w:val="4"/>
        <w:rPr>
          <w:rFonts w:ascii="Times New Roman" w:hAnsi="Times New Roman" w:cs="Times New Roman"/>
          <w:spacing w:val="0"/>
        </w:rPr>
      </w:pPr>
      <w:r>
        <w:rPr>
          <w:rFonts w:ascii="Times New Roman" w:hAnsi="Times New Roman" w:cs="Times New Roman"/>
          <w:spacing w:val="0"/>
        </w:rPr>
        <w:t>根据现状调查，</w:t>
      </w:r>
      <w:r>
        <w:rPr>
          <w:rFonts w:hint="eastAsia" w:ascii="Times New Roman" w:hAnsi="Times New Roman" w:cs="Times New Roman"/>
          <w:spacing w:val="0"/>
        </w:rPr>
        <w:t>企业</w:t>
      </w:r>
      <w:r>
        <w:rPr>
          <w:rFonts w:ascii="Times New Roman" w:hAnsi="Times New Roman" w:cs="Times New Roman"/>
          <w:spacing w:val="0"/>
        </w:rPr>
        <w:t>现状</w:t>
      </w:r>
      <w:r>
        <w:rPr>
          <w:rFonts w:hint="eastAsia" w:ascii="Times New Roman" w:hAnsi="Times New Roman" w:cs="Times New Roman"/>
          <w:spacing w:val="0"/>
        </w:rPr>
        <w:t>产污环节及已</w:t>
      </w:r>
      <w:r>
        <w:rPr>
          <w:rFonts w:ascii="Times New Roman" w:hAnsi="Times New Roman" w:cs="Times New Roman"/>
          <w:spacing w:val="0"/>
        </w:rPr>
        <w:t>采取的污染防治措施</w:t>
      </w:r>
      <w:r>
        <w:rPr>
          <w:rFonts w:hint="eastAsia" w:ascii="Times New Roman" w:hAnsi="Times New Roman" w:cs="Times New Roman"/>
          <w:spacing w:val="0"/>
        </w:rPr>
        <w:t>汇总</w:t>
      </w:r>
      <w:r>
        <w:rPr>
          <w:rFonts w:ascii="Times New Roman" w:hAnsi="Times New Roman" w:cs="Times New Roman"/>
          <w:spacing w:val="0"/>
        </w:rPr>
        <w:t>见表3-11。</w:t>
      </w:r>
    </w:p>
    <w:p>
      <w:pPr>
        <w:pStyle w:val="313"/>
        <w:tabs>
          <w:tab w:val="clear" w:pos="3908"/>
        </w:tabs>
        <w:ind w:left="1122" w:hanging="561"/>
        <w:rPr>
          <w:rFonts w:ascii="Times New Roman" w:hAnsi="Times New Roman"/>
        </w:rPr>
      </w:pPr>
      <w:r>
        <w:rPr>
          <w:rFonts w:ascii="Times New Roman" w:hAnsi="Times New Roman"/>
        </w:rPr>
        <w:t>现状</w:t>
      </w:r>
      <w:r>
        <w:rPr>
          <w:rFonts w:hint="eastAsia" w:ascii="Times New Roman" w:hAnsi="Times New Roman"/>
          <w:lang w:eastAsia="zh-CN"/>
        </w:rPr>
        <w:t>产污环节及采取的</w:t>
      </w:r>
      <w:r>
        <w:rPr>
          <w:rFonts w:ascii="Times New Roman" w:hAnsi="Times New Roman"/>
        </w:rPr>
        <w:t>污染防治措施</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26"/>
        <w:gridCol w:w="1385"/>
        <w:gridCol w:w="1281"/>
        <w:gridCol w:w="4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污染类型</w:t>
            </w: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分厂或车间</w:t>
            </w:r>
          </w:p>
        </w:tc>
        <w:tc>
          <w:tcPr>
            <w:tcW w:w="1385" w:type="dxa"/>
            <w:vAlign w:val="center"/>
          </w:tcPr>
          <w:p>
            <w:pPr>
              <w:adjustRightInd w:val="0"/>
              <w:snapToGrid w:val="0"/>
              <w:spacing w:line="300" w:lineRule="exact"/>
              <w:jc w:val="center"/>
              <w:rPr>
                <w:rFonts w:eastAsia="宋体"/>
                <w:sz w:val="21"/>
                <w:szCs w:val="21"/>
              </w:rPr>
            </w:pPr>
            <w:r>
              <w:rPr>
                <w:rFonts w:eastAsia="宋体"/>
                <w:sz w:val="21"/>
                <w:szCs w:val="21"/>
              </w:rPr>
              <w:t>工序</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污染物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现状已采取的污染防治</w:t>
            </w:r>
            <w:r>
              <w:rPr>
                <w:rFonts w:eastAsia="宋体"/>
                <w:sz w:val="21"/>
                <w:szCs w:val="21"/>
              </w:rPr>
              <w:t>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eastAsia="宋体"/>
                <w:sz w:val="21"/>
                <w:szCs w:val="21"/>
              </w:rPr>
              <w:t>废气</w:t>
            </w: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炼钢一厂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炼钢废气(电炉、AOD炉、LF炉)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颗粒物、二噁英、氟化物、</w:t>
            </w:r>
            <w:r>
              <w:rPr>
                <w:rFonts w:eastAsia="宋体"/>
                <w:sz w:val="21"/>
                <w:szCs w:val="21"/>
              </w:rPr>
              <w:t>铬及其化合物、镍及其化合物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电炉烟尘经四孔滑套+屋顶烟气捕集罩捕集；LF炉烟尘经炉盖罩捕集；AOD炉烟尘经炉顶烟气捕集罩+屋顶烟气捕集罩捕集，三路废气经各自捕集后进入布袋除尘器除尘，除尘尾气通过30m高排气筒(DA001)排放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修磨</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w:t>
            </w:r>
            <w:r>
              <w:rPr>
                <w:rFonts w:eastAsia="宋体"/>
                <w:sz w:val="21"/>
                <w:szCs w:val="21"/>
              </w:rPr>
              <w:t>布袋除尘器除尘后排放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炼钢二厂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炼钢废气(电炉、AOD炉、LF炉)、</w:t>
            </w:r>
            <w:r>
              <w:rPr>
                <w:rFonts w:eastAsia="宋体"/>
                <w:sz w:val="21"/>
                <w:szCs w:val="21"/>
              </w:rPr>
              <w:t>连铸废气</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颗粒物、二噁英、氟化物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电炉烟气采用第四孔烟气+屋顶罩捕集技术；AOD炉烟气采用炉顶罩（双工位）+屋顶罩捕集技术；LF炉烟气采用炉盖罩捕集技术，三路废气经各自捕集后进入离线回转脉冲清灰袋式除尘器，除尘尾气通过30m高排气筒(DA002)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修磨工段</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颗粒物</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经收集后采用布袋除尘器除尘，除尘尾气通过20m高排气筒排放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新轧钢厂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步进式加热炉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低氮燃烧后通过28m排气筒(DA010)排放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在线固溶炉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纯氧燃烧后通过25m高排气筒(DA011)排放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离线固溶炉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低氮燃烧后通过25m高排气筒(DA005)排放后排放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老轧钢厂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加热炉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低氮燃烧后通过2</w:t>
            </w:r>
            <w:r>
              <w:rPr>
                <w:rFonts w:eastAsia="宋体"/>
                <w:sz w:val="21"/>
                <w:szCs w:val="21"/>
              </w:rPr>
              <w:t>5</w:t>
            </w:r>
            <w:r>
              <w:rPr>
                <w:rFonts w:hint="eastAsia" w:eastAsia="宋体"/>
                <w:sz w:val="21"/>
                <w:szCs w:val="21"/>
              </w:rPr>
              <w:t>m排气筒排放(新轧钢厂</w:t>
            </w:r>
            <w:r>
              <w:rPr>
                <w:rFonts w:eastAsia="宋体"/>
                <w:sz w:val="21"/>
                <w:szCs w:val="21"/>
              </w:rPr>
              <w:t>建成后，</w:t>
            </w:r>
            <w:r>
              <w:rPr>
                <w:rFonts w:hint="eastAsia" w:eastAsia="宋体"/>
                <w:sz w:val="21"/>
                <w:szCs w:val="21"/>
              </w:rPr>
              <w:t>该</w:t>
            </w:r>
            <w:r>
              <w:rPr>
                <w:rFonts w:eastAsia="宋体"/>
                <w:sz w:val="21"/>
                <w:szCs w:val="21"/>
              </w:rPr>
              <w:t>加热炉已拆除</w:t>
            </w: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精整酸洗车间</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1#酸洗</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硫酸雾、氟化物、NOx</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收集后经四级碱液喷淋后通过25m高排气筒(DA006)排放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2#酸洗</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硫酸雾</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收集后经一级碱液喷淋吸收后通过20m高排气筒(DA007)排放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Merge w:val="continue"/>
            <w:vAlign w:val="center"/>
          </w:tcPr>
          <w:p>
            <w:pPr>
              <w:adjustRightInd w:val="0"/>
              <w:snapToGrid w:val="0"/>
              <w:spacing w:line="300" w:lineRule="exact"/>
              <w:jc w:val="center"/>
              <w:rPr>
                <w:rFonts w:eastAsia="宋体"/>
                <w:sz w:val="21"/>
                <w:szCs w:val="21"/>
              </w:rPr>
            </w:pP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氟化物、NOx</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采用全自动直线形隧道封闭式酸洗作业线，隧道入口进出料采用升降门自控装置，收集的酸雾经分体式酸雾净化塔+SCR后通过30m高排气筒(DA008)排放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公用工程</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锅炉</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N</w:t>
            </w:r>
            <w:r>
              <w:rPr>
                <w:rFonts w:eastAsia="宋体"/>
                <w:sz w:val="21"/>
                <w:szCs w:val="21"/>
              </w:rPr>
              <w:t>Ox</w:t>
            </w:r>
            <w:r>
              <w:rPr>
                <w:rFonts w:hint="eastAsia" w:eastAsia="宋体"/>
                <w:sz w:val="21"/>
                <w:szCs w:val="21"/>
              </w:rPr>
              <w:t>、烟尘</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锅炉废气通过20m高烟囱(DA009)排放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食堂</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油烟</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油烟净化装置处理后，引至屋顶排放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废水</w:t>
            </w: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炼钢一厂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接入</w:t>
            </w:r>
            <w:r>
              <w:rPr>
                <w:rFonts w:eastAsia="宋体"/>
                <w:sz w:val="21"/>
                <w:szCs w:val="21"/>
              </w:rPr>
              <w:t>轧钢车间的净环水系统，</w:t>
            </w:r>
            <w:r>
              <w:rPr>
                <w:rFonts w:hint="eastAsia" w:eastAsia="宋体"/>
                <w:sz w:val="21"/>
                <w:szCs w:val="21"/>
              </w:rPr>
              <w:t xml:space="preserve"> 循环使用，少量排放作为轧钢浊环水（直接冷却水）补充水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炼钢二厂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循环使用，少量排放作为浊环水补充水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浊环水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石油类、氧化铁皮</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经浊环水处理系统(沉淀+过滤+冷却)处理后回用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轧钢厂</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净环水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循环使用，少量排放作为轧钢浊环水（直接冷却水）补充水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Merge w:val="continue"/>
            <w:vAlign w:val="center"/>
          </w:tcPr>
          <w:p>
            <w:pPr>
              <w:adjustRightInd w:val="0"/>
              <w:snapToGrid w:val="0"/>
              <w:spacing w:line="300" w:lineRule="exact"/>
              <w:jc w:val="center"/>
              <w:rPr>
                <w:rFonts w:eastAsia="宋体"/>
                <w:sz w:val="21"/>
                <w:szCs w:val="21"/>
              </w:rPr>
            </w:pP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浊环水</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石油类、氧化铁皮</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经浊环水处理系统(除油+沉淀+过滤+冷却)后大部分回用，</w:t>
            </w:r>
            <w:r>
              <w:rPr>
                <w:rFonts w:eastAsia="宋体"/>
                <w:sz w:val="21"/>
                <w:szCs w:val="21"/>
              </w:rPr>
              <w:t>仅有约</w:t>
            </w:r>
            <w:r>
              <w:rPr>
                <w:rFonts w:hint="eastAsia" w:eastAsia="宋体"/>
                <w:sz w:val="21"/>
                <w:szCs w:val="21"/>
              </w:rPr>
              <w:t>0.1</w:t>
            </w:r>
            <w:r>
              <w:rPr>
                <w:rFonts w:eastAsia="宋体"/>
                <w:sz w:val="21"/>
                <w:szCs w:val="21"/>
              </w:rPr>
              <w:t>%的循环量纳管排放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7"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精整酸洗车间(1#、2#线)</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酸洗及清洗、脱脂及清洗、酸雾净化塔和地面冲洗、</w:t>
            </w:r>
            <w:r>
              <w:rPr>
                <w:rFonts w:eastAsia="宋体"/>
                <w:sz w:val="21"/>
                <w:szCs w:val="21"/>
              </w:rPr>
              <w:t>废酸液等</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pH</w:t>
            </w:r>
            <w:r>
              <w:rPr>
                <w:rFonts w:hint="eastAsia" w:eastAsia="宋体"/>
                <w:sz w:val="21"/>
                <w:szCs w:val="21"/>
              </w:rPr>
              <w:t>、S</w:t>
            </w:r>
            <w:r>
              <w:rPr>
                <w:rFonts w:eastAsia="宋体"/>
                <w:sz w:val="21"/>
                <w:szCs w:val="21"/>
              </w:rPr>
              <w:t>S</w:t>
            </w:r>
            <w:r>
              <w:rPr>
                <w:rFonts w:hint="eastAsia" w:eastAsia="宋体"/>
                <w:sz w:val="21"/>
                <w:szCs w:val="21"/>
              </w:rPr>
              <w:t>、C</w:t>
            </w:r>
            <w:r>
              <w:rPr>
                <w:rFonts w:eastAsia="宋体"/>
                <w:sz w:val="21"/>
                <w:szCs w:val="21"/>
              </w:rPr>
              <w:t>OD</w:t>
            </w:r>
            <w:r>
              <w:rPr>
                <w:rFonts w:eastAsia="宋体"/>
                <w:sz w:val="21"/>
                <w:szCs w:val="21"/>
                <w:vertAlign w:val="subscript"/>
              </w:rPr>
              <w:t>Cr</w:t>
            </w:r>
            <w:r>
              <w:rPr>
                <w:rFonts w:hint="eastAsia" w:eastAsia="宋体"/>
                <w:sz w:val="21"/>
                <w:szCs w:val="21"/>
              </w:rPr>
              <w:t>、铬、氟化物等</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收集后经两级还原+两级中和+一级斜板澄清池+pH调节池+二级斜板澄清池+活性氧化铝吸附罐处理后回用于酸洗</w:t>
            </w:r>
            <w:r>
              <w:rPr>
                <w:rFonts w:eastAsia="宋体"/>
                <w:sz w:val="21"/>
                <w:szCs w:val="21"/>
              </w:rPr>
              <w:t>和钢渣车间，不排放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826" w:type="dxa"/>
            <w:vAlign w:val="center"/>
          </w:tcPr>
          <w:p>
            <w:pPr>
              <w:adjustRightInd w:val="0"/>
              <w:snapToGrid w:val="0"/>
              <w:spacing w:line="300" w:lineRule="exact"/>
              <w:jc w:val="center"/>
              <w:rPr>
                <w:rFonts w:eastAsia="宋体"/>
                <w:sz w:val="21"/>
                <w:szCs w:val="21"/>
              </w:rPr>
            </w:pPr>
            <w:r>
              <w:rPr>
                <w:rFonts w:hint="eastAsia" w:eastAsia="宋体"/>
                <w:sz w:val="21"/>
                <w:szCs w:val="21"/>
              </w:rPr>
              <w:t>员工</w:t>
            </w:r>
          </w:p>
        </w:tc>
        <w:tc>
          <w:tcPr>
            <w:tcW w:w="1385" w:type="dxa"/>
            <w:vAlign w:val="center"/>
          </w:tcPr>
          <w:p>
            <w:pPr>
              <w:adjustRightInd w:val="0"/>
              <w:snapToGrid w:val="0"/>
              <w:spacing w:line="300" w:lineRule="exact"/>
              <w:jc w:val="center"/>
              <w:rPr>
                <w:rFonts w:eastAsia="宋体"/>
                <w:sz w:val="21"/>
                <w:szCs w:val="21"/>
              </w:rPr>
            </w:pPr>
            <w:r>
              <w:rPr>
                <w:rFonts w:hint="eastAsia" w:eastAsia="宋体"/>
                <w:sz w:val="21"/>
                <w:szCs w:val="21"/>
              </w:rPr>
              <w:t>员工生活</w:t>
            </w:r>
          </w:p>
        </w:tc>
        <w:tc>
          <w:tcPr>
            <w:tcW w:w="1281" w:type="dxa"/>
            <w:vAlign w:val="center"/>
          </w:tcPr>
          <w:p>
            <w:pPr>
              <w:adjustRightInd w:val="0"/>
              <w:snapToGrid w:val="0"/>
              <w:spacing w:line="300" w:lineRule="exact"/>
              <w:jc w:val="center"/>
              <w:rPr>
                <w:rFonts w:eastAsia="宋体"/>
                <w:sz w:val="21"/>
                <w:szCs w:val="21"/>
              </w:rPr>
            </w:pPr>
            <w:r>
              <w:rPr>
                <w:rFonts w:hint="eastAsia" w:eastAsia="宋体"/>
                <w:sz w:val="21"/>
                <w:szCs w:val="21"/>
              </w:rPr>
              <w:t>生活污水</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化粪池预处理后纳管排放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Align w:val="center"/>
          </w:tcPr>
          <w:p>
            <w:pPr>
              <w:adjustRightInd w:val="0"/>
              <w:snapToGrid w:val="0"/>
              <w:spacing w:line="300" w:lineRule="exact"/>
              <w:jc w:val="center"/>
              <w:rPr>
                <w:rFonts w:eastAsia="宋体"/>
                <w:sz w:val="21"/>
                <w:szCs w:val="21"/>
              </w:rPr>
            </w:pPr>
            <w:r>
              <w:rPr>
                <w:rFonts w:eastAsia="宋体"/>
                <w:sz w:val="21"/>
                <w:szCs w:val="21"/>
              </w:rPr>
              <w:t>噪声</w:t>
            </w: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设备运行</w:t>
            </w:r>
          </w:p>
        </w:tc>
        <w:tc>
          <w:tcPr>
            <w:tcW w:w="1281" w:type="dxa"/>
            <w:vAlign w:val="center"/>
          </w:tcPr>
          <w:p>
            <w:pPr>
              <w:adjustRightInd w:val="0"/>
              <w:snapToGrid w:val="0"/>
              <w:spacing w:line="300" w:lineRule="exact"/>
              <w:jc w:val="center"/>
              <w:rPr>
                <w:rFonts w:eastAsia="宋体"/>
                <w:sz w:val="21"/>
                <w:szCs w:val="21"/>
              </w:rPr>
            </w:pPr>
            <w:r>
              <w:rPr>
                <w:rFonts w:eastAsia="宋体"/>
                <w:sz w:val="21"/>
                <w:szCs w:val="21"/>
              </w:rPr>
              <w:t>L</w:t>
            </w:r>
            <w:r>
              <w:rPr>
                <w:rFonts w:eastAsia="宋体"/>
                <w:sz w:val="21"/>
                <w:szCs w:val="21"/>
                <w:vertAlign w:val="subscript"/>
              </w:rPr>
              <w:t>Aeq</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行车、泵、风机、电机等经消声、减振、厂房隔声等。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固</w:t>
            </w:r>
            <w:r>
              <w:rPr>
                <w:rFonts w:eastAsia="宋体"/>
                <w:sz w:val="21"/>
                <w:szCs w:val="21"/>
              </w:rPr>
              <w:t>废</w:t>
            </w:r>
          </w:p>
        </w:tc>
        <w:tc>
          <w:tcPr>
            <w:tcW w:w="2211" w:type="dxa"/>
            <w:gridSpan w:val="2"/>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原料包装</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废原料桶</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危险废物，委托有资质单位(湖州南太湖资源回收利用有限公司)处置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一般废包装材料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一般固废，收集暂存后由物资公司回收利用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设备维修</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废润滑油</w:t>
            </w:r>
          </w:p>
        </w:tc>
        <w:tc>
          <w:tcPr>
            <w:tcW w:w="4510"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危险废物，委托有资质单位(宁波大港油料有限公司)处置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轧钢水</w:t>
            </w:r>
            <w:r>
              <w:rPr>
                <w:rFonts w:eastAsia="宋体"/>
                <w:sz w:val="21"/>
                <w:szCs w:val="21"/>
              </w:rPr>
              <w:t>浊环水系统</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废油</w:t>
            </w:r>
          </w:p>
        </w:tc>
        <w:tc>
          <w:tcPr>
            <w:tcW w:w="4510" w:type="dxa"/>
            <w:vMerge w:val="continue"/>
            <w:vAlign w:val="center"/>
          </w:tcPr>
          <w:p>
            <w:pPr>
              <w:adjustRightInd w:val="0"/>
              <w:snapToGrid w:val="0"/>
              <w:spacing w:line="30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设备维修</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废布袋</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w:t>
            </w:r>
            <w:r>
              <w:rPr>
                <w:rFonts w:eastAsia="宋体"/>
                <w:sz w:val="21"/>
                <w:szCs w:val="21"/>
              </w:rPr>
              <w:t>舟山市纳海固体废物集中处置有限公司</w:t>
            </w:r>
            <w:r>
              <w:rPr>
                <w:rFonts w:hint="eastAsia" w:eastAsia="宋体"/>
                <w:sz w:val="21"/>
                <w:szCs w:val="21"/>
              </w:rPr>
              <w:t>)</w:t>
            </w:r>
            <w:r>
              <w:rPr>
                <w:rFonts w:eastAsia="宋体"/>
                <w:sz w:val="21"/>
                <w:szCs w:val="21"/>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酸洗废水处理站</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表面处理污泥</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危险废物，委托有资质单位(浙江特力再生资源有限公司、内蒙古察右前旗辰东化工有限责任公司)处置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酸洗等表面处理</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槽渣</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hint="eastAsia" w:eastAsia="宋体"/>
                <w:sz w:val="21"/>
                <w:szCs w:val="21"/>
              </w:rPr>
              <w:t>炼钢废气布袋除尘器</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除尘灰</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危险废物，委托有资质单位(浙江特力再生资源有限公司、内蒙古察右前旗辰东化工有限责任公司)处置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生产过程</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氧化皮</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切割渣</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修磨屑</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废边角料、废刚盘丝等废铁</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ind w:left="-141" w:leftChars="-50" w:right="-141" w:rightChars="-50"/>
              <w:jc w:val="center"/>
              <w:rPr>
                <w:rFonts w:eastAsia="宋体"/>
                <w:sz w:val="21"/>
                <w:szCs w:val="21"/>
              </w:rPr>
            </w:pPr>
            <w:r>
              <w:rPr>
                <w:rFonts w:hint="eastAsia" w:eastAsia="宋体"/>
                <w:sz w:val="21"/>
                <w:szCs w:val="21"/>
              </w:rPr>
              <w:t>废耐火材料</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废砂轮片</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废电极</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废碳钢</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Merge w:val="continue"/>
            <w:vAlign w:val="center"/>
          </w:tcPr>
          <w:p>
            <w:pPr>
              <w:adjustRightInd w:val="0"/>
              <w:snapToGrid w:val="0"/>
              <w:spacing w:line="300" w:lineRule="exact"/>
              <w:jc w:val="center"/>
              <w:rPr>
                <w:rFonts w:eastAsia="宋体"/>
                <w:sz w:val="21"/>
                <w:szCs w:val="21"/>
              </w:rPr>
            </w:pPr>
          </w:p>
        </w:tc>
        <w:tc>
          <w:tcPr>
            <w:tcW w:w="1281" w:type="dxa"/>
            <w:vAlign w:val="center"/>
          </w:tcPr>
          <w:p>
            <w:pPr>
              <w:autoSpaceDE w:val="0"/>
              <w:autoSpaceDN w:val="0"/>
              <w:adjustRightInd w:val="0"/>
              <w:snapToGrid w:val="0"/>
              <w:spacing w:line="300" w:lineRule="exact"/>
              <w:jc w:val="center"/>
              <w:rPr>
                <w:rFonts w:eastAsia="宋体"/>
                <w:sz w:val="21"/>
                <w:szCs w:val="21"/>
              </w:rPr>
            </w:pPr>
            <w:r>
              <w:rPr>
                <w:rFonts w:hint="eastAsia" w:eastAsia="宋体"/>
                <w:sz w:val="21"/>
                <w:szCs w:val="21"/>
              </w:rPr>
              <w:t>废渣</w:t>
            </w:r>
          </w:p>
        </w:tc>
        <w:tc>
          <w:tcPr>
            <w:tcW w:w="4510" w:type="dxa"/>
            <w:vAlign w:val="center"/>
          </w:tcPr>
          <w:p>
            <w:pPr>
              <w:adjustRightInd w:val="0"/>
              <w:snapToGrid w:val="0"/>
              <w:spacing w:line="300" w:lineRule="exact"/>
              <w:jc w:val="center"/>
              <w:rPr>
                <w:rFonts w:eastAsia="宋体"/>
                <w:sz w:val="21"/>
                <w:szCs w:val="21"/>
              </w:rPr>
            </w:pPr>
            <w:r>
              <w:rPr>
                <w:rFonts w:hint="eastAsia" w:eastAsia="宋体"/>
                <w:sz w:val="21"/>
                <w:szCs w:val="21"/>
              </w:rPr>
              <w:t>一般固废，收集后外卖处置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 w:type="dxa"/>
            <w:vMerge w:val="continue"/>
            <w:vAlign w:val="center"/>
          </w:tcPr>
          <w:p>
            <w:pPr>
              <w:adjustRightInd w:val="0"/>
              <w:snapToGrid w:val="0"/>
              <w:spacing w:line="300" w:lineRule="exact"/>
              <w:jc w:val="center"/>
              <w:rPr>
                <w:rFonts w:eastAsia="宋体"/>
                <w:sz w:val="21"/>
                <w:szCs w:val="21"/>
              </w:rPr>
            </w:pPr>
          </w:p>
        </w:tc>
        <w:tc>
          <w:tcPr>
            <w:tcW w:w="2211" w:type="dxa"/>
            <w:gridSpan w:val="2"/>
            <w:vAlign w:val="center"/>
          </w:tcPr>
          <w:p>
            <w:pPr>
              <w:adjustRightInd w:val="0"/>
              <w:snapToGrid w:val="0"/>
              <w:spacing w:line="300" w:lineRule="exact"/>
              <w:jc w:val="center"/>
              <w:rPr>
                <w:rFonts w:eastAsia="宋体"/>
                <w:sz w:val="21"/>
                <w:szCs w:val="21"/>
              </w:rPr>
            </w:pPr>
            <w:r>
              <w:rPr>
                <w:rFonts w:eastAsia="宋体"/>
                <w:sz w:val="21"/>
                <w:szCs w:val="21"/>
              </w:rPr>
              <w:t>员工生活</w:t>
            </w:r>
          </w:p>
        </w:tc>
        <w:tc>
          <w:tcPr>
            <w:tcW w:w="1281"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生活垃圾</w:t>
            </w:r>
          </w:p>
        </w:tc>
        <w:tc>
          <w:tcPr>
            <w:tcW w:w="4510" w:type="dxa"/>
            <w:vAlign w:val="center"/>
          </w:tcPr>
          <w:p>
            <w:pPr>
              <w:autoSpaceDE w:val="0"/>
              <w:autoSpaceDN w:val="0"/>
              <w:adjustRightInd w:val="0"/>
              <w:snapToGrid w:val="0"/>
              <w:spacing w:line="300" w:lineRule="exact"/>
              <w:jc w:val="center"/>
              <w:rPr>
                <w:rFonts w:eastAsia="宋体"/>
                <w:sz w:val="21"/>
                <w:szCs w:val="21"/>
              </w:rPr>
            </w:pPr>
            <w:r>
              <w:rPr>
                <w:rFonts w:eastAsia="宋体"/>
                <w:sz w:val="21"/>
                <w:szCs w:val="21"/>
              </w:rPr>
              <w:t>收集后环卫部门清运</w:t>
            </w:r>
          </w:p>
        </w:tc>
      </w:tr>
    </w:tbl>
    <w:p>
      <w:pPr>
        <w:pStyle w:val="5"/>
        <w:numPr>
          <w:ilvl w:val="2"/>
          <w:numId w:val="25"/>
        </w:numPr>
        <w:rPr>
          <w:rFonts w:ascii="Times New Roman"/>
        </w:rPr>
      </w:pPr>
      <w:r>
        <w:rPr>
          <w:rFonts w:ascii="Times New Roman"/>
        </w:rPr>
        <w:t>现状污染物</w:t>
      </w:r>
      <w:r>
        <w:rPr>
          <w:rFonts w:hint="eastAsia" w:ascii="Times New Roman"/>
          <w:lang w:eastAsia="zh-CN"/>
        </w:rPr>
        <w:t>排放量</w:t>
      </w:r>
      <w:r>
        <w:rPr>
          <w:rFonts w:ascii="Times New Roman"/>
          <w:lang w:eastAsia="zh-CN"/>
        </w:rPr>
        <w:t>核算及</w:t>
      </w:r>
      <w:r>
        <w:rPr>
          <w:rFonts w:ascii="Times New Roman"/>
        </w:rPr>
        <w:t>达标性分析</w:t>
      </w:r>
    </w:p>
    <w:p>
      <w:pPr>
        <w:pStyle w:val="4"/>
        <w:rPr>
          <w:rFonts w:ascii="Times New Roman" w:hAnsi="Times New Roman" w:cs="Times New Roman"/>
          <w:spacing w:val="0"/>
        </w:rPr>
      </w:pPr>
      <w:r>
        <w:rPr>
          <w:rFonts w:hint="eastAsia" w:ascii="Times New Roman" w:hAnsi="Times New Roman" w:cs="Times New Roman"/>
          <w:spacing w:val="0"/>
        </w:rPr>
        <w:t>企业</w:t>
      </w:r>
      <w:r>
        <w:rPr>
          <w:rFonts w:ascii="Times New Roman" w:hAnsi="Times New Roman" w:cs="Times New Roman"/>
          <w:spacing w:val="0"/>
        </w:rPr>
        <w:t>现状</w:t>
      </w:r>
      <w:r>
        <w:rPr>
          <w:rFonts w:hint="eastAsia" w:ascii="Times New Roman" w:hAnsi="Times New Roman" w:cs="Times New Roman"/>
          <w:spacing w:val="0"/>
        </w:rPr>
        <w:t>2018年</w:t>
      </w:r>
      <w:r>
        <w:rPr>
          <w:rFonts w:ascii="Times New Roman" w:hAnsi="Times New Roman" w:cs="Times New Roman"/>
          <w:spacing w:val="0"/>
        </w:rPr>
        <w:t>仅进行了废水的监督性监测</w:t>
      </w:r>
      <w:r>
        <w:rPr>
          <w:rFonts w:hint="eastAsia" w:ascii="Times New Roman" w:hAnsi="Times New Roman" w:cs="Times New Roman"/>
          <w:spacing w:val="0"/>
        </w:rPr>
        <w:t>(监测</w:t>
      </w:r>
      <w:r>
        <w:rPr>
          <w:rFonts w:ascii="Times New Roman" w:hAnsi="Times New Roman" w:cs="Times New Roman"/>
          <w:spacing w:val="0"/>
        </w:rPr>
        <w:t>时间为</w:t>
      </w:r>
      <w:r>
        <w:rPr>
          <w:rFonts w:hint="eastAsia" w:ascii="Times New Roman" w:hAnsi="Times New Roman" w:cs="Times New Roman"/>
          <w:spacing w:val="0"/>
        </w:rPr>
        <w:t>2018.3.9)</w:t>
      </w:r>
      <w:r>
        <w:rPr>
          <w:rFonts w:ascii="Times New Roman" w:hAnsi="Times New Roman" w:cs="Times New Roman"/>
          <w:spacing w:val="0"/>
        </w:rPr>
        <w:t>，炼钢一厂、炼钢二厂电炉炼钢废气排放口</w:t>
      </w:r>
      <w:r>
        <w:rPr>
          <w:rFonts w:hint="eastAsia" w:ascii="Times New Roman" w:hAnsi="Times New Roman" w:cs="Times New Roman"/>
          <w:spacing w:val="0"/>
        </w:rPr>
        <w:t>虽</w:t>
      </w:r>
      <w:r>
        <w:rPr>
          <w:rFonts w:ascii="Times New Roman" w:hAnsi="Times New Roman" w:cs="Times New Roman"/>
          <w:spacing w:val="0"/>
        </w:rPr>
        <w:t>安装了在线监</w:t>
      </w:r>
      <w:r>
        <w:rPr>
          <w:rFonts w:hint="eastAsia" w:ascii="Times New Roman" w:hAnsi="Times New Roman" w:cs="Times New Roman"/>
          <w:spacing w:val="0"/>
        </w:rPr>
        <w:t>控</w:t>
      </w:r>
      <w:r>
        <w:rPr>
          <w:rFonts w:ascii="Times New Roman" w:hAnsi="Times New Roman" w:cs="Times New Roman"/>
          <w:spacing w:val="0"/>
        </w:rPr>
        <w:t>设施但尚未联网，因此</w:t>
      </w:r>
      <w:r>
        <w:rPr>
          <w:rFonts w:hint="eastAsia" w:ascii="Times New Roman" w:hAnsi="Times New Roman" w:cs="Times New Roman"/>
          <w:spacing w:val="0"/>
        </w:rPr>
        <w:t>本报告根据企业2018年下半年常规监测报告、</w:t>
      </w:r>
      <w:r>
        <w:rPr>
          <w:rFonts w:ascii="Times New Roman" w:hAnsi="Times New Roman" w:cs="Times New Roman"/>
          <w:spacing w:val="0"/>
        </w:rPr>
        <w:t>废水监督性监测报告、</w:t>
      </w:r>
      <w:r>
        <w:rPr>
          <w:rFonts w:hint="eastAsia" w:ascii="Times New Roman" w:hAnsi="Times New Roman" w:cs="Times New Roman"/>
          <w:spacing w:val="0"/>
        </w:rPr>
        <w:t>《年产25万</w:t>
      </w:r>
      <w:r>
        <w:rPr>
          <w:rFonts w:ascii="Times New Roman" w:hAnsi="Times New Roman" w:cs="Times New Roman"/>
          <w:spacing w:val="0"/>
        </w:rPr>
        <w:t>吨高品质不锈钢和特种合金棒线项目竣工环境保护验收监测报告</w:t>
      </w:r>
      <w:r>
        <w:rPr>
          <w:rFonts w:hint="eastAsia" w:ascii="Times New Roman" w:hAnsi="Times New Roman" w:cs="Times New Roman"/>
          <w:spacing w:val="0"/>
        </w:rPr>
        <w:t>》、结合本次</w:t>
      </w:r>
      <w:r>
        <w:rPr>
          <w:rFonts w:ascii="Times New Roman" w:hAnsi="Times New Roman" w:cs="Times New Roman"/>
          <w:spacing w:val="0"/>
        </w:rPr>
        <w:t>环评</w:t>
      </w:r>
      <w:r>
        <w:rPr>
          <w:rFonts w:hint="eastAsia" w:ascii="Times New Roman" w:hAnsi="Times New Roman" w:cs="Times New Roman"/>
          <w:spacing w:val="0"/>
        </w:rPr>
        <w:t>现状实测数据对企业现有各污染物达标性及排放量进行分析、</w:t>
      </w:r>
      <w:r>
        <w:rPr>
          <w:rFonts w:ascii="Times New Roman" w:hAnsi="Times New Roman" w:cs="Times New Roman"/>
          <w:spacing w:val="0"/>
        </w:rPr>
        <w:t>核算</w:t>
      </w:r>
      <w:r>
        <w:rPr>
          <w:rFonts w:hint="eastAsia" w:ascii="Times New Roman" w:hAnsi="Times New Roman" w:cs="Times New Roman"/>
          <w:spacing w:val="0"/>
        </w:rPr>
        <w:t>，现状监测情况详见表3-</w:t>
      </w:r>
      <w:r>
        <w:rPr>
          <w:rFonts w:ascii="Times New Roman" w:hAnsi="Times New Roman" w:cs="Times New Roman"/>
          <w:spacing w:val="0"/>
        </w:rPr>
        <w:t>12</w:t>
      </w:r>
      <w:r>
        <w:rPr>
          <w:rFonts w:hint="eastAsia" w:ascii="Times New Roman" w:hAnsi="Times New Roman" w:cs="Times New Roman"/>
          <w:spacing w:val="0"/>
        </w:rPr>
        <w:t>，各监测时期企业均正常生产。</w:t>
      </w:r>
    </w:p>
    <w:p>
      <w:pPr>
        <w:pStyle w:val="313"/>
        <w:tabs>
          <w:tab w:val="clear" w:pos="3908"/>
        </w:tabs>
        <w:ind w:left="1122" w:hanging="561"/>
        <w:rPr>
          <w:rFonts w:ascii="Times New Roman" w:hAnsi="Times New Roman"/>
        </w:rPr>
      </w:pPr>
      <w:r>
        <w:rPr>
          <w:rFonts w:hint="eastAsia" w:ascii="Times New Roman" w:hAnsi="Times New Roman"/>
          <w:lang w:eastAsia="zh-CN"/>
        </w:rPr>
        <w:t>现状监测情况</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139"/>
        <w:gridCol w:w="1940"/>
        <w:gridCol w:w="2089"/>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hint="eastAsia" w:eastAsia="宋体"/>
                <w:sz w:val="21"/>
                <w:szCs w:val="21"/>
              </w:rPr>
              <w:t>序号</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监测时间</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委托监测单位</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监测报告编号</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eastAsia="宋体"/>
                <w:sz w:val="21"/>
                <w:szCs w:val="21"/>
              </w:rPr>
              <w:t>1</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2018.8.25-2018.8.27</w:t>
            </w:r>
          </w:p>
          <w:p>
            <w:pPr>
              <w:adjustRightInd w:val="0"/>
              <w:snapToGrid w:val="0"/>
              <w:spacing w:line="340" w:lineRule="exact"/>
              <w:jc w:val="center"/>
              <w:rPr>
                <w:rFonts w:eastAsia="宋体"/>
                <w:sz w:val="21"/>
                <w:szCs w:val="21"/>
              </w:rPr>
            </w:pPr>
            <w:r>
              <w:rPr>
                <w:rFonts w:hint="eastAsia" w:eastAsia="宋体"/>
                <w:sz w:val="21"/>
                <w:szCs w:val="21"/>
              </w:rPr>
              <w:t>2018.9.19-2018.9.20</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杭州普洛塞斯检测科技有限公司</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普洛塞斯检字第2018H080718号</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废气、废水、噪声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eastAsia="宋体"/>
                <w:sz w:val="21"/>
                <w:szCs w:val="21"/>
              </w:rPr>
              <w:t>2</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2018.12.12-2018.12.13</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杭州普洛塞斯检测科技有限公司</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普洛塞斯检字第2018H120243号</w:t>
            </w:r>
          </w:p>
        </w:tc>
        <w:tc>
          <w:tcPr>
            <w:tcW w:w="1718" w:type="dxa"/>
            <w:vMerge w:val="restart"/>
            <w:vAlign w:val="center"/>
          </w:tcPr>
          <w:p>
            <w:pPr>
              <w:adjustRightInd w:val="0"/>
              <w:snapToGrid w:val="0"/>
              <w:spacing w:line="340" w:lineRule="exact"/>
              <w:jc w:val="center"/>
              <w:rPr>
                <w:rFonts w:eastAsia="宋体"/>
                <w:sz w:val="21"/>
                <w:szCs w:val="21"/>
              </w:rPr>
            </w:pPr>
            <w:r>
              <w:rPr>
                <w:rFonts w:hint="eastAsia" w:eastAsia="宋体"/>
                <w:sz w:val="21"/>
                <w:szCs w:val="21"/>
              </w:rPr>
              <w:t>废气、废水、噪声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eastAsia="宋体"/>
                <w:sz w:val="21"/>
                <w:szCs w:val="21"/>
              </w:rPr>
              <w:t>3</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2018.11.3</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杭州普洛塞斯检测科技有限公司</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普洛塞斯检字第2018Y100053-1号</w:t>
            </w:r>
          </w:p>
        </w:tc>
        <w:tc>
          <w:tcPr>
            <w:tcW w:w="1718" w:type="dxa"/>
            <w:vMerge w:val="continue"/>
            <w:vAlign w:val="center"/>
          </w:tcPr>
          <w:p>
            <w:pPr>
              <w:adjustRightInd w:val="0"/>
              <w:snapToGrid w:val="0"/>
              <w:spacing w:line="34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eastAsia="宋体"/>
                <w:sz w:val="21"/>
                <w:szCs w:val="21"/>
              </w:rPr>
              <w:t>4</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2018.6.7-2018.6.8</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中国科学院上海高等研究院分析测试中心</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D1806000502、D1806000501</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二噁英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eastAsia="宋体"/>
                <w:sz w:val="21"/>
                <w:szCs w:val="21"/>
              </w:rPr>
              <w:t>5</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2019.4.2</w:t>
            </w:r>
            <w:r>
              <w:rPr>
                <w:rFonts w:eastAsia="宋体"/>
                <w:sz w:val="21"/>
                <w:szCs w:val="21"/>
              </w:rPr>
              <w:t>8</w:t>
            </w:r>
            <w:r>
              <w:rPr>
                <w:rFonts w:hint="eastAsia" w:eastAsia="宋体"/>
                <w:sz w:val="21"/>
                <w:szCs w:val="21"/>
              </w:rPr>
              <w:t>-</w:t>
            </w:r>
            <w:r>
              <w:rPr>
                <w:rFonts w:eastAsia="宋体"/>
                <w:sz w:val="21"/>
                <w:szCs w:val="21"/>
              </w:rPr>
              <w:t>2019.</w:t>
            </w:r>
            <w:r>
              <w:rPr>
                <w:rFonts w:hint="eastAsia" w:eastAsia="宋体"/>
                <w:sz w:val="21"/>
                <w:szCs w:val="21"/>
              </w:rPr>
              <w:t>4.30</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湖州利升</w:t>
            </w:r>
            <w:r>
              <w:rPr>
                <w:rFonts w:eastAsia="宋体"/>
                <w:sz w:val="21"/>
                <w:szCs w:val="21"/>
              </w:rPr>
              <w:t>检测有限公司</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2019H1279</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厂界无组织废气(氟化物</w:t>
            </w:r>
            <w:r>
              <w:rPr>
                <w:rFonts w:eastAsia="宋体"/>
                <w:sz w:val="21"/>
                <w:szCs w:val="21"/>
              </w:rPr>
              <w:t>、硫酸雾、</w:t>
            </w:r>
            <w:r>
              <w:rPr>
                <w:rFonts w:hint="eastAsia" w:eastAsia="宋体"/>
                <w:sz w:val="21"/>
                <w:szCs w:val="21"/>
              </w:rPr>
              <w:t>NO</w:t>
            </w:r>
            <w:r>
              <w:rPr>
                <w:rFonts w:eastAsia="宋体"/>
                <w:sz w:val="21"/>
                <w:szCs w:val="21"/>
              </w:rPr>
              <w:t>x</w:t>
            </w: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hint="eastAsia" w:eastAsia="宋体"/>
                <w:sz w:val="21"/>
                <w:szCs w:val="21"/>
              </w:rPr>
              <w:t>6</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2018.3.9</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湖州市</w:t>
            </w:r>
            <w:r>
              <w:rPr>
                <w:rFonts w:eastAsia="宋体"/>
                <w:sz w:val="21"/>
                <w:szCs w:val="21"/>
              </w:rPr>
              <w:t>环境保护监测中心站</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湖环监</w:t>
            </w:r>
            <w:r>
              <w:rPr>
                <w:rFonts w:eastAsia="宋体"/>
                <w:sz w:val="21"/>
                <w:szCs w:val="21"/>
              </w:rPr>
              <w:t>（</w:t>
            </w:r>
            <w:r>
              <w:rPr>
                <w:rFonts w:hint="eastAsia" w:eastAsia="宋体"/>
                <w:sz w:val="21"/>
                <w:szCs w:val="21"/>
              </w:rPr>
              <w:t>2018</w:t>
            </w:r>
            <w:r>
              <w:rPr>
                <w:rFonts w:eastAsia="宋体"/>
                <w:sz w:val="21"/>
                <w:szCs w:val="21"/>
              </w:rPr>
              <w:t>）</w:t>
            </w:r>
            <w:r>
              <w:rPr>
                <w:rFonts w:hint="eastAsia" w:eastAsia="宋体"/>
                <w:sz w:val="21"/>
                <w:szCs w:val="21"/>
              </w:rPr>
              <w:t>监字</w:t>
            </w:r>
            <w:r>
              <w:rPr>
                <w:rFonts w:eastAsia="宋体"/>
                <w:sz w:val="21"/>
                <w:szCs w:val="21"/>
              </w:rPr>
              <w:t>第</w:t>
            </w:r>
            <w:r>
              <w:rPr>
                <w:rFonts w:hint="eastAsia" w:eastAsia="宋体"/>
                <w:sz w:val="21"/>
                <w:szCs w:val="21"/>
              </w:rPr>
              <w:t>032号</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5" w:type="dxa"/>
            <w:vAlign w:val="center"/>
          </w:tcPr>
          <w:p>
            <w:pPr>
              <w:adjustRightInd w:val="0"/>
              <w:snapToGrid w:val="0"/>
              <w:spacing w:line="340" w:lineRule="exact"/>
              <w:jc w:val="center"/>
              <w:rPr>
                <w:rFonts w:eastAsia="宋体"/>
                <w:sz w:val="21"/>
                <w:szCs w:val="21"/>
              </w:rPr>
            </w:pPr>
            <w:r>
              <w:rPr>
                <w:rFonts w:hint="eastAsia" w:eastAsia="宋体"/>
                <w:sz w:val="21"/>
                <w:szCs w:val="21"/>
              </w:rPr>
              <w:t>7</w:t>
            </w:r>
          </w:p>
        </w:tc>
        <w:tc>
          <w:tcPr>
            <w:tcW w:w="2139" w:type="dxa"/>
            <w:vAlign w:val="center"/>
          </w:tcPr>
          <w:p>
            <w:pPr>
              <w:adjustRightInd w:val="0"/>
              <w:snapToGrid w:val="0"/>
              <w:spacing w:line="340" w:lineRule="exact"/>
              <w:jc w:val="center"/>
              <w:rPr>
                <w:rFonts w:eastAsia="宋体"/>
                <w:sz w:val="21"/>
                <w:szCs w:val="21"/>
              </w:rPr>
            </w:pPr>
            <w:r>
              <w:rPr>
                <w:rFonts w:hint="eastAsia" w:eastAsia="宋体"/>
                <w:sz w:val="21"/>
                <w:szCs w:val="21"/>
              </w:rPr>
              <w:t>2018.11</w:t>
            </w:r>
          </w:p>
        </w:tc>
        <w:tc>
          <w:tcPr>
            <w:tcW w:w="1940" w:type="dxa"/>
            <w:vAlign w:val="center"/>
          </w:tcPr>
          <w:p>
            <w:pPr>
              <w:adjustRightInd w:val="0"/>
              <w:snapToGrid w:val="0"/>
              <w:spacing w:line="340" w:lineRule="exact"/>
              <w:jc w:val="center"/>
              <w:rPr>
                <w:rFonts w:eastAsia="宋体"/>
                <w:sz w:val="21"/>
                <w:szCs w:val="21"/>
              </w:rPr>
            </w:pPr>
            <w:r>
              <w:rPr>
                <w:rFonts w:hint="eastAsia" w:eastAsia="宋体"/>
                <w:sz w:val="21"/>
                <w:szCs w:val="21"/>
              </w:rPr>
              <w:t>杭州普洛塞斯检测科技有限公司</w:t>
            </w:r>
          </w:p>
        </w:tc>
        <w:tc>
          <w:tcPr>
            <w:tcW w:w="2089" w:type="dxa"/>
            <w:vAlign w:val="center"/>
          </w:tcPr>
          <w:p>
            <w:pPr>
              <w:adjustRightInd w:val="0"/>
              <w:snapToGrid w:val="0"/>
              <w:spacing w:line="340" w:lineRule="exact"/>
              <w:jc w:val="center"/>
              <w:rPr>
                <w:rFonts w:eastAsia="宋体"/>
                <w:sz w:val="21"/>
                <w:szCs w:val="21"/>
              </w:rPr>
            </w:pPr>
            <w:r>
              <w:rPr>
                <w:rFonts w:hint="eastAsia" w:eastAsia="宋体"/>
                <w:sz w:val="21"/>
                <w:szCs w:val="21"/>
              </w:rPr>
              <w:t>普洛塞斯竣验第2018Y</w:t>
            </w:r>
            <w:r>
              <w:rPr>
                <w:rFonts w:eastAsia="宋体"/>
                <w:sz w:val="21"/>
                <w:szCs w:val="21"/>
              </w:rPr>
              <w:t>S07043</w:t>
            </w:r>
            <w:r>
              <w:rPr>
                <w:rFonts w:hint="eastAsia" w:eastAsia="宋体"/>
                <w:sz w:val="21"/>
                <w:szCs w:val="21"/>
              </w:rPr>
              <w:t>号</w:t>
            </w:r>
          </w:p>
        </w:tc>
        <w:tc>
          <w:tcPr>
            <w:tcW w:w="1718" w:type="dxa"/>
            <w:vAlign w:val="center"/>
          </w:tcPr>
          <w:p>
            <w:pPr>
              <w:adjustRightInd w:val="0"/>
              <w:snapToGrid w:val="0"/>
              <w:spacing w:line="340" w:lineRule="exact"/>
              <w:jc w:val="center"/>
              <w:rPr>
                <w:rFonts w:eastAsia="宋体"/>
                <w:sz w:val="21"/>
                <w:szCs w:val="21"/>
              </w:rPr>
            </w:pPr>
            <w:r>
              <w:rPr>
                <w:rFonts w:hint="eastAsia" w:eastAsia="宋体"/>
                <w:sz w:val="21"/>
                <w:szCs w:val="21"/>
              </w:rPr>
              <w:t>轧钢</w:t>
            </w:r>
            <w:r>
              <w:rPr>
                <w:rFonts w:eastAsia="宋体"/>
                <w:sz w:val="21"/>
                <w:szCs w:val="21"/>
              </w:rPr>
              <w:t>废水水质、废水总排口</w:t>
            </w:r>
          </w:p>
        </w:tc>
      </w:tr>
    </w:tbl>
    <w:p>
      <w:pPr>
        <w:pStyle w:val="4"/>
        <w:spacing w:line="480" w:lineRule="exact"/>
        <w:outlineLvl w:val="3"/>
        <w:rPr>
          <w:rFonts w:ascii="Times New Roman" w:hAnsi="Times New Roman" w:cs="Times New Roman"/>
          <w:spacing w:val="0"/>
        </w:rPr>
      </w:pPr>
      <w:r>
        <w:rPr>
          <w:rFonts w:hint="eastAsia" w:ascii="Times New Roman" w:hAnsi="Times New Roman" w:cs="Times New Roman"/>
          <w:spacing w:val="0"/>
        </w:rPr>
        <w:t>1、废气</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(1)有组织废气</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①炼钢一厂</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炼钢一厂布袋除尘器出口DA001监测结</w:t>
      </w:r>
      <w:r>
        <w:rPr>
          <w:rFonts w:ascii="Times New Roman" w:hAnsi="Times New Roman" w:cs="Times New Roman"/>
          <w:spacing w:val="0"/>
        </w:rPr>
        <w:t>果详见表3-13～3-14。</w:t>
      </w:r>
    </w:p>
    <w:p>
      <w:pPr>
        <w:pStyle w:val="313"/>
        <w:tabs>
          <w:tab w:val="clear" w:pos="3908"/>
        </w:tabs>
        <w:ind w:left="1122" w:hanging="561"/>
        <w:rPr>
          <w:rFonts w:ascii="Times New Roman" w:hAnsi="Times New Roman"/>
        </w:rPr>
      </w:pPr>
      <w:r>
        <w:rPr>
          <w:rFonts w:hint="eastAsia" w:ascii="Times New Roman" w:hAnsi="Times New Roman"/>
          <w:lang w:eastAsia="zh-CN"/>
        </w:rPr>
        <w:t>炼钢一厂布袋除尘器出口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2348"/>
        <w:gridCol w:w="954"/>
        <w:gridCol w:w="1558"/>
        <w:gridCol w:w="1459"/>
        <w:gridCol w:w="947"/>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141" w:leftChars="-50" w:right="-141" w:rightChars="-50"/>
              <w:jc w:val="center"/>
              <w:rPr>
                <w:rFonts w:eastAsia="宋体"/>
                <w:kern w:val="0"/>
                <w:sz w:val="21"/>
                <w:szCs w:val="21"/>
              </w:rPr>
            </w:pPr>
            <w:r>
              <w:rPr>
                <w:rFonts w:eastAsia="宋体"/>
                <w:sz w:val="21"/>
                <w:szCs w:val="21"/>
              </w:rPr>
              <w:t>序号</w:t>
            </w:r>
          </w:p>
        </w:tc>
        <w:tc>
          <w:tcPr>
            <w:tcW w:w="2348" w:type="dxa"/>
            <w:vAlign w:val="center"/>
          </w:tcPr>
          <w:p>
            <w:pPr>
              <w:widowControl/>
              <w:spacing w:line="300" w:lineRule="exact"/>
              <w:ind w:left="-50" w:right="-50"/>
              <w:jc w:val="center"/>
              <w:rPr>
                <w:rFonts w:eastAsia="宋体"/>
                <w:kern w:val="0"/>
                <w:sz w:val="21"/>
                <w:szCs w:val="21"/>
              </w:rPr>
            </w:pPr>
            <w:r>
              <w:rPr>
                <w:rFonts w:eastAsia="宋体"/>
                <w:sz w:val="21"/>
                <w:szCs w:val="21"/>
              </w:rPr>
              <w:t>项目</w:t>
            </w:r>
          </w:p>
        </w:tc>
        <w:tc>
          <w:tcPr>
            <w:tcW w:w="954" w:type="dxa"/>
            <w:vAlign w:val="center"/>
          </w:tcPr>
          <w:p>
            <w:pPr>
              <w:widowControl/>
              <w:spacing w:line="300" w:lineRule="exact"/>
              <w:ind w:left="-50" w:right="-50"/>
              <w:jc w:val="center"/>
              <w:rPr>
                <w:rFonts w:eastAsia="宋体"/>
                <w:kern w:val="0"/>
                <w:sz w:val="21"/>
                <w:szCs w:val="21"/>
              </w:rPr>
            </w:pPr>
            <w:r>
              <w:rPr>
                <w:rFonts w:eastAsia="宋体"/>
                <w:sz w:val="21"/>
                <w:szCs w:val="21"/>
              </w:rPr>
              <w:t>单位</w:t>
            </w:r>
          </w:p>
        </w:tc>
        <w:tc>
          <w:tcPr>
            <w:tcW w:w="3017" w:type="dxa"/>
            <w:gridSpan w:val="2"/>
            <w:vAlign w:val="center"/>
          </w:tcPr>
          <w:p>
            <w:pPr>
              <w:widowControl/>
              <w:spacing w:line="300" w:lineRule="exact"/>
              <w:ind w:left="-50" w:right="-50"/>
              <w:jc w:val="center"/>
              <w:rPr>
                <w:rFonts w:eastAsia="宋体"/>
                <w:kern w:val="0"/>
                <w:sz w:val="21"/>
                <w:szCs w:val="21"/>
              </w:rPr>
            </w:pPr>
            <w:r>
              <w:rPr>
                <w:rFonts w:eastAsia="宋体"/>
                <w:sz w:val="21"/>
                <w:szCs w:val="21"/>
              </w:rPr>
              <w:t>检测结果</w:t>
            </w:r>
          </w:p>
        </w:tc>
        <w:tc>
          <w:tcPr>
            <w:tcW w:w="947" w:type="dxa"/>
            <w:vAlign w:val="center"/>
          </w:tcPr>
          <w:p>
            <w:pPr>
              <w:widowControl/>
              <w:spacing w:line="300" w:lineRule="exact"/>
              <w:ind w:left="-50" w:right="-50"/>
              <w:jc w:val="center"/>
              <w:rPr>
                <w:rFonts w:eastAsia="宋体"/>
                <w:kern w:val="0"/>
                <w:sz w:val="21"/>
                <w:szCs w:val="21"/>
              </w:rPr>
            </w:pPr>
            <w:r>
              <w:rPr>
                <w:rFonts w:hint="eastAsia" w:eastAsia="宋体"/>
                <w:kern w:val="0"/>
                <w:sz w:val="21"/>
                <w:szCs w:val="21"/>
              </w:rPr>
              <w:t>标准值</w:t>
            </w:r>
          </w:p>
        </w:tc>
        <w:tc>
          <w:tcPr>
            <w:tcW w:w="1012" w:type="dxa"/>
            <w:vAlign w:val="center"/>
          </w:tcPr>
          <w:p>
            <w:pPr>
              <w:widowControl/>
              <w:spacing w:line="300" w:lineRule="exact"/>
              <w:ind w:left="-50" w:right="-50"/>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1</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净化器名称及型号</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w:t>
            </w:r>
          </w:p>
        </w:tc>
        <w:tc>
          <w:tcPr>
            <w:tcW w:w="3017" w:type="dxa"/>
            <w:gridSpan w:val="2"/>
            <w:vAlign w:val="center"/>
          </w:tcPr>
          <w:p>
            <w:pPr>
              <w:spacing w:line="300" w:lineRule="exact"/>
              <w:ind w:left="-50" w:right="-50"/>
              <w:jc w:val="center"/>
              <w:rPr>
                <w:rFonts w:eastAsia="宋体"/>
                <w:bCs/>
                <w:kern w:val="0"/>
                <w:sz w:val="21"/>
                <w:szCs w:val="21"/>
              </w:rPr>
            </w:pPr>
            <w:r>
              <w:rPr>
                <w:rFonts w:eastAsia="宋体"/>
                <w:kern w:val="0"/>
                <w:sz w:val="21"/>
                <w:szCs w:val="21"/>
              </w:rPr>
              <w:t>布袋</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2</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测试地点</w:t>
            </w:r>
          </w:p>
        </w:tc>
        <w:tc>
          <w:tcPr>
            <w:tcW w:w="954"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w:t>
            </w:r>
          </w:p>
        </w:tc>
        <w:tc>
          <w:tcPr>
            <w:tcW w:w="3017" w:type="dxa"/>
            <w:gridSpan w:val="2"/>
            <w:vAlign w:val="center"/>
          </w:tcPr>
          <w:p>
            <w:pPr>
              <w:widowControl/>
              <w:spacing w:line="300" w:lineRule="exact"/>
              <w:ind w:left="-50" w:right="-50"/>
              <w:jc w:val="center"/>
              <w:rPr>
                <w:rFonts w:eastAsia="宋体"/>
                <w:bCs/>
                <w:kern w:val="0"/>
                <w:sz w:val="21"/>
                <w:szCs w:val="21"/>
              </w:rPr>
            </w:pPr>
            <w:r>
              <w:rPr>
                <w:rFonts w:eastAsia="宋体"/>
                <w:bCs/>
                <w:kern w:val="0"/>
                <w:sz w:val="21"/>
                <w:szCs w:val="21"/>
              </w:rPr>
              <w:t>炼钢一厂袋式除尘器废气排放口</w:t>
            </w:r>
            <w:r>
              <w:rPr>
                <w:rFonts w:hint="eastAsia" w:eastAsia="宋体"/>
                <w:bCs/>
                <w:kern w:val="0"/>
                <w:sz w:val="21"/>
                <w:szCs w:val="21"/>
              </w:rPr>
              <w:t>DA001</w:t>
            </w:r>
          </w:p>
        </w:tc>
        <w:tc>
          <w:tcPr>
            <w:tcW w:w="947"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3</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测试时间</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w:t>
            </w:r>
          </w:p>
        </w:tc>
        <w:tc>
          <w:tcPr>
            <w:tcW w:w="1558" w:type="dxa"/>
            <w:vAlign w:val="center"/>
          </w:tcPr>
          <w:p>
            <w:pPr>
              <w:spacing w:line="300" w:lineRule="exact"/>
              <w:ind w:left="-50" w:right="-50"/>
              <w:jc w:val="center"/>
              <w:rPr>
                <w:rFonts w:eastAsia="宋体"/>
                <w:bCs/>
                <w:kern w:val="0"/>
                <w:sz w:val="21"/>
                <w:szCs w:val="21"/>
              </w:rPr>
            </w:pPr>
            <w:r>
              <w:rPr>
                <w:rFonts w:eastAsia="宋体"/>
                <w:kern w:val="0"/>
                <w:sz w:val="21"/>
                <w:szCs w:val="21"/>
              </w:rPr>
              <w:t>2018.8.25</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2018.12.12</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4</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排气筒高度</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w:t>
            </w:r>
          </w:p>
        </w:tc>
        <w:tc>
          <w:tcPr>
            <w:tcW w:w="3017" w:type="dxa"/>
            <w:gridSpan w:val="2"/>
            <w:vAlign w:val="center"/>
          </w:tcPr>
          <w:p>
            <w:pPr>
              <w:spacing w:line="300" w:lineRule="exact"/>
              <w:ind w:left="-50" w:right="-50"/>
              <w:jc w:val="center"/>
              <w:rPr>
                <w:rFonts w:eastAsia="宋体"/>
                <w:bCs/>
                <w:kern w:val="0"/>
                <w:sz w:val="21"/>
                <w:szCs w:val="21"/>
              </w:rPr>
            </w:pPr>
            <w:r>
              <w:rPr>
                <w:rFonts w:eastAsia="宋体"/>
                <w:bCs/>
                <w:kern w:val="0"/>
                <w:sz w:val="21"/>
                <w:szCs w:val="21"/>
              </w:rPr>
              <w:t>30</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*5</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废气温度</w:t>
            </w:r>
          </w:p>
        </w:tc>
        <w:tc>
          <w:tcPr>
            <w:tcW w:w="954" w:type="dxa"/>
            <w:vAlign w:val="center"/>
          </w:tcPr>
          <w:p>
            <w:pPr>
              <w:widowControl/>
              <w:spacing w:line="300" w:lineRule="exact"/>
              <w:ind w:left="-50" w:right="-50"/>
              <w:jc w:val="center"/>
              <w:rPr>
                <w:rFonts w:eastAsia="宋体"/>
                <w:bCs/>
                <w:kern w:val="0"/>
                <w:sz w:val="21"/>
                <w:szCs w:val="21"/>
              </w:rPr>
            </w:pPr>
            <w:r>
              <w:rPr>
                <w:rFonts w:hint="eastAsia" w:ascii="宋体" w:hAnsi="宋体" w:eastAsia="宋体" w:cs="宋体"/>
                <w:sz w:val="21"/>
                <w:szCs w:val="21"/>
              </w:rPr>
              <w:t>℃</w:t>
            </w:r>
          </w:p>
        </w:tc>
        <w:tc>
          <w:tcPr>
            <w:tcW w:w="1558"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48</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*6</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废气流速</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m/s</w:t>
            </w:r>
          </w:p>
        </w:tc>
        <w:tc>
          <w:tcPr>
            <w:tcW w:w="1558"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11.1</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*7</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实测废气流量</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558"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9.0</w:t>
            </w:r>
            <w:r>
              <w:rPr>
                <w:rFonts w:eastAsia="宋体"/>
                <w:bCs/>
                <w:kern w:val="0"/>
                <w:sz w:val="21"/>
                <w:szCs w:val="21"/>
              </w:rPr>
              <w:t>×10</w:t>
            </w:r>
            <w:r>
              <w:rPr>
                <w:rFonts w:hint="eastAsia" w:eastAsia="宋体"/>
                <w:bCs/>
                <w:kern w:val="0"/>
                <w:sz w:val="21"/>
                <w:szCs w:val="21"/>
                <w:vertAlign w:val="superscript"/>
              </w:rPr>
              <w:t>5</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*8</w:t>
            </w:r>
          </w:p>
        </w:tc>
        <w:tc>
          <w:tcPr>
            <w:tcW w:w="2348" w:type="dxa"/>
            <w:vAlign w:val="center"/>
          </w:tcPr>
          <w:p>
            <w:pPr>
              <w:widowControl/>
              <w:spacing w:line="300" w:lineRule="exact"/>
              <w:ind w:left="-50" w:right="-50"/>
              <w:jc w:val="center"/>
              <w:rPr>
                <w:rFonts w:eastAsia="宋体"/>
                <w:bCs/>
                <w:kern w:val="0"/>
                <w:sz w:val="21"/>
                <w:szCs w:val="21"/>
              </w:rPr>
            </w:pPr>
            <w:r>
              <w:rPr>
                <w:rFonts w:eastAsia="宋体"/>
                <w:sz w:val="21"/>
                <w:szCs w:val="21"/>
              </w:rPr>
              <w:t>标干态废气流量</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1558"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7.44</w:t>
            </w:r>
            <w:r>
              <w:rPr>
                <w:rFonts w:eastAsia="宋体"/>
                <w:bCs/>
                <w:kern w:val="0"/>
                <w:sz w:val="21"/>
                <w:szCs w:val="21"/>
              </w:rPr>
              <w:t>×10</w:t>
            </w:r>
            <w:r>
              <w:rPr>
                <w:rFonts w:hint="eastAsia" w:eastAsia="宋体"/>
                <w:bCs/>
                <w:kern w:val="0"/>
                <w:sz w:val="21"/>
                <w:szCs w:val="21"/>
                <w:vertAlign w:val="superscript"/>
              </w:rPr>
              <w:t>5</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9</w:t>
            </w:r>
          </w:p>
        </w:tc>
        <w:tc>
          <w:tcPr>
            <w:tcW w:w="2348" w:type="dxa"/>
            <w:vAlign w:val="center"/>
          </w:tcPr>
          <w:p>
            <w:pPr>
              <w:widowControl/>
              <w:adjustRightInd w:val="0"/>
              <w:snapToGrid w:val="0"/>
              <w:spacing w:line="300" w:lineRule="exact"/>
              <w:ind w:left="-50" w:right="-50"/>
              <w:jc w:val="center"/>
              <w:rPr>
                <w:rFonts w:eastAsia="宋体"/>
                <w:kern w:val="0"/>
                <w:sz w:val="21"/>
                <w:szCs w:val="21"/>
              </w:rPr>
            </w:pPr>
            <w:r>
              <w:rPr>
                <w:rFonts w:eastAsia="宋体"/>
                <w:sz w:val="21"/>
                <w:szCs w:val="21"/>
              </w:rPr>
              <w:t>颗粒物排放浓度</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58" w:type="dxa"/>
            <w:vAlign w:val="center"/>
          </w:tcPr>
          <w:p>
            <w:pPr>
              <w:spacing w:line="300" w:lineRule="exact"/>
              <w:ind w:left="-50" w:right="-50"/>
              <w:jc w:val="center"/>
              <w:rPr>
                <w:rFonts w:eastAsia="宋体"/>
                <w:kern w:val="0"/>
                <w:sz w:val="21"/>
                <w:szCs w:val="21"/>
              </w:rPr>
            </w:pPr>
            <w:r>
              <w:rPr>
                <w:rFonts w:eastAsia="宋体"/>
                <w:kern w:val="0"/>
                <w:sz w:val="21"/>
                <w:szCs w:val="21"/>
              </w:rPr>
              <w:t>4.5</w:t>
            </w:r>
          </w:p>
        </w:tc>
        <w:tc>
          <w:tcPr>
            <w:tcW w:w="1459" w:type="dxa"/>
            <w:vAlign w:val="center"/>
          </w:tcPr>
          <w:p>
            <w:pPr>
              <w:spacing w:line="300" w:lineRule="exact"/>
              <w:ind w:left="-50" w:right="-50"/>
              <w:jc w:val="center"/>
              <w:rPr>
                <w:rFonts w:eastAsia="宋体"/>
                <w:kern w:val="0"/>
                <w:sz w:val="21"/>
                <w:szCs w:val="21"/>
              </w:rPr>
            </w:pPr>
            <w:r>
              <w:rPr>
                <w:rFonts w:hint="eastAsia" w:eastAsia="宋体"/>
                <w:kern w:val="0"/>
                <w:sz w:val="21"/>
                <w:szCs w:val="21"/>
              </w:rPr>
              <w:t>1.3.</w:t>
            </w:r>
          </w:p>
        </w:tc>
        <w:tc>
          <w:tcPr>
            <w:tcW w:w="947" w:type="dxa"/>
            <w:vAlign w:val="center"/>
          </w:tcPr>
          <w:p>
            <w:pPr>
              <w:spacing w:line="300" w:lineRule="exact"/>
              <w:ind w:left="-50" w:right="-50"/>
              <w:jc w:val="center"/>
              <w:rPr>
                <w:rFonts w:eastAsia="宋体"/>
                <w:kern w:val="0"/>
                <w:sz w:val="21"/>
                <w:szCs w:val="21"/>
              </w:rPr>
            </w:pPr>
            <w:r>
              <w:rPr>
                <w:rFonts w:hint="eastAsia" w:eastAsia="宋体"/>
                <w:kern w:val="0"/>
                <w:sz w:val="21"/>
                <w:szCs w:val="21"/>
              </w:rPr>
              <w:t>≤15</w:t>
            </w:r>
          </w:p>
        </w:tc>
        <w:tc>
          <w:tcPr>
            <w:tcW w:w="1012" w:type="dxa"/>
            <w:vAlign w:val="center"/>
          </w:tcPr>
          <w:p>
            <w:pPr>
              <w:spacing w:line="300" w:lineRule="exact"/>
              <w:ind w:left="-50" w:right="-50"/>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bCs/>
                <w:kern w:val="0"/>
                <w:sz w:val="21"/>
                <w:szCs w:val="21"/>
              </w:rPr>
            </w:pPr>
            <w:r>
              <w:rPr>
                <w:rFonts w:eastAsia="宋体"/>
                <w:sz w:val="21"/>
                <w:szCs w:val="21"/>
              </w:rPr>
              <w:t>10</w:t>
            </w:r>
          </w:p>
        </w:tc>
        <w:tc>
          <w:tcPr>
            <w:tcW w:w="2348" w:type="dxa"/>
            <w:vAlign w:val="center"/>
          </w:tcPr>
          <w:p>
            <w:pPr>
              <w:widowControl/>
              <w:adjustRightInd w:val="0"/>
              <w:snapToGrid w:val="0"/>
              <w:spacing w:line="300" w:lineRule="exact"/>
              <w:ind w:left="-50" w:right="-50"/>
              <w:jc w:val="center"/>
              <w:rPr>
                <w:rFonts w:eastAsia="宋体"/>
                <w:kern w:val="0"/>
                <w:sz w:val="21"/>
                <w:szCs w:val="21"/>
              </w:rPr>
            </w:pPr>
            <w:r>
              <w:rPr>
                <w:rFonts w:eastAsia="宋体"/>
                <w:sz w:val="21"/>
                <w:szCs w:val="21"/>
              </w:rPr>
              <w:t>颗粒物排放速率</w:t>
            </w:r>
          </w:p>
        </w:tc>
        <w:tc>
          <w:tcPr>
            <w:tcW w:w="954"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kg/h</w:t>
            </w:r>
          </w:p>
        </w:tc>
        <w:tc>
          <w:tcPr>
            <w:tcW w:w="1558" w:type="dxa"/>
            <w:vAlign w:val="center"/>
          </w:tcPr>
          <w:p>
            <w:pPr>
              <w:spacing w:line="300" w:lineRule="exact"/>
              <w:ind w:left="-50" w:right="-50"/>
              <w:jc w:val="center"/>
              <w:rPr>
                <w:rFonts w:eastAsia="宋体"/>
                <w:kern w:val="0"/>
                <w:sz w:val="21"/>
                <w:szCs w:val="21"/>
              </w:rPr>
            </w:pPr>
            <w:r>
              <w:rPr>
                <w:rFonts w:eastAsia="宋体"/>
                <w:bCs/>
                <w:kern w:val="0"/>
                <w:sz w:val="21"/>
                <w:szCs w:val="21"/>
              </w:rPr>
              <w:t>3.99</w:t>
            </w:r>
          </w:p>
        </w:tc>
        <w:tc>
          <w:tcPr>
            <w:tcW w:w="1459" w:type="dxa"/>
            <w:vAlign w:val="center"/>
          </w:tcPr>
          <w:p>
            <w:pPr>
              <w:spacing w:line="300" w:lineRule="exact"/>
              <w:ind w:left="-50" w:right="-50"/>
              <w:jc w:val="center"/>
              <w:rPr>
                <w:rFonts w:eastAsia="宋体"/>
                <w:kern w:val="0"/>
                <w:sz w:val="21"/>
                <w:szCs w:val="21"/>
              </w:rPr>
            </w:pPr>
            <w:r>
              <w:rPr>
                <w:rFonts w:hint="eastAsia" w:eastAsia="宋体"/>
                <w:kern w:val="0"/>
                <w:sz w:val="21"/>
                <w:szCs w:val="21"/>
              </w:rPr>
              <w:t>0.967</w:t>
            </w:r>
          </w:p>
        </w:tc>
        <w:tc>
          <w:tcPr>
            <w:tcW w:w="947" w:type="dxa"/>
            <w:vAlign w:val="center"/>
          </w:tcPr>
          <w:p>
            <w:pPr>
              <w:spacing w:line="300" w:lineRule="exact"/>
              <w:ind w:left="-50" w:right="-50"/>
              <w:jc w:val="center"/>
              <w:rPr>
                <w:rFonts w:eastAsia="宋体"/>
                <w:kern w:val="0"/>
                <w:sz w:val="21"/>
                <w:szCs w:val="21"/>
              </w:rPr>
            </w:pPr>
            <w:r>
              <w:rPr>
                <w:rFonts w:hint="eastAsia" w:eastAsia="宋体"/>
                <w:kern w:val="0"/>
                <w:sz w:val="21"/>
                <w:szCs w:val="21"/>
              </w:rPr>
              <w:t>/</w:t>
            </w:r>
          </w:p>
        </w:tc>
        <w:tc>
          <w:tcPr>
            <w:tcW w:w="1012" w:type="dxa"/>
            <w:vAlign w:val="center"/>
          </w:tcPr>
          <w:p>
            <w:pPr>
              <w:spacing w:line="300" w:lineRule="exact"/>
              <w:ind w:left="-50" w:right="-50"/>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sz w:val="21"/>
                <w:szCs w:val="21"/>
              </w:rPr>
            </w:pPr>
            <w:r>
              <w:rPr>
                <w:rFonts w:eastAsia="宋体"/>
                <w:sz w:val="21"/>
                <w:szCs w:val="21"/>
              </w:rPr>
              <w:t>11</w:t>
            </w:r>
          </w:p>
        </w:tc>
        <w:tc>
          <w:tcPr>
            <w:tcW w:w="2348" w:type="dxa"/>
            <w:vAlign w:val="center"/>
          </w:tcPr>
          <w:p>
            <w:pPr>
              <w:widowControl/>
              <w:adjustRightInd w:val="0"/>
              <w:snapToGrid w:val="0"/>
              <w:spacing w:line="300" w:lineRule="exact"/>
              <w:ind w:left="-50" w:right="-50"/>
              <w:jc w:val="center"/>
              <w:rPr>
                <w:rFonts w:eastAsia="宋体"/>
                <w:sz w:val="21"/>
                <w:szCs w:val="21"/>
              </w:rPr>
            </w:pPr>
            <w:r>
              <w:rPr>
                <w:rFonts w:eastAsia="宋体"/>
                <w:sz w:val="21"/>
                <w:szCs w:val="21"/>
              </w:rPr>
              <w:t>氟化物排放浓度</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58" w:type="dxa"/>
            <w:vAlign w:val="center"/>
          </w:tcPr>
          <w:p>
            <w:pPr>
              <w:spacing w:line="300" w:lineRule="exact"/>
              <w:ind w:left="-50" w:right="-50"/>
              <w:jc w:val="center"/>
              <w:rPr>
                <w:rFonts w:eastAsia="宋体"/>
                <w:bCs/>
                <w:kern w:val="0"/>
                <w:sz w:val="21"/>
                <w:szCs w:val="21"/>
              </w:rPr>
            </w:pPr>
            <w:r>
              <w:rPr>
                <w:rFonts w:eastAsia="宋体"/>
                <w:bCs/>
                <w:kern w:val="0"/>
                <w:sz w:val="21"/>
                <w:szCs w:val="21"/>
              </w:rPr>
              <w:t>2.23</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947" w:type="dxa"/>
            <w:vAlign w:val="center"/>
          </w:tcPr>
          <w:p>
            <w:pPr>
              <w:spacing w:line="300" w:lineRule="exact"/>
              <w:ind w:left="-50" w:right="-50"/>
              <w:jc w:val="center"/>
              <w:rPr>
                <w:rFonts w:eastAsia="宋体"/>
                <w:bCs/>
                <w:kern w:val="0"/>
                <w:sz w:val="21"/>
                <w:szCs w:val="21"/>
              </w:rPr>
            </w:pPr>
            <w:r>
              <w:rPr>
                <w:rFonts w:hint="eastAsia" w:eastAsia="宋体"/>
                <w:kern w:val="0"/>
                <w:sz w:val="21"/>
                <w:szCs w:val="21"/>
              </w:rPr>
              <w:t>≤</w:t>
            </w:r>
            <w:r>
              <w:rPr>
                <w:rFonts w:eastAsia="宋体"/>
                <w:kern w:val="0"/>
                <w:sz w:val="21"/>
                <w:szCs w:val="21"/>
              </w:rPr>
              <w:t>9.0</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sz w:val="21"/>
                <w:szCs w:val="21"/>
              </w:rPr>
            </w:pPr>
            <w:r>
              <w:rPr>
                <w:rFonts w:eastAsia="宋体"/>
                <w:sz w:val="21"/>
                <w:szCs w:val="21"/>
              </w:rPr>
              <w:t>12</w:t>
            </w:r>
          </w:p>
        </w:tc>
        <w:tc>
          <w:tcPr>
            <w:tcW w:w="2348" w:type="dxa"/>
            <w:vAlign w:val="center"/>
          </w:tcPr>
          <w:p>
            <w:pPr>
              <w:widowControl/>
              <w:adjustRightInd w:val="0"/>
              <w:snapToGrid w:val="0"/>
              <w:spacing w:line="300" w:lineRule="exact"/>
              <w:ind w:left="-50" w:right="-50"/>
              <w:jc w:val="center"/>
              <w:rPr>
                <w:rFonts w:eastAsia="宋体"/>
                <w:sz w:val="21"/>
                <w:szCs w:val="21"/>
              </w:rPr>
            </w:pPr>
            <w:r>
              <w:rPr>
                <w:rFonts w:eastAsia="宋体"/>
                <w:sz w:val="21"/>
                <w:szCs w:val="21"/>
              </w:rPr>
              <w:t>氟化物排放速率</w:t>
            </w:r>
          </w:p>
        </w:tc>
        <w:tc>
          <w:tcPr>
            <w:tcW w:w="954"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kg/h</w:t>
            </w:r>
          </w:p>
        </w:tc>
        <w:tc>
          <w:tcPr>
            <w:tcW w:w="1558" w:type="dxa"/>
            <w:vAlign w:val="center"/>
          </w:tcPr>
          <w:p>
            <w:pPr>
              <w:spacing w:line="300" w:lineRule="exact"/>
              <w:ind w:left="-50" w:right="-50"/>
              <w:jc w:val="center"/>
              <w:rPr>
                <w:rFonts w:eastAsia="宋体"/>
                <w:bCs/>
                <w:kern w:val="0"/>
                <w:sz w:val="21"/>
                <w:szCs w:val="21"/>
              </w:rPr>
            </w:pPr>
            <w:r>
              <w:rPr>
                <w:rFonts w:eastAsia="宋体"/>
                <w:bCs/>
                <w:kern w:val="0"/>
                <w:sz w:val="21"/>
                <w:szCs w:val="21"/>
              </w:rPr>
              <w:t>1.98</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sz w:val="21"/>
                <w:szCs w:val="21"/>
              </w:rPr>
            </w:pPr>
            <w:r>
              <w:rPr>
                <w:rFonts w:eastAsia="宋体"/>
                <w:sz w:val="21"/>
                <w:szCs w:val="21"/>
              </w:rPr>
              <w:t>13</w:t>
            </w:r>
          </w:p>
        </w:tc>
        <w:tc>
          <w:tcPr>
            <w:tcW w:w="2348" w:type="dxa"/>
            <w:vAlign w:val="center"/>
          </w:tcPr>
          <w:p>
            <w:pPr>
              <w:widowControl/>
              <w:adjustRightInd w:val="0"/>
              <w:snapToGrid w:val="0"/>
              <w:spacing w:line="300" w:lineRule="exact"/>
              <w:ind w:left="-50" w:right="-50"/>
              <w:jc w:val="center"/>
              <w:rPr>
                <w:rFonts w:eastAsia="宋体"/>
                <w:sz w:val="21"/>
                <w:szCs w:val="21"/>
              </w:rPr>
            </w:pPr>
            <w:r>
              <w:rPr>
                <w:rFonts w:eastAsia="宋体"/>
                <w:sz w:val="21"/>
                <w:szCs w:val="21"/>
              </w:rPr>
              <w:t>二氧化硫排放浓度</w:t>
            </w:r>
          </w:p>
        </w:tc>
        <w:tc>
          <w:tcPr>
            <w:tcW w:w="954" w:type="dxa"/>
            <w:vAlign w:val="center"/>
          </w:tcPr>
          <w:p>
            <w:pPr>
              <w:widowControl/>
              <w:spacing w:line="300" w:lineRule="exact"/>
              <w:ind w:left="-50" w:right="-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58" w:type="dxa"/>
            <w:vAlign w:val="center"/>
          </w:tcPr>
          <w:p>
            <w:pPr>
              <w:spacing w:line="300" w:lineRule="exact"/>
              <w:ind w:left="-50" w:right="-50"/>
              <w:jc w:val="center"/>
              <w:rPr>
                <w:rFonts w:eastAsia="宋体"/>
                <w:bCs/>
                <w:kern w:val="0"/>
                <w:sz w:val="21"/>
                <w:szCs w:val="21"/>
              </w:rPr>
            </w:pPr>
            <w:r>
              <w:rPr>
                <w:rFonts w:eastAsia="宋体"/>
                <w:bCs/>
                <w:kern w:val="0"/>
                <w:sz w:val="21"/>
                <w:szCs w:val="21"/>
              </w:rPr>
              <w:t>&lt;3</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3" w:type="dxa"/>
            <w:vAlign w:val="center"/>
          </w:tcPr>
          <w:p>
            <w:pPr>
              <w:widowControl/>
              <w:spacing w:line="300" w:lineRule="exact"/>
              <w:ind w:left="-50" w:right="-50"/>
              <w:jc w:val="center"/>
              <w:rPr>
                <w:rFonts w:eastAsia="宋体"/>
                <w:sz w:val="21"/>
                <w:szCs w:val="21"/>
              </w:rPr>
            </w:pPr>
            <w:r>
              <w:rPr>
                <w:rFonts w:eastAsia="宋体"/>
                <w:sz w:val="21"/>
                <w:szCs w:val="21"/>
              </w:rPr>
              <w:t>14</w:t>
            </w:r>
          </w:p>
        </w:tc>
        <w:tc>
          <w:tcPr>
            <w:tcW w:w="2348" w:type="dxa"/>
            <w:vAlign w:val="center"/>
          </w:tcPr>
          <w:p>
            <w:pPr>
              <w:widowControl/>
              <w:adjustRightInd w:val="0"/>
              <w:snapToGrid w:val="0"/>
              <w:spacing w:line="300" w:lineRule="exact"/>
              <w:ind w:left="-50" w:right="-50"/>
              <w:jc w:val="center"/>
              <w:rPr>
                <w:rFonts w:eastAsia="宋体"/>
                <w:sz w:val="21"/>
                <w:szCs w:val="21"/>
              </w:rPr>
            </w:pPr>
            <w:r>
              <w:rPr>
                <w:rFonts w:eastAsia="宋体"/>
                <w:sz w:val="21"/>
                <w:szCs w:val="21"/>
              </w:rPr>
              <w:t>二氧化硫排放速率</w:t>
            </w:r>
          </w:p>
        </w:tc>
        <w:tc>
          <w:tcPr>
            <w:tcW w:w="954"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kg/h</w:t>
            </w:r>
          </w:p>
        </w:tc>
        <w:tc>
          <w:tcPr>
            <w:tcW w:w="1558" w:type="dxa"/>
            <w:vAlign w:val="center"/>
          </w:tcPr>
          <w:p>
            <w:pPr>
              <w:spacing w:line="300" w:lineRule="exact"/>
              <w:ind w:left="-50" w:right="-50"/>
              <w:jc w:val="center"/>
              <w:rPr>
                <w:rFonts w:eastAsia="宋体"/>
                <w:bCs/>
                <w:kern w:val="0"/>
                <w:sz w:val="21"/>
                <w:szCs w:val="21"/>
              </w:rPr>
            </w:pPr>
            <w:r>
              <w:rPr>
                <w:rFonts w:eastAsia="宋体"/>
                <w:bCs/>
                <w:kern w:val="0"/>
                <w:sz w:val="21"/>
                <w:szCs w:val="21"/>
              </w:rPr>
              <w:t>&lt;2.66</w:t>
            </w:r>
          </w:p>
        </w:tc>
        <w:tc>
          <w:tcPr>
            <w:tcW w:w="14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94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1012"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7"/>
            <w:vAlign w:val="center"/>
          </w:tcPr>
          <w:p>
            <w:pPr>
              <w:widowControl/>
              <w:spacing w:line="300" w:lineRule="exact"/>
              <w:ind w:left="-50" w:right="-50"/>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313"/>
        <w:tabs>
          <w:tab w:val="clear" w:pos="3908"/>
        </w:tabs>
        <w:ind w:left="1122" w:hanging="561"/>
        <w:rPr>
          <w:rFonts w:ascii="Times New Roman" w:hAnsi="Times New Roman"/>
        </w:rPr>
      </w:pPr>
      <w:r>
        <w:rPr>
          <w:rFonts w:hint="eastAsia" w:ascii="Times New Roman" w:hAnsi="Times New Roman"/>
          <w:lang w:eastAsia="zh-CN"/>
        </w:rPr>
        <w:t>炼钢一厂布袋除尘器出口二噁英</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421"/>
        <w:gridCol w:w="1188"/>
        <w:gridCol w:w="1281"/>
        <w:gridCol w:w="1281"/>
        <w:gridCol w:w="1281"/>
        <w:gridCol w:w="82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20" w:lineRule="exact"/>
              <w:ind w:left="-141" w:leftChars="-50" w:right="-141" w:rightChars="-50"/>
              <w:jc w:val="center"/>
              <w:rPr>
                <w:rFonts w:eastAsia="宋体"/>
                <w:kern w:val="0"/>
                <w:sz w:val="21"/>
                <w:szCs w:val="21"/>
              </w:rPr>
            </w:pPr>
            <w:r>
              <w:rPr>
                <w:rFonts w:eastAsia="宋体"/>
                <w:sz w:val="21"/>
                <w:szCs w:val="21"/>
              </w:rPr>
              <w:t>序号</w:t>
            </w:r>
          </w:p>
        </w:tc>
        <w:tc>
          <w:tcPr>
            <w:tcW w:w="1421" w:type="dxa"/>
            <w:vAlign w:val="center"/>
          </w:tcPr>
          <w:p>
            <w:pPr>
              <w:widowControl/>
              <w:spacing w:line="320" w:lineRule="exact"/>
              <w:ind w:left="-50" w:right="-50"/>
              <w:jc w:val="center"/>
              <w:rPr>
                <w:rFonts w:eastAsia="宋体"/>
                <w:kern w:val="0"/>
                <w:sz w:val="21"/>
                <w:szCs w:val="21"/>
              </w:rPr>
            </w:pPr>
            <w:r>
              <w:rPr>
                <w:rFonts w:eastAsia="宋体"/>
                <w:sz w:val="21"/>
                <w:szCs w:val="21"/>
              </w:rPr>
              <w:t>项目</w:t>
            </w:r>
          </w:p>
        </w:tc>
        <w:tc>
          <w:tcPr>
            <w:tcW w:w="1188" w:type="dxa"/>
            <w:vAlign w:val="center"/>
          </w:tcPr>
          <w:p>
            <w:pPr>
              <w:widowControl/>
              <w:spacing w:line="320" w:lineRule="exact"/>
              <w:ind w:left="-50" w:right="-50"/>
              <w:jc w:val="center"/>
              <w:rPr>
                <w:rFonts w:eastAsia="宋体"/>
                <w:kern w:val="0"/>
                <w:sz w:val="21"/>
                <w:szCs w:val="21"/>
              </w:rPr>
            </w:pPr>
            <w:r>
              <w:rPr>
                <w:rFonts w:eastAsia="宋体"/>
                <w:sz w:val="21"/>
                <w:szCs w:val="21"/>
              </w:rPr>
              <w:t>单位</w:t>
            </w:r>
          </w:p>
        </w:tc>
        <w:tc>
          <w:tcPr>
            <w:tcW w:w="3843" w:type="dxa"/>
            <w:gridSpan w:val="3"/>
            <w:vAlign w:val="center"/>
          </w:tcPr>
          <w:p>
            <w:pPr>
              <w:widowControl/>
              <w:spacing w:line="320" w:lineRule="exact"/>
              <w:ind w:left="-50" w:right="-50"/>
              <w:jc w:val="center"/>
              <w:rPr>
                <w:rFonts w:eastAsia="宋体"/>
                <w:kern w:val="0"/>
                <w:sz w:val="21"/>
                <w:szCs w:val="21"/>
              </w:rPr>
            </w:pPr>
            <w:r>
              <w:rPr>
                <w:rFonts w:eastAsia="宋体"/>
                <w:sz w:val="21"/>
                <w:szCs w:val="21"/>
              </w:rPr>
              <w:t>检测结果</w:t>
            </w:r>
          </w:p>
        </w:tc>
        <w:tc>
          <w:tcPr>
            <w:tcW w:w="827" w:type="dxa"/>
            <w:vAlign w:val="center"/>
          </w:tcPr>
          <w:p>
            <w:pPr>
              <w:widowControl/>
              <w:spacing w:line="320" w:lineRule="exact"/>
              <w:ind w:left="-50" w:right="-50"/>
              <w:jc w:val="center"/>
              <w:rPr>
                <w:rFonts w:eastAsia="宋体"/>
                <w:kern w:val="0"/>
                <w:sz w:val="21"/>
                <w:szCs w:val="21"/>
              </w:rPr>
            </w:pPr>
            <w:r>
              <w:rPr>
                <w:rFonts w:hint="eastAsia" w:eastAsia="宋体"/>
                <w:kern w:val="0"/>
                <w:sz w:val="21"/>
                <w:szCs w:val="21"/>
              </w:rPr>
              <w:t>标准值</w:t>
            </w:r>
          </w:p>
        </w:tc>
        <w:tc>
          <w:tcPr>
            <w:tcW w:w="961" w:type="dxa"/>
            <w:vAlign w:val="center"/>
          </w:tcPr>
          <w:p>
            <w:pPr>
              <w:widowControl/>
              <w:spacing w:line="320" w:lineRule="exact"/>
              <w:ind w:left="-50" w:right="-50"/>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20" w:lineRule="exact"/>
              <w:ind w:left="-50" w:right="-50"/>
              <w:jc w:val="center"/>
              <w:rPr>
                <w:rFonts w:eastAsia="宋体"/>
                <w:bCs/>
                <w:kern w:val="0"/>
                <w:sz w:val="21"/>
                <w:szCs w:val="21"/>
                <w:lang w:val="zh-CN"/>
              </w:rPr>
            </w:pPr>
            <w:r>
              <w:rPr>
                <w:rFonts w:eastAsia="宋体"/>
                <w:sz w:val="21"/>
                <w:szCs w:val="21"/>
              </w:rPr>
              <w:t>1</w:t>
            </w:r>
          </w:p>
        </w:tc>
        <w:tc>
          <w:tcPr>
            <w:tcW w:w="1421" w:type="dxa"/>
            <w:vAlign w:val="center"/>
          </w:tcPr>
          <w:p>
            <w:pPr>
              <w:widowControl/>
              <w:spacing w:line="320" w:lineRule="exact"/>
              <w:ind w:left="-50" w:right="-50"/>
              <w:jc w:val="center"/>
              <w:rPr>
                <w:rFonts w:eastAsia="宋体"/>
                <w:bCs/>
                <w:kern w:val="0"/>
                <w:sz w:val="21"/>
                <w:szCs w:val="21"/>
              </w:rPr>
            </w:pPr>
            <w:r>
              <w:rPr>
                <w:rFonts w:eastAsia="宋体"/>
                <w:sz w:val="21"/>
                <w:szCs w:val="21"/>
              </w:rPr>
              <w:t>净化器名称及型号</w:t>
            </w:r>
          </w:p>
        </w:tc>
        <w:tc>
          <w:tcPr>
            <w:tcW w:w="1188" w:type="dxa"/>
            <w:vAlign w:val="center"/>
          </w:tcPr>
          <w:p>
            <w:pPr>
              <w:widowControl/>
              <w:spacing w:line="320" w:lineRule="exact"/>
              <w:ind w:left="-50" w:right="-50"/>
              <w:jc w:val="center"/>
              <w:rPr>
                <w:rFonts w:eastAsia="宋体"/>
                <w:bCs/>
                <w:kern w:val="0"/>
                <w:sz w:val="21"/>
                <w:szCs w:val="21"/>
              </w:rPr>
            </w:pPr>
            <w:r>
              <w:rPr>
                <w:rFonts w:eastAsia="宋体"/>
                <w:sz w:val="21"/>
                <w:szCs w:val="21"/>
              </w:rPr>
              <w:t>/</w:t>
            </w:r>
          </w:p>
        </w:tc>
        <w:tc>
          <w:tcPr>
            <w:tcW w:w="3843" w:type="dxa"/>
            <w:gridSpan w:val="3"/>
            <w:vAlign w:val="center"/>
          </w:tcPr>
          <w:p>
            <w:pPr>
              <w:spacing w:line="320" w:lineRule="exact"/>
              <w:ind w:left="-50" w:right="-50"/>
              <w:jc w:val="center"/>
              <w:rPr>
                <w:rFonts w:eastAsia="宋体"/>
                <w:bCs/>
                <w:kern w:val="0"/>
                <w:sz w:val="21"/>
                <w:szCs w:val="21"/>
              </w:rPr>
            </w:pPr>
            <w:r>
              <w:rPr>
                <w:rFonts w:eastAsia="宋体"/>
                <w:kern w:val="0"/>
                <w:sz w:val="21"/>
                <w:szCs w:val="21"/>
              </w:rPr>
              <w:t>布袋</w:t>
            </w:r>
            <w:r>
              <w:rPr>
                <w:rFonts w:hint="eastAsia" w:eastAsia="宋体"/>
                <w:kern w:val="0"/>
                <w:sz w:val="21"/>
                <w:szCs w:val="21"/>
              </w:rPr>
              <w:t>除尘</w:t>
            </w:r>
          </w:p>
        </w:tc>
        <w:tc>
          <w:tcPr>
            <w:tcW w:w="827" w:type="dxa"/>
            <w:vAlign w:val="center"/>
          </w:tcPr>
          <w:p>
            <w:pPr>
              <w:spacing w:line="320" w:lineRule="exact"/>
              <w:ind w:left="-50" w:right="-50"/>
              <w:jc w:val="center"/>
              <w:rPr>
                <w:rFonts w:eastAsia="宋体"/>
                <w:bCs/>
                <w:kern w:val="0"/>
                <w:sz w:val="21"/>
                <w:szCs w:val="21"/>
              </w:rPr>
            </w:pPr>
            <w:r>
              <w:rPr>
                <w:rFonts w:hint="eastAsia" w:eastAsia="宋体"/>
                <w:bCs/>
                <w:kern w:val="0"/>
                <w:sz w:val="21"/>
                <w:szCs w:val="21"/>
              </w:rPr>
              <w:t>/</w:t>
            </w:r>
          </w:p>
        </w:tc>
        <w:tc>
          <w:tcPr>
            <w:tcW w:w="961" w:type="dxa"/>
            <w:vAlign w:val="center"/>
          </w:tcPr>
          <w:p>
            <w:pPr>
              <w:spacing w:line="32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20" w:lineRule="exact"/>
              <w:ind w:left="-50" w:right="-50"/>
              <w:jc w:val="center"/>
              <w:rPr>
                <w:rFonts w:eastAsia="宋体"/>
                <w:bCs/>
                <w:kern w:val="0"/>
                <w:sz w:val="21"/>
                <w:szCs w:val="21"/>
                <w:lang w:val="zh-CN"/>
              </w:rPr>
            </w:pPr>
            <w:r>
              <w:rPr>
                <w:rFonts w:eastAsia="宋体"/>
                <w:sz w:val="21"/>
                <w:szCs w:val="21"/>
              </w:rPr>
              <w:t>2</w:t>
            </w:r>
          </w:p>
        </w:tc>
        <w:tc>
          <w:tcPr>
            <w:tcW w:w="1421" w:type="dxa"/>
            <w:vAlign w:val="center"/>
          </w:tcPr>
          <w:p>
            <w:pPr>
              <w:widowControl/>
              <w:spacing w:line="320" w:lineRule="exact"/>
              <w:ind w:left="-50" w:right="-50"/>
              <w:jc w:val="center"/>
              <w:rPr>
                <w:rFonts w:eastAsia="宋体"/>
                <w:bCs/>
                <w:kern w:val="0"/>
                <w:sz w:val="21"/>
                <w:szCs w:val="21"/>
              </w:rPr>
            </w:pPr>
            <w:r>
              <w:rPr>
                <w:rFonts w:eastAsia="宋体"/>
                <w:sz w:val="21"/>
                <w:szCs w:val="21"/>
              </w:rPr>
              <w:t>测试地点</w:t>
            </w:r>
          </w:p>
        </w:tc>
        <w:tc>
          <w:tcPr>
            <w:tcW w:w="1188" w:type="dxa"/>
            <w:vAlign w:val="center"/>
          </w:tcPr>
          <w:p>
            <w:pPr>
              <w:widowControl/>
              <w:spacing w:line="320" w:lineRule="exact"/>
              <w:ind w:left="-50" w:right="-50"/>
              <w:jc w:val="center"/>
              <w:rPr>
                <w:rFonts w:eastAsia="宋体"/>
                <w:bCs/>
                <w:kern w:val="0"/>
                <w:sz w:val="21"/>
                <w:szCs w:val="21"/>
                <w:lang w:val="zh-CN"/>
              </w:rPr>
            </w:pPr>
            <w:r>
              <w:rPr>
                <w:rFonts w:eastAsia="宋体"/>
                <w:sz w:val="21"/>
                <w:szCs w:val="21"/>
              </w:rPr>
              <w:t>/</w:t>
            </w:r>
          </w:p>
        </w:tc>
        <w:tc>
          <w:tcPr>
            <w:tcW w:w="3843" w:type="dxa"/>
            <w:gridSpan w:val="3"/>
            <w:vAlign w:val="center"/>
          </w:tcPr>
          <w:p>
            <w:pPr>
              <w:widowControl/>
              <w:spacing w:line="320" w:lineRule="exact"/>
              <w:ind w:left="-50" w:right="-50"/>
              <w:jc w:val="center"/>
              <w:rPr>
                <w:rFonts w:eastAsia="宋体"/>
                <w:bCs/>
                <w:kern w:val="0"/>
                <w:sz w:val="21"/>
                <w:szCs w:val="21"/>
              </w:rPr>
            </w:pPr>
            <w:r>
              <w:rPr>
                <w:rFonts w:eastAsia="宋体"/>
                <w:bCs/>
                <w:kern w:val="0"/>
                <w:sz w:val="21"/>
                <w:szCs w:val="21"/>
              </w:rPr>
              <w:t>炼钢一厂袋式除尘器废气排放口</w:t>
            </w:r>
            <w:r>
              <w:rPr>
                <w:rFonts w:hint="eastAsia" w:eastAsia="宋体"/>
                <w:bCs/>
                <w:kern w:val="0"/>
                <w:sz w:val="21"/>
                <w:szCs w:val="21"/>
              </w:rPr>
              <w:t>DA001</w:t>
            </w:r>
          </w:p>
        </w:tc>
        <w:tc>
          <w:tcPr>
            <w:tcW w:w="827"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w:t>
            </w:r>
          </w:p>
        </w:tc>
        <w:tc>
          <w:tcPr>
            <w:tcW w:w="961"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20" w:lineRule="exact"/>
              <w:ind w:left="-50" w:right="-50"/>
              <w:jc w:val="center"/>
              <w:rPr>
                <w:rFonts w:eastAsia="宋体"/>
                <w:sz w:val="21"/>
                <w:szCs w:val="21"/>
              </w:rPr>
            </w:pPr>
            <w:r>
              <w:rPr>
                <w:rFonts w:hint="eastAsia" w:eastAsia="宋体"/>
                <w:sz w:val="21"/>
                <w:szCs w:val="21"/>
              </w:rPr>
              <w:t>3</w:t>
            </w:r>
          </w:p>
        </w:tc>
        <w:tc>
          <w:tcPr>
            <w:tcW w:w="1421" w:type="dxa"/>
            <w:vAlign w:val="center"/>
          </w:tcPr>
          <w:p>
            <w:pPr>
              <w:widowControl/>
              <w:spacing w:line="320" w:lineRule="exact"/>
              <w:ind w:left="-50" w:right="-50"/>
              <w:jc w:val="center"/>
              <w:rPr>
                <w:rFonts w:eastAsia="宋体"/>
                <w:sz w:val="21"/>
                <w:szCs w:val="21"/>
              </w:rPr>
            </w:pPr>
            <w:r>
              <w:rPr>
                <w:rFonts w:hint="eastAsia" w:eastAsia="宋体"/>
                <w:sz w:val="21"/>
                <w:szCs w:val="21"/>
              </w:rPr>
              <w:t>检测时间</w:t>
            </w:r>
          </w:p>
        </w:tc>
        <w:tc>
          <w:tcPr>
            <w:tcW w:w="1188" w:type="dxa"/>
            <w:vAlign w:val="center"/>
          </w:tcPr>
          <w:p>
            <w:pPr>
              <w:widowControl/>
              <w:spacing w:line="320" w:lineRule="exact"/>
              <w:ind w:left="-50" w:right="-50"/>
              <w:jc w:val="center"/>
              <w:rPr>
                <w:rFonts w:eastAsia="宋体"/>
                <w:sz w:val="21"/>
                <w:szCs w:val="21"/>
              </w:rPr>
            </w:pPr>
            <w:r>
              <w:rPr>
                <w:rFonts w:hint="eastAsia" w:eastAsia="宋体"/>
                <w:sz w:val="21"/>
                <w:szCs w:val="21"/>
              </w:rPr>
              <w:t>/</w:t>
            </w:r>
          </w:p>
        </w:tc>
        <w:tc>
          <w:tcPr>
            <w:tcW w:w="3843" w:type="dxa"/>
            <w:gridSpan w:val="3"/>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2018.6.7-2018.6.8</w:t>
            </w:r>
          </w:p>
        </w:tc>
        <w:tc>
          <w:tcPr>
            <w:tcW w:w="827"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w:t>
            </w:r>
          </w:p>
        </w:tc>
        <w:tc>
          <w:tcPr>
            <w:tcW w:w="961"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20" w:lineRule="exact"/>
              <w:ind w:left="-50" w:right="-50"/>
              <w:jc w:val="center"/>
              <w:rPr>
                <w:rFonts w:eastAsia="宋体"/>
                <w:sz w:val="21"/>
                <w:szCs w:val="21"/>
              </w:rPr>
            </w:pPr>
            <w:r>
              <w:rPr>
                <w:rFonts w:hint="eastAsia" w:eastAsia="宋体"/>
                <w:sz w:val="21"/>
                <w:szCs w:val="21"/>
              </w:rPr>
              <w:t>4</w:t>
            </w:r>
          </w:p>
        </w:tc>
        <w:tc>
          <w:tcPr>
            <w:tcW w:w="1421" w:type="dxa"/>
            <w:vAlign w:val="center"/>
          </w:tcPr>
          <w:p>
            <w:pPr>
              <w:widowControl/>
              <w:spacing w:line="320" w:lineRule="exact"/>
              <w:ind w:left="-50" w:right="-50"/>
              <w:jc w:val="center"/>
              <w:rPr>
                <w:rFonts w:eastAsia="宋体"/>
                <w:sz w:val="21"/>
                <w:szCs w:val="21"/>
              </w:rPr>
            </w:pPr>
            <w:r>
              <w:rPr>
                <w:rFonts w:hint="eastAsia" w:eastAsia="宋体"/>
                <w:sz w:val="21"/>
                <w:szCs w:val="21"/>
              </w:rPr>
              <w:t>监测结果</w:t>
            </w:r>
          </w:p>
        </w:tc>
        <w:tc>
          <w:tcPr>
            <w:tcW w:w="1188" w:type="dxa"/>
            <w:vAlign w:val="center"/>
          </w:tcPr>
          <w:p>
            <w:pPr>
              <w:widowControl/>
              <w:spacing w:line="320" w:lineRule="exact"/>
              <w:ind w:left="-50" w:right="-50"/>
              <w:jc w:val="center"/>
              <w:rPr>
                <w:rFonts w:eastAsia="宋体"/>
                <w:sz w:val="21"/>
                <w:szCs w:val="21"/>
              </w:rPr>
            </w:pPr>
            <w:r>
              <w:rPr>
                <w:rFonts w:eastAsia="宋体"/>
                <w:sz w:val="21"/>
                <w:szCs w:val="21"/>
              </w:rPr>
              <w:t>n</w:t>
            </w:r>
            <w:r>
              <w:rPr>
                <w:rFonts w:hint="eastAsia" w:eastAsia="宋体"/>
                <w:sz w:val="21"/>
                <w:szCs w:val="21"/>
              </w:rPr>
              <w:t>g-TEQ/m</w:t>
            </w:r>
            <w:r>
              <w:rPr>
                <w:rFonts w:hint="eastAsia" w:eastAsia="宋体"/>
                <w:sz w:val="21"/>
                <w:szCs w:val="21"/>
                <w:vertAlign w:val="superscript"/>
              </w:rPr>
              <w:t>3</w:t>
            </w:r>
          </w:p>
        </w:tc>
        <w:tc>
          <w:tcPr>
            <w:tcW w:w="1281"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0.45</w:t>
            </w:r>
          </w:p>
        </w:tc>
        <w:tc>
          <w:tcPr>
            <w:tcW w:w="1281"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0.030</w:t>
            </w:r>
          </w:p>
        </w:tc>
        <w:tc>
          <w:tcPr>
            <w:tcW w:w="1281"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0.37</w:t>
            </w:r>
          </w:p>
        </w:tc>
        <w:tc>
          <w:tcPr>
            <w:tcW w:w="827" w:type="dxa"/>
            <w:vAlign w:val="center"/>
          </w:tcPr>
          <w:p>
            <w:pPr>
              <w:widowControl/>
              <w:spacing w:line="320" w:lineRule="exact"/>
              <w:ind w:left="-50" w:right="-50"/>
              <w:jc w:val="center"/>
              <w:rPr>
                <w:rFonts w:eastAsia="宋体"/>
                <w:bCs/>
                <w:kern w:val="0"/>
                <w:sz w:val="21"/>
                <w:szCs w:val="21"/>
              </w:rPr>
            </w:pPr>
            <w:r>
              <w:rPr>
                <w:rFonts w:hint="eastAsia" w:eastAsia="宋体"/>
                <w:bCs/>
                <w:kern w:val="0"/>
                <w:sz w:val="21"/>
                <w:szCs w:val="21"/>
              </w:rPr>
              <w:t>0.5</w:t>
            </w:r>
          </w:p>
        </w:tc>
        <w:tc>
          <w:tcPr>
            <w:tcW w:w="961" w:type="dxa"/>
            <w:vAlign w:val="center"/>
          </w:tcPr>
          <w:p>
            <w:pPr>
              <w:widowControl/>
              <w:spacing w:line="320" w:lineRule="exact"/>
              <w:ind w:left="-50" w:right="-50"/>
              <w:jc w:val="center"/>
              <w:rPr>
                <w:rFonts w:eastAsia="宋体"/>
                <w:bCs/>
                <w:kern w:val="0"/>
                <w:sz w:val="21"/>
                <w:szCs w:val="21"/>
              </w:rPr>
            </w:pPr>
            <w:r>
              <w:rPr>
                <w:rFonts w:hint="eastAsia" w:eastAsia="宋体"/>
                <w:sz w:val="21"/>
                <w:szCs w:val="21"/>
              </w:rPr>
              <w:t>达标</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由表3-</w:t>
      </w:r>
      <w:r>
        <w:rPr>
          <w:rFonts w:ascii="Times New Roman" w:hAnsi="Times New Roman" w:cs="Times New Roman"/>
          <w:spacing w:val="0"/>
        </w:rPr>
        <w:t>13</w:t>
      </w:r>
      <w:r>
        <w:rPr>
          <w:rFonts w:hint="eastAsia" w:ascii="宋体" w:hAnsi="宋体" w:cs="Times New Roman"/>
          <w:spacing w:val="0"/>
        </w:rPr>
        <w:t>～</w:t>
      </w:r>
      <w:r>
        <w:rPr>
          <w:rFonts w:ascii="Times New Roman" w:hAnsi="Times New Roman" w:cs="Times New Roman"/>
          <w:spacing w:val="0"/>
        </w:rPr>
        <w:t>3-14</w:t>
      </w:r>
      <w:r>
        <w:rPr>
          <w:rFonts w:hint="eastAsia" w:ascii="Times New Roman" w:hAnsi="Times New Roman" w:cs="Times New Roman"/>
          <w:spacing w:val="0"/>
        </w:rPr>
        <w:t>可知，炼钢一厂布袋除尘器出口废气能够达到《炼钢工业大气污染物排放标准》(GB28664-2012)表3大气污染物特别排放限值，</w:t>
      </w:r>
      <w:r>
        <w:rPr>
          <w:rFonts w:ascii="Times New Roman" w:hAnsi="Times New Roman" w:cs="Times New Roman"/>
          <w:spacing w:val="0"/>
        </w:rPr>
        <w:t>亦能达到超低排放限值</w:t>
      </w:r>
      <w:r>
        <w:rPr>
          <w:rFonts w:hint="eastAsia" w:ascii="Times New Roman" w:hAnsi="Times New Roman" w:cs="Times New Roman"/>
          <w:spacing w:val="0"/>
        </w:rPr>
        <w:t>(颗粒物</w:t>
      </w:r>
      <w:r>
        <w:rPr>
          <w:rFonts w:ascii="Times New Roman" w:hAnsi="Times New Roman" w:cs="Times New Roman"/>
          <w:spacing w:val="0"/>
        </w:rPr>
        <w:t>≤10</w:t>
      </w:r>
      <w:r>
        <w:rPr>
          <w:rFonts w:hint="eastAsia" w:ascii="Times New Roman" w:hAnsi="Times New Roman" w:cs="Times New Roman"/>
          <w:spacing w:val="0"/>
        </w:rPr>
        <w:t>mg</w:t>
      </w:r>
      <w:r>
        <w:rPr>
          <w:rFonts w:ascii="Times New Roman" w:hAnsi="Times New Roman" w:cs="Times New Roman"/>
          <w:spacing w:val="0"/>
        </w:rPr>
        <w:t>/</w:t>
      </w:r>
      <w:r>
        <w:rPr>
          <w:rFonts w:hint="eastAsia" w:ascii="Times New Roman" w:hAnsi="Times New Roman" w:cs="Times New Roman"/>
          <w:spacing w:val="0"/>
        </w:rPr>
        <w:t>m</w:t>
      </w:r>
      <w:r>
        <w:rPr>
          <w:rFonts w:hint="eastAsia" w:ascii="Times New Roman" w:hAnsi="Times New Roman" w:cs="Times New Roman"/>
          <w:spacing w:val="0"/>
          <w:vertAlign w:val="superscript"/>
        </w:rPr>
        <w:t>3</w:t>
      </w:r>
      <w:r>
        <w:rPr>
          <w:rFonts w:hint="eastAsia" w:ascii="Times New Roman" w:hAnsi="Times New Roman" w:cs="Times New Roman"/>
          <w:spacing w:val="0"/>
        </w:rPr>
        <w:t>)。</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②炼钢二厂</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炼钢二厂布袋除尘器出口DA002废气监测结果详见表</w:t>
      </w:r>
      <w:r>
        <w:rPr>
          <w:rFonts w:ascii="Times New Roman" w:hAnsi="Times New Roman" w:cs="Times New Roman"/>
          <w:spacing w:val="0"/>
        </w:rPr>
        <w:t>3-15～3-16</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炼钢二厂布袋除尘器出口</w:t>
      </w:r>
      <w:r>
        <w:rPr>
          <w:rFonts w:hint="eastAsia" w:ascii="Times New Roman" w:hAnsi="Times New Roman"/>
        </w:rPr>
        <w:t>废气检测结果</w:t>
      </w:r>
    </w:p>
    <w:tbl>
      <w:tblPr>
        <w:tblStyle w:val="87"/>
        <w:tblpPr w:leftFromText="181" w:rightFromText="181" w:vertAnchor="text" w:tblpXSpec="center" w:tblpY="1"/>
        <w:tblOverlap w:val="never"/>
        <w:tblW w:w="8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595"/>
        <w:gridCol w:w="915"/>
        <w:gridCol w:w="1700"/>
        <w:gridCol w:w="1277"/>
        <w:gridCol w:w="84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ind w:left="-141" w:leftChars="-50" w:right="-141" w:rightChars="-50"/>
              <w:jc w:val="center"/>
              <w:rPr>
                <w:rFonts w:eastAsia="宋体"/>
                <w:kern w:val="0"/>
                <w:sz w:val="21"/>
                <w:szCs w:val="21"/>
              </w:rPr>
            </w:pPr>
            <w:r>
              <w:rPr>
                <w:rFonts w:eastAsia="宋体"/>
                <w:sz w:val="21"/>
                <w:szCs w:val="21"/>
              </w:rPr>
              <w:t>序号</w:t>
            </w:r>
          </w:p>
        </w:tc>
        <w:tc>
          <w:tcPr>
            <w:tcW w:w="2595" w:type="dxa"/>
            <w:vAlign w:val="center"/>
          </w:tcPr>
          <w:p>
            <w:pPr>
              <w:widowControl/>
              <w:ind w:left="-141" w:leftChars="-50" w:right="-141" w:rightChars="-50"/>
              <w:jc w:val="center"/>
              <w:rPr>
                <w:rFonts w:eastAsia="宋体"/>
                <w:kern w:val="0"/>
                <w:sz w:val="21"/>
                <w:szCs w:val="21"/>
              </w:rPr>
            </w:pPr>
            <w:r>
              <w:rPr>
                <w:rFonts w:eastAsia="宋体"/>
                <w:sz w:val="21"/>
                <w:szCs w:val="21"/>
              </w:rPr>
              <w:t>项目</w:t>
            </w:r>
          </w:p>
        </w:tc>
        <w:tc>
          <w:tcPr>
            <w:tcW w:w="915" w:type="dxa"/>
            <w:vAlign w:val="center"/>
          </w:tcPr>
          <w:p>
            <w:pPr>
              <w:widowControl/>
              <w:ind w:left="-141" w:leftChars="-50" w:right="-141" w:rightChars="-50"/>
              <w:jc w:val="center"/>
              <w:rPr>
                <w:rFonts w:eastAsia="宋体"/>
                <w:kern w:val="0"/>
                <w:sz w:val="21"/>
                <w:szCs w:val="21"/>
              </w:rPr>
            </w:pPr>
            <w:r>
              <w:rPr>
                <w:rFonts w:eastAsia="宋体"/>
                <w:sz w:val="21"/>
                <w:szCs w:val="21"/>
              </w:rPr>
              <w:t>单位</w:t>
            </w:r>
          </w:p>
        </w:tc>
        <w:tc>
          <w:tcPr>
            <w:tcW w:w="2977" w:type="dxa"/>
            <w:gridSpan w:val="2"/>
            <w:vAlign w:val="center"/>
          </w:tcPr>
          <w:p>
            <w:pPr>
              <w:widowControl/>
              <w:ind w:left="-141" w:leftChars="-50" w:right="-141" w:rightChars="-50"/>
              <w:jc w:val="center"/>
              <w:rPr>
                <w:rFonts w:eastAsia="宋体"/>
                <w:kern w:val="0"/>
                <w:sz w:val="21"/>
                <w:szCs w:val="21"/>
              </w:rPr>
            </w:pPr>
            <w:r>
              <w:rPr>
                <w:rFonts w:eastAsia="宋体"/>
                <w:sz w:val="21"/>
                <w:szCs w:val="21"/>
              </w:rPr>
              <w:t>检测结果</w:t>
            </w:r>
          </w:p>
        </w:tc>
        <w:tc>
          <w:tcPr>
            <w:tcW w:w="845" w:type="dxa"/>
            <w:vAlign w:val="center"/>
          </w:tcPr>
          <w:p>
            <w:pPr>
              <w:widowControl/>
              <w:ind w:left="-141" w:leftChars="-50" w:right="-141" w:rightChars="-50"/>
              <w:jc w:val="center"/>
              <w:rPr>
                <w:rFonts w:eastAsia="宋体"/>
                <w:kern w:val="0"/>
                <w:sz w:val="21"/>
                <w:szCs w:val="21"/>
              </w:rPr>
            </w:pPr>
            <w:r>
              <w:rPr>
                <w:rFonts w:hint="eastAsia" w:eastAsia="宋体"/>
                <w:kern w:val="0"/>
                <w:sz w:val="21"/>
                <w:szCs w:val="21"/>
              </w:rPr>
              <w:t>标准值</w:t>
            </w:r>
          </w:p>
        </w:tc>
        <w:tc>
          <w:tcPr>
            <w:tcW w:w="855" w:type="dxa"/>
            <w:vAlign w:val="center"/>
          </w:tcPr>
          <w:p>
            <w:pPr>
              <w:widowControl/>
              <w:ind w:left="-141" w:leftChars="-50" w:right="-141" w:rightChars="-50"/>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ind w:left="-141" w:leftChars="-50" w:right="-141" w:rightChars="-50"/>
              <w:jc w:val="center"/>
              <w:rPr>
                <w:rFonts w:eastAsia="宋体"/>
                <w:bCs/>
                <w:kern w:val="0"/>
                <w:sz w:val="21"/>
                <w:szCs w:val="21"/>
                <w:lang w:val="zh-CN"/>
              </w:rPr>
            </w:pPr>
            <w:r>
              <w:rPr>
                <w:rFonts w:eastAsia="宋体"/>
                <w:sz w:val="21"/>
                <w:szCs w:val="21"/>
              </w:rPr>
              <w:t>1</w:t>
            </w:r>
          </w:p>
        </w:tc>
        <w:tc>
          <w:tcPr>
            <w:tcW w:w="2595" w:type="dxa"/>
            <w:vAlign w:val="center"/>
          </w:tcPr>
          <w:p>
            <w:pPr>
              <w:widowControl/>
              <w:ind w:left="-141" w:leftChars="-50" w:right="-141" w:rightChars="-50"/>
              <w:jc w:val="center"/>
              <w:rPr>
                <w:rFonts w:eastAsia="宋体"/>
                <w:bCs/>
                <w:kern w:val="0"/>
                <w:sz w:val="21"/>
                <w:szCs w:val="21"/>
              </w:rPr>
            </w:pPr>
            <w:r>
              <w:rPr>
                <w:rFonts w:eastAsia="宋体"/>
                <w:sz w:val="21"/>
                <w:szCs w:val="21"/>
              </w:rPr>
              <w:t>净化器名称及型号</w:t>
            </w:r>
          </w:p>
        </w:tc>
        <w:tc>
          <w:tcPr>
            <w:tcW w:w="915" w:type="dxa"/>
            <w:vAlign w:val="center"/>
          </w:tcPr>
          <w:p>
            <w:pPr>
              <w:widowControl/>
              <w:ind w:left="-141" w:leftChars="-50" w:right="-141" w:rightChars="-50"/>
              <w:jc w:val="center"/>
              <w:rPr>
                <w:rFonts w:eastAsia="宋体"/>
                <w:bCs/>
                <w:kern w:val="0"/>
                <w:sz w:val="21"/>
                <w:szCs w:val="21"/>
              </w:rPr>
            </w:pPr>
            <w:r>
              <w:rPr>
                <w:rFonts w:eastAsia="宋体"/>
                <w:sz w:val="21"/>
                <w:szCs w:val="21"/>
              </w:rPr>
              <w:t>/</w:t>
            </w:r>
          </w:p>
        </w:tc>
        <w:tc>
          <w:tcPr>
            <w:tcW w:w="2977" w:type="dxa"/>
            <w:gridSpan w:val="2"/>
            <w:vAlign w:val="center"/>
          </w:tcPr>
          <w:p>
            <w:pPr>
              <w:ind w:left="-141" w:leftChars="-50" w:right="-141" w:rightChars="-50"/>
              <w:jc w:val="center"/>
              <w:rPr>
                <w:rFonts w:eastAsia="宋体"/>
                <w:bCs/>
                <w:kern w:val="0"/>
                <w:sz w:val="21"/>
                <w:szCs w:val="21"/>
              </w:rPr>
            </w:pPr>
            <w:r>
              <w:rPr>
                <w:rFonts w:eastAsia="宋体"/>
                <w:kern w:val="0"/>
                <w:sz w:val="21"/>
                <w:szCs w:val="21"/>
              </w:rPr>
              <w:t>布袋</w:t>
            </w:r>
            <w:r>
              <w:rPr>
                <w:rFonts w:hint="eastAsia" w:eastAsia="宋体"/>
                <w:kern w:val="0"/>
                <w:sz w:val="21"/>
                <w:szCs w:val="21"/>
              </w:rPr>
              <w:t>除尘器</w:t>
            </w:r>
          </w:p>
        </w:tc>
        <w:tc>
          <w:tcPr>
            <w:tcW w:w="845"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2</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测试地点</w:t>
            </w:r>
          </w:p>
        </w:tc>
        <w:tc>
          <w:tcPr>
            <w:tcW w:w="915"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w:t>
            </w:r>
          </w:p>
        </w:tc>
        <w:tc>
          <w:tcPr>
            <w:tcW w:w="2977" w:type="dxa"/>
            <w:gridSpan w:val="2"/>
            <w:vAlign w:val="center"/>
          </w:tcPr>
          <w:p>
            <w:pPr>
              <w:widowControl/>
              <w:spacing w:line="240" w:lineRule="exact"/>
              <w:ind w:left="-141" w:leftChars="-50" w:right="-141" w:rightChars="-50"/>
              <w:jc w:val="center"/>
              <w:rPr>
                <w:rFonts w:eastAsia="宋体"/>
                <w:bCs/>
                <w:kern w:val="0"/>
                <w:sz w:val="21"/>
                <w:szCs w:val="21"/>
              </w:rPr>
            </w:pPr>
            <w:r>
              <w:rPr>
                <w:rFonts w:eastAsia="宋体"/>
                <w:bCs/>
                <w:kern w:val="0"/>
                <w:sz w:val="21"/>
                <w:szCs w:val="21"/>
              </w:rPr>
              <w:t>炼钢</w:t>
            </w:r>
            <w:r>
              <w:rPr>
                <w:rFonts w:hint="eastAsia" w:eastAsia="宋体"/>
                <w:bCs/>
                <w:kern w:val="0"/>
                <w:sz w:val="21"/>
                <w:szCs w:val="21"/>
              </w:rPr>
              <w:t>二</w:t>
            </w:r>
            <w:r>
              <w:rPr>
                <w:rFonts w:eastAsia="宋体"/>
                <w:bCs/>
                <w:kern w:val="0"/>
                <w:sz w:val="21"/>
                <w:szCs w:val="21"/>
              </w:rPr>
              <w:t>厂袋式除尘器废气排放口</w:t>
            </w:r>
            <w:r>
              <w:rPr>
                <w:rFonts w:hint="eastAsia" w:eastAsia="宋体"/>
                <w:bCs/>
                <w:kern w:val="0"/>
                <w:sz w:val="21"/>
                <w:szCs w:val="21"/>
              </w:rPr>
              <w:t>DA002</w:t>
            </w:r>
          </w:p>
        </w:tc>
        <w:tc>
          <w:tcPr>
            <w:tcW w:w="845" w:type="dxa"/>
            <w:vAlign w:val="center"/>
          </w:tcPr>
          <w:p>
            <w:pPr>
              <w:widowControl/>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widowControl/>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3</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测试时间</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w:t>
            </w:r>
          </w:p>
        </w:tc>
        <w:tc>
          <w:tcPr>
            <w:tcW w:w="1700" w:type="dxa"/>
            <w:vAlign w:val="center"/>
          </w:tcPr>
          <w:p>
            <w:pPr>
              <w:spacing w:line="240" w:lineRule="exact"/>
              <w:ind w:left="-141" w:leftChars="-50" w:right="-141" w:rightChars="-50"/>
              <w:jc w:val="center"/>
              <w:rPr>
                <w:rFonts w:eastAsia="宋体"/>
                <w:bCs/>
                <w:kern w:val="0"/>
                <w:sz w:val="21"/>
                <w:szCs w:val="21"/>
              </w:rPr>
            </w:pPr>
            <w:r>
              <w:rPr>
                <w:rFonts w:eastAsia="宋体"/>
                <w:kern w:val="0"/>
                <w:sz w:val="21"/>
                <w:szCs w:val="21"/>
              </w:rPr>
              <w:t>2018.8.25</w:t>
            </w:r>
          </w:p>
        </w:tc>
        <w:tc>
          <w:tcPr>
            <w:tcW w:w="1277"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2018.12.12</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4</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排气筒高度</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w:t>
            </w:r>
          </w:p>
        </w:tc>
        <w:tc>
          <w:tcPr>
            <w:tcW w:w="2977" w:type="dxa"/>
            <w:gridSpan w:val="2"/>
            <w:vAlign w:val="center"/>
          </w:tcPr>
          <w:p>
            <w:pPr>
              <w:spacing w:line="240" w:lineRule="exact"/>
              <w:ind w:left="-141" w:leftChars="-50" w:right="-141" w:rightChars="-50"/>
              <w:jc w:val="center"/>
              <w:rPr>
                <w:rFonts w:eastAsia="宋体"/>
                <w:bCs/>
                <w:kern w:val="0"/>
                <w:sz w:val="21"/>
                <w:szCs w:val="21"/>
              </w:rPr>
            </w:pPr>
            <w:r>
              <w:rPr>
                <w:rFonts w:eastAsia="宋体"/>
                <w:bCs/>
                <w:kern w:val="0"/>
                <w:sz w:val="21"/>
                <w:szCs w:val="21"/>
              </w:rPr>
              <w:t>30</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*5</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废气温度</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hint="eastAsia" w:ascii="宋体" w:hAnsi="宋体" w:eastAsia="宋体" w:cs="宋体"/>
                <w:sz w:val="21"/>
                <w:szCs w:val="21"/>
              </w:rPr>
              <w:t>℃</w:t>
            </w:r>
          </w:p>
        </w:tc>
        <w:tc>
          <w:tcPr>
            <w:tcW w:w="1700"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48</w:t>
            </w:r>
          </w:p>
        </w:tc>
        <w:tc>
          <w:tcPr>
            <w:tcW w:w="1277"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123</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*6</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废气流速</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m/s</w:t>
            </w:r>
          </w:p>
        </w:tc>
        <w:tc>
          <w:tcPr>
            <w:tcW w:w="1700"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7.2</w:t>
            </w:r>
          </w:p>
        </w:tc>
        <w:tc>
          <w:tcPr>
            <w:tcW w:w="1277"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11.1</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*7</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实测废气流量</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700"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7.23</w:t>
            </w:r>
            <w:r>
              <w:rPr>
                <w:rFonts w:eastAsia="宋体"/>
                <w:bCs/>
                <w:kern w:val="0"/>
                <w:sz w:val="21"/>
                <w:szCs w:val="21"/>
              </w:rPr>
              <w:t>×10</w:t>
            </w:r>
            <w:r>
              <w:rPr>
                <w:rFonts w:hint="eastAsia" w:eastAsia="宋体"/>
                <w:bCs/>
                <w:kern w:val="0"/>
                <w:sz w:val="21"/>
                <w:szCs w:val="21"/>
                <w:vertAlign w:val="superscript"/>
              </w:rPr>
              <w:t>5</w:t>
            </w:r>
          </w:p>
        </w:tc>
        <w:tc>
          <w:tcPr>
            <w:tcW w:w="1277"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1.25</w:t>
            </w:r>
            <w:r>
              <w:rPr>
                <w:rFonts w:eastAsia="宋体"/>
                <w:bCs/>
                <w:kern w:val="0"/>
                <w:sz w:val="21"/>
                <w:szCs w:val="21"/>
              </w:rPr>
              <w:t>×10</w:t>
            </w:r>
            <w:r>
              <w:rPr>
                <w:rFonts w:hint="eastAsia" w:eastAsia="宋体"/>
                <w:bCs/>
                <w:kern w:val="0"/>
                <w:sz w:val="21"/>
                <w:szCs w:val="21"/>
                <w:vertAlign w:val="superscript"/>
              </w:rPr>
              <w:t>6</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*8</w:t>
            </w:r>
          </w:p>
        </w:tc>
        <w:tc>
          <w:tcPr>
            <w:tcW w:w="259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标干态废气流量</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1700"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5.94</w:t>
            </w:r>
            <w:r>
              <w:rPr>
                <w:rFonts w:eastAsia="宋体"/>
                <w:bCs/>
                <w:kern w:val="0"/>
                <w:sz w:val="21"/>
                <w:szCs w:val="21"/>
              </w:rPr>
              <w:t>×10</w:t>
            </w:r>
            <w:r>
              <w:rPr>
                <w:rFonts w:eastAsia="宋体"/>
                <w:bCs/>
                <w:kern w:val="0"/>
                <w:sz w:val="21"/>
                <w:szCs w:val="21"/>
                <w:vertAlign w:val="superscript"/>
              </w:rPr>
              <w:t>5</w:t>
            </w:r>
          </w:p>
        </w:tc>
        <w:tc>
          <w:tcPr>
            <w:tcW w:w="1277"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1.04</w:t>
            </w:r>
            <w:r>
              <w:rPr>
                <w:rFonts w:eastAsia="宋体"/>
                <w:bCs/>
                <w:kern w:val="0"/>
                <w:sz w:val="21"/>
                <w:szCs w:val="21"/>
              </w:rPr>
              <w:t>×10</w:t>
            </w:r>
            <w:r>
              <w:rPr>
                <w:rFonts w:hint="eastAsia" w:eastAsia="宋体"/>
                <w:bCs/>
                <w:kern w:val="0"/>
                <w:sz w:val="21"/>
                <w:szCs w:val="21"/>
                <w:vertAlign w:val="superscript"/>
              </w:rPr>
              <w:t>6</w:t>
            </w:r>
          </w:p>
        </w:tc>
        <w:tc>
          <w:tcPr>
            <w:tcW w:w="845" w:type="dxa"/>
            <w:vAlign w:val="center"/>
          </w:tcPr>
          <w:p>
            <w:pPr>
              <w:spacing w:line="24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spacing w:line="240" w:lineRule="exact"/>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9</w:t>
            </w:r>
          </w:p>
        </w:tc>
        <w:tc>
          <w:tcPr>
            <w:tcW w:w="2595" w:type="dxa"/>
            <w:vAlign w:val="center"/>
          </w:tcPr>
          <w:p>
            <w:pPr>
              <w:widowControl/>
              <w:adjustRightInd w:val="0"/>
              <w:snapToGrid w:val="0"/>
              <w:spacing w:line="240" w:lineRule="exact"/>
              <w:ind w:left="-141" w:leftChars="-50" w:right="-141" w:rightChars="-50"/>
              <w:jc w:val="center"/>
              <w:rPr>
                <w:rFonts w:eastAsia="宋体"/>
                <w:kern w:val="0"/>
                <w:sz w:val="21"/>
                <w:szCs w:val="21"/>
              </w:rPr>
            </w:pPr>
            <w:r>
              <w:rPr>
                <w:rFonts w:eastAsia="宋体"/>
                <w:sz w:val="21"/>
                <w:szCs w:val="21"/>
              </w:rPr>
              <w:t>颗粒物排放浓度</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700" w:type="dxa"/>
            <w:vAlign w:val="center"/>
          </w:tcPr>
          <w:p>
            <w:pPr>
              <w:ind w:left="-141" w:leftChars="-50" w:right="-141" w:rightChars="-50"/>
              <w:jc w:val="center"/>
              <w:rPr>
                <w:rFonts w:eastAsia="宋体"/>
                <w:kern w:val="0"/>
                <w:sz w:val="21"/>
                <w:szCs w:val="21"/>
              </w:rPr>
            </w:pPr>
            <w:r>
              <w:rPr>
                <w:rFonts w:hint="eastAsia" w:eastAsia="宋体"/>
                <w:kern w:val="0"/>
                <w:sz w:val="21"/>
                <w:szCs w:val="21"/>
              </w:rPr>
              <w:t>2.7</w:t>
            </w:r>
          </w:p>
        </w:tc>
        <w:tc>
          <w:tcPr>
            <w:tcW w:w="1277" w:type="dxa"/>
            <w:vAlign w:val="center"/>
          </w:tcPr>
          <w:p>
            <w:pPr>
              <w:ind w:left="-141" w:leftChars="-50" w:right="-141" w:rightChars="-50"/>
              <w:jc w:val="center"/>
              <w:rPr>
                <w:rFonts w:eastAsia="宋体"/>
                <w:kern w:val="0"/>
                <w:sz w:val="21"/>
                <w:szCs w:val="21"/>
              </w:rPr>
            </w:pPr>
            <w:r>
              <w:rPr>
                <w:rFonts w:hint="eastAsia" w:eastAsia="宋体"/>
                <w:kern w:val="0"/>
                <w:sz w:val="21"/>
                <w:szCs w:val="21"/>
              </w:rPr>
              <w:t>1.1</w:t>
            </w:r>
          </w:p>
        </w:tc>
        <w:tc>
          <w:tcPr>
            <w:tcW w:w="845" w:type="dxa"/>
            <w:vAlign w:val="center"/>
          </w:tcPr>
          <w:p>
            <w:pPr>
              <w:ind w:left="-141" w:leftChars="-50" w:right="-141" w:rightChars="-50"/>
              <w:jc w:val="center"/>
              <w:rPr>
                <w:rFonts w:eastAsia="宋体"/>
                <w:kern w:val="0"/>
                <w:sz w:val="21"/>
                <w:szCs w:val="21"/>
              </w:rPr>
            </w:pPr>
            <w:r>
              <w:rPr>
                <w:rFonts w:hint="eastAsia" w:eastAsia="宋体"/>
                <w:kern w:val="0"/>
                <w:sz w:val="21"/>
                <w:szCs w:val="21"/>
              </w:rPr>
              <w:t>≤15</w:t>
            </w:r>
          </w:p>
        </w:tc>
        <w:tc>
          <w:tcPr>
            <w:tcW w:w="855" w:type="dxa"/>
            <w:vAlign w:val="center"/>
          </w:tcPr>
          <w:p>
            <w:pPr>
              <w:ind w:left="-141" w:leftChars="-50" w:right="-141" w:rightChars="-50"/>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10</w:t>
            </w:r>
          </w:p>
        </w:tc>
        <w:tc>
          <w:tcPr>
            <w:tcW w:w="2595" w:type="dxa"/>
            <w:vAlign w:val="center"/>
          </w:tcPr>
          <w:p>
            <w:pPr>
              <w:widowControl/>
              <w:adjustRightInd w:val="0"/>
              <w:snapToGrid w:val="0"/>
              <w:spacing w:line="240" w:lineRule="exact"/>
              <w:ind w:left="-141" w:leftChars="-50" w:right="-141" w:rightChars="-50"/>
              <w:jc w:val="center"/>
              <w:rPr>
                <w:rFonts w:eastAsia="宋体"/>
                <w:kern w:val="0"/>
                <w:sz w:val="21"/>
                <w:szCs w:val="21"/>
              </w:rPr>
            </w:pPr>
            <w:r>
              <w:rPr>
                <w:rFonts w:eastAsia="宋体"/>
                <w:sz w:val="21"/>
                <w:szCs w:val="21"/>
              </w:rPr>
              <w:t>颗粒物排放速率</w:t>
            </w:r>
          </w:p>
        </w:tc>
        <w:tc>
          <w:tcPr>
            <w:tcW w:w="915"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kg/h</w:t>
            </w:r>
          </w:p>
        </w:tc>
        <w:tc>
          <w:tcPr>
            <w:tcW w:w="1700" w:type="dxa"/>
            <w:vAlign w:val="center"/>
          </w:tcPr>
          <w:p>
            <w:pPr>
              <w:ind w:left="-141" w:leftChars="-50" w:right="-141" w:rightChars="-50"/>
              <w:jc w:val="center"/>
              <w:rPr>
                <w:rFonts w:eastAsia="宋体"/>
                <w:kern w:val="0"/>
                <w:sz w:val="21"/>
                <w:szCs w:val="21"/>
              </w:rPr>
            </w:pPr>
            <w:r>
              <w:rPr>
                <w:rFonts w:hint="eastAsia" w:eastAsia="宋体"/>
                <w:kern w:val="0"/>
                <w:sz w:val="21"/>
                <w:szCs w:val="21"/>
              </w:rPr>
              <w:t>1.60</w:t>
            </w:r>
          </w:p>
        </w:tc>
        <w:tc>
          <w:tcPr>
            <w:tcW w:w="1277" w:type="dxa"/>
            <w:vAlign w:val="center"/>
          </w:tcPr>
          <w:p>
            <w:pPr>
              <w:ind w:left="-141" w:leftChars="-50" w:right="-141" w:rightChars="-50"/>
              <w:jc w:val="center"/>
              <w:rPr>
                <w:rFonts w:eastAsia="宋体"/>
                <w:kern w:val="0"/>
                <w:sz w:val="21"/>
                <w:szCs w:val="21"/>
              </w:rPr>
            </w:pPr>
            <w:r>
              <w:rPr>
                <w:rFonts w:hint="eastAsia" w:eastAsia="宋体"/>
                <w:kern w:val="0"/>
                <w:sz w:val="21"/>
                <w:szCs w:val="21"/>
              </w:rPr>
              <w:t>1.14</w:t>
            </w:r>
          </w:p>
        </w:tc>
        <w:tc>
          <w:tcPr>
            <w:tcW w:w="845" w:type="dxa"/>
            <w:vAlign w:val="center"/>
          </w:tcPr>
          <w:p>
            <w:pPr>
              <w:ind w:left="-141" w:leftChars="-50" w:right="-141" w:rightChars="-50"/>
              <w:jc w:val="center"/>
              <w:rPr>
                <w:rFonts w:eastAsia="宋体"/>
                <w:kern w:val="0"/>
                <w:sz w:val="21"/>
                <w:szCs w:val="21"/>
              </w:rPr>
            </w:pPr>
            <w:r>
              <w:rPr>
                <w:rFonts w:hint="eastAsia" w:eastAsia="宋体"/>
                <w:kern w:val="0"/>
                <w:sz w:val="21"/>
                <w:szCs w:val="21"/>
              </w:rPr>
              <w:t>/</w:t>
            </w:r>
          </w:p>
        </w:tc>
        <w:tc>
          <w:tcPr>
            <w:tcW w:w="855" w:type="dxa"/>
            <w:vAlign w:val="center"/>
          </w:tcPr>
          <w:p>
            <w:pPr>
              <w:ind w:right="-141" w:rightChars="-50"/>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sz w:val="21"/>
                <w:szCs w:val="21"/>
              </w:rPr>
            </w:pPr>
            <w:r>
              <w:rPr>
                <w:rFonts w:eastAsia="宋体"/>
                <w:sz w:val="21"/>
                <w:szCs w:val="21"/>
              </w:rPr>
              <w:t>11</w:t>
            </w:r>
          </w:p>
        </w:tc>
        <w:tc>
          <w:tcPr>
            <w:tcW w:w="2595" w:type="dxa"/>
            <w:vAlign w:val="center"/>
          </w:tcPr>
          <w:p>
            <w:pPr>
              <w:widowControl/>
              <w:adjustRightInd w:val="0"/>
              <w:snapToGrid w:val="0"/>
              <w:spacing w:line="240" w:lineRule="exact"/>
              <w:ind w:left="-141" w:leftChars="-50" w:right="-141" w:rightChars="-50"/>
              <w:jc w:val="center"/>
              <w:rPr>
                <w:rFonts w:eastAsia="宋体"/>
                <w:sz w:val="21"/>
                <w:szCs w:val="21"/>
              </w:rPr>
            </w:pPr>
            <w:r>
              <w:rPr>
                <w:rFonts w:eastAsia="宋体"/>
                <w:sz w:val="21"/>
                <w:szCs w:val="21"/>
              </w:rPr>
              <w:t>氟化物排放浓度</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700"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0.362</w:t>
            </w:r>
          </w:p>
        </w:tc>
        <w:tc>
          <w:tcPr>
            <w:tcW w:w="1277"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45" w:type="dxa"/>
            <w:vAlign w:val="center"/>
          </w:tcPr>
          <w:p>
            <w:pPr>
              <w:ind w:left="-141" w:leftChars="-50" w:right="-141" w:rightChars="-50"/>
              <w:jc w:val="center"/>
              <w:rPr>
                <w:rFonts w:eastAsia="宋体"/>
                <w:bCs/>
                <w:kern w:val="0"/>
                <w:sz w:val="21"/>
                <w:szCs w:val="21"/>
              </w:rPr>
            </w:pPr>
            <w:r>
              <w:rPr>
                <w:rFonts w:hint="eastAsia" w:eastAsia="宋体"/>
                <w:kern w:val="0"/>
                <w:sz w:val="21"/>
                <w:szCs w:val="21"/>
              </w:rPr>
              <w:t>≤</w:t>
            </w:r>
            <w:r>
              <w:rPr>
                <w:rFonts w:eastAsia="宋体"/>
                <w:kern w:val="0"/>
                <w:sz w:val="21"/>
                <w:szCs w:val="21"/>
              </w:rPr>
              <w:t>9</w:t>
            </w:r>
            <w:r>
              <w:rPr>
                <w:rFonts w:hint="eastAsia" w:eastAsia="宋体"/>
                <w:kern w:val="0"/>
                <w:sz w:val="21"/>
                <w:szCs w:val="21"/>
              </w:rPr>
              <w:t>.0</w:t>
            </w:r>
          </w:p>
        </w:tc>
        <w:tc>
          <w:tcPr>
            <w:tcW w:w="855"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sz w:val="21"/>
                <w:szCs w:val="21"/>
              </w:rPr>
            </w:pPr>
            <w:r>
              <w:rPr>
                <w:rFonts w:eastAsia="宋体"/>
                <w:sz w:val="21"/>
                <w:szCs w:val="21"/>
              </w:rPr>
              <w:t>12</w:t>
            </w:r>
          </w:p>
        </w:tc>
        <w:tc>
          <w:tcPr>
            <w:tcW w:w="2595" w:type="dxa"/>
            <w:vAlign w:val="center"/>
          </w:tcPr>
          <w:p>
            <w:pPr>
              <w:widowControl/>
              <w:adjustRightInd w:val="0"/>
              <w:snapToGrid w:val="0"/>
              <w:spacing w:line="240" w:lineRule="exact"/>
              <w:ind w:left="-141" w:leftChars="-50" w:right="-141" w:rightChars="-50"/>
              <w:jc w:val="center"/>
              <w:rPr>
                <w:rFonts w:eastAsia="宋体"/>
                <w:sz w:val="21"/>
                <w:szCs w:val="21"/>
              </w:rPr>
            </w:pPr>
            <w:r>
              <w:rPr>
                <w:rFonts w:eastAsia="宋体"/>
                <w:sz w:val="21"/>
                <w:szCs w:val="21"/>
              </w:rPr>
              <w:t>氟化物排放速率</w:t>
            </w:r>
          </w:p>
        </w:tc>
        <w:tc>
          <w:tcPr>
            <w:tcW w:w="915" w:type="dxa"/>
            <w:vAlign w:val="center"/>
          </w:tcPr>
          <w:p>
            <w:pPr>
              <w:widowControl/>
              <w:spacing w:line="240" w:lineRule="exact"/>
              <w:ind w:left="-141" w:leftChars="-50" w:right="-141" w:rightChars="-50"/>
              <w:jc w:val="center"/>
              <w:rPr>
                <w:rFonts w:eastAsia="宋体"/>
                <w:bCs/>
                <w:kern w:val="0"/>
                <w:sz w:val="21"/>
                <w:szCs w:val="21"/>
                <w:lang w:val="zh-CN"/>
              </w:rPr>
            </w:pPr>
            <w:r>
              <w:rPr>
                <w:rFonts w:eastAsia="宋体"/>
                <w:sz w:val="21"/>
                <w:szCs w:val="21"/>
              </w:rPr>
              <w:t>kg/h</w:t>
            </w:r>
          </w:p>
        </w:tc>
        <w:tc>
          <w:tcPr>
            <w:tcW w:w="1700"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0.215</w:t>
            </w:r>
          </w:p>
        </w:tc>
        <w:tc>
          <w:tcPr>
            <w:tcW w:w="1277"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45"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sz w:val="21"/>
                <w:szCs w:val="21"/>
              </w:rPr>
            </w:pPr>
            <w:r>
              <w:rPr>
                <w:rFonts w:eastAsia="宋体"/>
                <w:sz w:val="21"/>
                <w:szCs w:val="21"/>
              </w:rPr>
              <w:t>13</w:t>
            </w:r>
          </w:p>
        </w:tc>
        <w:tc>
          <w:tcPr>
            <w:tcW w:w="2595" w:type="dxa"/>
            <w:vAlign w:val="center"/>
          </w:tcPr>
          <w:p>
            <w:pPr>
              <w:widowControl/>
              <w:adjustRightInd w:val="0"/>
              <w:snapToGrid w:val="0"/>
              <w:spacing w:line="240" w:lineRule="exact"/>
              <w:ind w:left="-141" w:leftChars="-50" w:right="-141" w:rightChars="-50"/>
              <w:jc w:val="center"/>
              <w:rPr>
                <w:rFonts w:eastAsia="宋体"/>
                <w:sz w:val="21"/>
                <w:szCs w:val="21"/>
              </w:rPr>
            </w:pPr>
            <w:r>
              <w:rPr>
                <w:rFonts w:eastAsia="宋体"/>
                <w:sz w:val="21"/>
                <w:szCs w:val="21"/>
              </w:rPr>
              <w:t>二氧化硫排放浓度</w:t>
            </w:r>
          </w:p>
        </w:tc>
        <w:tc>
          <w:tcPr>
            <w:tcW w:w="915" w:type="dxa"/>
            <w:vAlign w:val="center"/>
          </w:tcPr>
          <w:p>
            <w:pPr>
              <w:widowControl/>
              <w:spacing w:line="240" w:lineRule="exact"/>
              <w:ind w:left="-141" w:leftChars="-50" w:right="-141" w:rightChars="-50"/>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700" w:type="dxa"/>
            <w:vAlign w:val="center"/>
          </w:tcPr>
          <w:p>
            <w:pPr>
              <w:ind w:left="-141" w:leftChars="-50" w:right="-141" w:rightChars="-50"/>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1277"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45"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55" w:type="dxa"/>
            <w:vAlign w:val="center"/>
          </w:tcPr>
          <w:p>
            <w:pPr>
              <w:ind w:right="-141" w:rightChars="-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96" w:type="dxa"/>
            <w:vAlign w:val="center"/>
          </w:tcPr>
          <w:p>
            <w:pPr>
              <w:widowControl/>
              <w:spacing w:line="240" w:lineRule="exact"/>
              <w:ind w:left="-141" w:leftChars="-50" w:right="-141" w:rightChars="-50"/>
              <w:jc w:val="center"/>
              <w:rPr>
                <w:rFonts w:eastAsia="宋体"/>
                <w:sz w:val="21"/>
                <w:szCs w:val="21"/>
              </w:rPr>
            </w:pPr>
            <w:r>
              <w:rPr>
                <w:rFonts w:eastAsia="宋体"/>
                <w:sz w:val="21"/>
                <w:szCs w:val="21"/>
              </w:rPr>
              <w:t>14</w:t>
            </w:r>
          </w:p>
        </w:tc>
        <w:tc>
          <w:tcPr>
            <w:tcW w:w="2595" w:type="dxa"/>
            <w:vAlign w:val="center"/>
          </w:tcPr>
          <w:p>
            <w:pPr>
              <w:widowControl/>
              <w:adjustRightInd w:val="0"/>
              <w:snapToGrid w:val="0"/>
              <w:spacing w:line="240" w:lineRule="exact"/>
              <w:ind w:left="-141" w:leftChars="-50" w:right="-141" w:rightChars="-50"/>
              <w:jc w:val="center"/>
              <w:rPr>
                <w:rFonts w:eastAsia="宋体"/>
                <w:sz w:val="21"/>
                <w:szCs w:val="21"/>
              </w:rPr>
            </w:pPr>
            <w:r>
              <w:rPr>
                <w:rFonts w:eastAsia="宋体"/>
                <w:sz w:val="21"/>
                <w:szCs w:val="21"/>
              </w:rPr>
              <w:t>二氧化硫排放速率</w:t>
            </w:r>
          </w:p>
        </w:tc>
        <w:tc>
          <w:tcPr>
            <w:tcW w:w="915" w:type="dxa"/>
            <w:vAlign w:val="center"/>
          </w:tcPr>
          <w:p>
            <w:pPr>
              <w:widowControl/>
              <w:spacing w:line="240" w:lineRule="exact"/>
              <w:ind w:left="-141" w:leftChars="-50" w:right="-141" w:rightChars="-50"/>
              <w:jc w:val="center"/>
              <w:rPr>
                <w:rFonts w:eastAsia="宋体"/>
                <w:sz w:val="21"/>
                <w:szCs w:val="21"/>
              </w:rPr>
            </w:pPr>
            <w:r>
              <w:rPr>
                <w:rFonts w:eastAsia="宋体"/>
                <w:sz w:val="21"/>
                <w:szCs w:val="21"/>
              </w:rPr>
              <w:t>kg/h</w:t>
            </w:r>
          </w:p>
        </w:tc>
        <w:tc>
          <w:tcPr>
            <w:tcW w:w="1700" w:type="dxa"/>
            <w:vAlign w:val="center"/>
          </w:tcPr>
          <w:p>
            <w:pPr>
              <w:ind w:left="-141" w:leftChars="-50" w:right="-141" w:rightChars="-50"/>
              <w:jc w:val="center"/>
              <w:rPr>
                <w:rFonts w:eastAsia="宋体"/>
                <w:bCs/>
                <w:kern w:val="0"/>
                <w:sz w:val="21"/>
                <w:szCs w:val="21"/>
              </w:rPr>
            </w:pPr>
            <w:r>
              <w:rPr>
                <w:rFonts w:eastAsia="宋体"/>
                <w:bCs/>
                <w:kern w:val="0"/>
                <w:sz w:val="21"/>
                <w:szCs w:val="21"/>
              </w:rPr>
              <w:t>&lt;</w:t>
            </w:r>
            <w:r>
              <w:rPr>
                <w:rFonts w:hint="eastAsia" w:eastAsia="宋体"/>
                <w:bCs/>
                <w:kern w:val="0"/>
                <w:sz w:val="21"/>
                <w:szCs w:val="21"/>
              </w:rPr>
              <w:t>1.78</w:t>
            </w:r>
          </w:p>
        </w:tc>
        <w:tc>
          <w:tcPr>
            <w:tcW w:w="1277" w:type="dxa"/>
            <w:vAlign w:val="center"/>
          </w:tcPr>
          <w:p>
            <w:pPr>
              <w:ind w:left="-141" w:leftChars="-50" w:right="-141" w:rightChars="-50"/>
              <w:jc w:val="center"/>
              <w:rPr>
                <w:rFonts w:eastAsia="宋体"/>
                <w:bCs/>
                <w:kern w:val="0"/>
                <w:sz w:val="21"/>
                <w:szCs w:val="21"/>
              </w:rPr>
            </w:pPr>
            <w:r>
              <w:rPr>
                <w:rFonts w:hint="eastAsia" w:eastAsia="宋体"/>
                <w:bCs/>
                <w:kern w:val="0"/>
                <w:sz w:val="21"/>
                <w:szCs w:val="21"/>
              </w:rPr>
              <w:t>/</w:t>
            </w:r>
          </w:p>
        </w:tc>
        <w:tc>
          <w:tcPr>
            <w:tcW w:w="845" w:type="dxa"/>
            <w:vAlign w:val="center"/>
          </w:tcPr>
          <w:p>
            <w:pPr>
              <w:ind w:left="-141" w:leftChars="-50" w:right="-141" w:rightChars="-50"/>
              <w:jc w:val="center"/>
              <w:rPr>
                <w:rFonts w:eastAsia="宋体"/>
                <w:bCs/>
                <w:kern w:val="0"/>
                <w:sz w:val="21"/>
                <w:szCs w:val="21"/>
              </w:rPr>
            </w:pPr>
          </w:p>
        </w:tc>
        <w:tc>
          <w:tcPr>
            <w:tcW w:w="855" w:type="dxa"/>
            <w:vAlign w:val="center"/>
          </w:tcPr>
          <w:p>
            <w:pPr>
              <w:ind w:right="-141" w:rightChars="-50"/>
              <w:jc w:val="center"/>
              <w:rPr>
                <w:rFonts w:eastAsia="宋体"/>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783" w:type="dxa"/>
            <w:gridSpan w:val="7"/>
            <w:vAlign w:val="center"/>
          </w:tcPr>
          <w:p>
            <w:pPr>
              <w:widowControl/>
              <w:spacing w:line="240" w:lineRule="exact"/>
              <w:ind w:right="-141" w:rightChars="-50"/>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r>
              <w:rPr>
                <w:rFonts w:eastAsia="宋体"/>
                <w:bCs/>
                <w:kern w:val="0"/>
                <w:sz w:val="21"/>
                <w:szCs w:val="21"/>
              </w:rPr>
              <w:t xml:space="preserve"> </w:t>
            </w:r>
          </w:p>
        </w:tc>
      </w:tr>
    </w:tbl>
    <w:p>
      <w:pPr>
        <w:pStyle w:val="313"/>
        <w:tabs>
          <w:tab w:val="clear" w:pos="3908"/>
        </w:tabs>
        <w:ind w:left="1122" w:hanging="561"/>
        <w:rPr>
          <w:rFonts w:ascii="Times New Roman" w:hAnsi="Times New Roman"/>
        </w:rPr>
      </w:pPr>
      <w:r>
        <w:rPr>
          <w:rFonts w:hint="eastAsia" w:ascii="Times New Roman" w:hAnsi="Times New Roman"/>
          <w:lang w:eastAsia="zh-CN"/>
        </w:rPr>
        <w:t>炼钢一厂布袋除尘器出口二噁英</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280"/>
        <w:gridCol w:w="1331"/>
        <w:gridCol w:w="1281"/>
        <w:gridCol w:w="1281"/>
        <w:gridCol w:w="1281"/>
        <w:gridCol w:w="827"/>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00" w:lineRule="exact"/>
              <w:ind w:left="-141" w:leftChars="-50" w:right="-141" w:rightChars="-50"/>
              <w:jc w:val="center"/>
              <w:rPr>
                <w:rFonts w:eastAsia="宋体"/>
                <w:kern w:val="0"/>
                <w:sz w:val="21"/>
                <w:szCs w:val="21"/>
              </w:rPr>
            </w:pPr>
            <w:r>
              <w:rPr>
                <w:rFonts w:eastAsia="宋体"/>
                <w:sz w:val="21"/>
                <w:szCs w:val="21"/>
              </w:rPr>
              <w:t>序号</w:t>
            </w:r>
          </w:p>
        </w:tc>
        <w:tc>
          <w:tcPr>
            <w:tcW w:w="1280" w:type="dxa"/>
            <w:vAlign w:val="center"/>
          </w:tcPr>
          <w:p>
            <w:pPr>
              <w:widowControl/>
              <w:spacing w:line="300" w:lineRule="exact"/>
              <w:ind w:left="-50" w:right="-50"/>
              <w:jc w:val="center"/>
              <w:rPr>
                <w:rFonts w:eastAsia="宋体"/>
                <w:kern w:val="0"/>
                <w:sz w:val="21"/>
                <w:szCs w:val="21"/>
              </w:rPr>
            </w:pPr>
            <w:r>
              <w:rPr>
                <w:rFonts w:eastAsia="宋体"/>
                <w:sz w:val="21"/>
                <w:szCs w:val="21"/>
              </w:rPr>
              <w:t>项目</w:t>
            </w:r>
          </w:p>
        </w:tc>
        <w:tc>
          <w:tcPr>
            <w:tcW w:w="1331" w:type="dxa"/>
            <w:vAlign w:val="center"/>
          </w:tcPr>
          <w:p>
            <w:pPr>
              <w:widowControl/>
              <w:spacing w:line="300" w:lineRule="exact"/>
              <w:ind w:left="-50" w:right="-50"/>
              <w:jc w:val="center"/>
              <w:rPr>
                <w:rFonts w:eastAsia="宋体"/>
                <w:kern w:val="0"/>
                <w:sz w:val="21"/>
                <w:szCs w:val="21"/>
              </w:rPr>
            </w:pPr>
            <w:r>
              <w:rPr>
                <w:rFonts w:eastAsia="宋体"/>
                <w:sz w:val="21"/>
                <w:szCs w:val="21"/>
              </w:rPr>
              <w:t>单位</w:t>
            </w:r>
          </w:p>
        </w:tc>
        <w:tc>
          <w:tcPr>
            <w:tcW w:w="3843" w:type="dxa"/>
            <w:gridSpan w:val="3"/>
            <w:vAlign w:val="center"/>
          </w:tcPr>
          <w:p>
            <w:pPr>
              <w:widowControl/>
              <w:spacing w:line="300" w:lineRule="exact"/>
              <w:ind w:left="-50" w:right="-50"/>
              <w:jc w:val="center"/>
              <w:rPr>
                <w:rFonts w:eastAsia="宋体"/>
                <w:kern w:val="0"/>
                <w:sz w:val="21"/>
                <w:szCs w:val="21"/>
              </w:rPr>
            </w:pPr>
            <w:r>
              <w:rPr>
                <w:rFonts w:eastAsia="宋体"/>
                <w:sz w:val="21"/>
                <w:szCs w:val="21"/>
              </w:rPr>
              <w:t>检测结果</w:t>
            </w:r>
          </w:p>
        </w:tc>
        <w:tc>
          <w:tcPr>
            <w:tcW w:w="827" w:type="dxa"/>
            <w:vAlign w:val="center"/>
          </w:tcPr>
          <w:p>
            <w:pPr>
              <w:widowControl/>
              <w:spacing w:line="300" w:lineRule="exact"/>
              <w:ind w:left="-50" w:right="-50"/>
              <w:jc w:val="center"/>
              <w:rPr>
                <w:rFonts w:eastAsia="宋体"/>
                <w:kern w:val="0"/>
                <w:sz w:val="21"/>
                <w:szCs w:val="21"/>
              </w:rPr>
            </w:pPr>
            <w:r>
              <w:rPr>
                <w:rFonts w:hint="eastAsia" w:eastAsia="宋体"/>
                <w:kern w:val="0"/>
                <w:sz w:val="21"/>
                <w:szCs w:val="21"/>
              </w:rPr>
              <w:t>标准值</w:t>
            </w:r>
          </w:p>
        </w:tc>
        <w:tc>
          <w:tcPr>
            <w:tcW w:w="959" w:type="dxa"/>
            <w:vAlign w:val="center"/>
          </w:tcPr>
          <w:p>
            <w:pPr>
              <w:widowControl/>
              <w:spacing w:line="300" w:lineRule="exact"/>
              <w:ind w:left="-50" w:right="-50"/>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1</w:t>
            </w:r>
          </w:p>
        </w:tc>
        <w:tc>
          <w:tcPr>
            <w:tcW w:w="1280" w:type="dxa"/>
            <w:vAlign w:val="center"/>
          </w:tcPr>
          <w:p>
            <w:pPr>
              <w:widowControl/>
              <w:spacing w:line="300" w:lineRule="exact"/>
              <w:ind w:left="-50" w:right="-50"/>
              <w:jc w:val="center"/>
              <w:rPr>
                <w:rFonts w:eastAsia="宋体"/>
                <w:bCs/>
                <w:kern w:val="0"/>
                <w:sz w:val="21"/>
                <w:szCs w:val="21"/>
              </w:rPr>
            </w:pPr>
            <w:r>
              <w:rPr>
                <w:rFonts w:eastAsia="宋体"/>
                <w:sz w:val="21"/>
                <w:szCs w:val="21"/>
              </w:rPr>
              <w:t>净化器名称及型号</w:t>
            </w:r>
          </w:p>
        </w:tc>
        <w:tc>
          <w:tcPr>
            <w:tcW w:w="1331" w:type="dxa"/>
            <w:vAlign w:val="center"/>
          </w:tcPr>
          <w:p>
            <w:pPr>
              <w:widowControl/>
              <w:spacing w:line="300" w:lineRule="exact"/>
              <w:ind w:left="-50" w:right="-50"/>
              <w:jc w:val="center"/>
              <w:rPr>
                <w:rFonts w:eastAsia="宋体"/>
                <w:bCs/>
                <w:kern w:val="0"/>
                <w:sz w:val="21"/>
                <w:szCs w:val="21"/>
              </w:rPr>
            </w:pPr>
            <w:r>
              <w:rPr>
                <w:rFonts w:eastAsia="宋体"/>
                <w:sz w:val="21"/>
                <w:szCs w:val="21"/>
              </w:rPr>
              <w:t>/</w:t>
            </w:r>
          </w:p>
        </w:tc>
        <w:tc>
          <w:tcPr>
            <w:tcW w:w="3843" w:type="dxa"/>
            <w:gridSpan w:val="3"/>
            <w:vAlign w:val="center"/>
          </w:tcPr>
          <w:p>
            <w:pPr>
              <w:spacing w:line="300" w:lineRule="exact"/>
              <w:ind w:left="-50" w:right="-50"/>
              <w:jc w:val="center"/>
              <w:rPr>
                <w:rFonts w:eastAsia="宋体"/>
                <w:bCs/>
                <w:kern w:val="0"/>
                <w:sz w:val="21"/>
                <w:szCs w:val="21"/>
              </w:rPr>
            </w:pPr>
            <w:r>
              <w:rPr>
                <w:rFonts w:eastAsia="宋体"/>
                <w:kern w:val="0"/>
                <w:sz w:val="21"/>
                <w:szCs w:val="21"/>
              </w:rPr>
              <w:t>布袋</w:t>
            </w:r>
            <w:r>
              <w:rPr>
                <w:rFonts w:hint="eastAsia" w:eastAsia="宋体"/>
                <w:kern w:val="0"/>
                <w:sz w:val="21"/>
                <w:szCs w:val="21"/>
              </w:rPr>
              <w:t>除尘</w:t>
            </w:r>
          </w:p>
        </w:tc>
        <w:tc>
          <w:tcPr>
            <w:tcW w:w="827"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c>
          <w:tcPr>
            <w:tcW w:w="959" w:type="dxa"/>
            <w:vAlign w:val="center"/>
          </w:tcPr>
          <w:p>
            <w:pPr>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2</w:t>
            </w:r>
          </w:p>
        </w:tc>
        <w:tc>
          <w:tcPr>
            <w:tcW w:w="1280" w:type="dxa"/>
            <w:vAlign w:val="center"/>
          </w:tcPr>
          <w:p>
            <w:pPr>
              <w:widowControl/>
              <w:spacing w:line="300" w:lineRule="exact"/>
              <w:ind w:left="-50" w:right="-50"/>
              <w:jc w:val="center"/>
              <w:rPr>
                <w:rFonts w:eastAsia="宋体"/>
                <w:bCs/>
                <w:kern w:val="0"/>
                <w:sz w:val="21"/>
                <w:szCs w:val="21"/>
              </w:rPr>
            </w:pPr>
            <w:r>
              <w:rPr>
                <w:rFonts w:eastAsia="宋体"/>
                <w:sz w:val="21"/>
                <w:szCs w:val="21"/>
              </w:rPr>
              <w:t>测试地点</w:t>
            </w:r>
          </w:p>
        </w:tc>
        <w:tc>
          <w:tcPr>
            <w:tcW w:w="1331" w:type="dxa"/>
            <w:vAlign w:val="center"/>
          </w:tcPr>
          <w:p>
            <w:pPr>
              <w:widowControl/>
              <w:spacing w:line="300" w:lineRule="exact"/>
              <w:ind w:left="-50" w:right="-50"/>
              <w:jc w:val="center"/>
              <w:rPr>
                <w:rFonts w:eastAsia="宋体"/>
                <w:bCs/>
                <w:kern w:val="0"/>
                <w:sz w:val="21"/>
                <w:szCs w:val="21"/>
                <w:lang w:val="zh-CN"/>
              </w:rPr>
            </w:pPr>
            <w:r>
              <w:rPr>
                <w:rFonts w:eastAsia="宋体"/>
                <w:sz w:val="21"/>
                <w:szCs w:val="21"/>
              </w:rPr>
              <w:t>/</w:t>
            </w:r>
          </w:p>
        </w:tc>
        <w:tc>
          <w:tcPr>
            <w:tcW w:w="3843" w:type="dxa"/>
            <w:gridSpan w:val="3"/>
            <w:vAlign w:val="center"/>
          </w:tcPr>
          <w:p>
            <w:pPr>
              <w:widowControl/>
              <w:spacing w:line="300" w:lineRule="exact"/>
              <w:ind w:left="-50" w:right="-50"/>
              <w:jc w:val="center"/>
              <w:rPr>
                <w:rFonts w:eastAsia="宋体"/>
                <w:bCs/>
                <w:kern w:val="0"/>
                <w:sz w:val="21"/>
                <w:szCs w:val="21"/>
              </w:rPr>
            </w:pPr>
            <w:r>
              <w:rPr>
                <w:rFonts w:eastAsia="宋体"/>
                <w:bCs/>
                <w:kern w:val="0"/>
                <w:sz w:val="21"/>
                <w:szCs w:val="21"/>
              </w:rPr>
              <w:t>炼钢</w:t>
            </w:r>
            <w:r>
              <w:rPr>
                <w:rFonts w:hint="eastAsia" w:eastAsia="宋体"/>
                <w:bCs/>
                <w:kern w:val="0"/>
                <w:sz w:val="21"/>
                <w:szCs w:val="21"/>
              </w:rPr>
              <w:t>二</w:t>
            </w:r>
            <w:r>
              <w:rPr>
                <w:rFonts w:eastAsia="宋体"/>
                <w:bCs/>
                <w:kern w:val="0"/>
                <w:sz w:val="21"/>
                <w:szCs w:val="21"/>
              </w:rPr>
              <w:t>厂袋式除尘器废气排放口</w:t>
            </w:r>
            <w:r>
              <w:rPr>
                <w:rFonts w:hint="eastAsia" w:eastAsia="宋体"/>
                <w:bCs/>
                <w:kern w:val="0"/>
                <w:sz w:val="21"/>
                <w:szCs w:val="21"/>
              </w:rPr>
              <w:t>DA002</w:t>
            </w:r>
          </w:p>
        </w:tc>
        <w:tc>
          <w:tcPr>
            <w:tcW w:w="827"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c>
          <w:tcPr>
            <w:tcW w:w="959"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00" w:lineRule="exact"/>
              <w:ind w:left="-50" w:right="-50"/>
              <w:jc w:val="center"/>
              <w:rPr>
                <w:rFonts w:eastAsia="宋体"/>
                <w:sz w:val="21"/>
                <w:szCs w:val="21"/>
              </w:rPr>
            </w:pPr>
            <w:r>
              <w:rPr>
                <w:rFonts w:hint="eastAsia" w:eastAsia="宋体"/>
                <w:sz w:val="21"/>
                <w:szCs w:val="21"/>
              </w:rPr>
              <w:t>3</w:t>
            </w:r>
          </w:p>
        </w:tc>
        <w:tc>
          <w:tcPr>
            <w:tcW w:w="1280" w:type="dxa"/>
            <w:vAlign w:val="center"/>
          </w:tcPr>
          <w:p>
            <w:pPr>
              <w:widowControl/>
              <w:spacing w:line="300" w:lineRule="exact"/>
              <w:ind w:left="-50" w:right="-50"/>
              <w:jc w:val="center"/>
              <w:rPr>
                <w:rFonts w:eastAsia="宋体"/>
                <w:sz w:val="21"/>
                <w:szCs w:val="21"/>
              </w:rPr>
            </w:pPr>
            <w:r>
              <w:rPr>
                <w:rFonts w:hint="eastAsia" w:eastAsia="宋体"/>
                <w:sz w:val="21"/>
                <w:szCs w:val="21"/>
              </w:rPr>
              <w:t>检测时间</w:t>
            </w:r>
          </w:p>
        </w:tc>
        <w:tc>
          <w:tcPr>
            <w:tcW w:w="1331" w:type="dxa"/>
            <w:vAlign w:val="center"/>
          </w:tcPr>
          <w:p>
            <w:pPr>
              <w:widowControl/>
              <w:spacing w:line="300" w:lineRule="exact"/>
              <w:ind w:left="-50" w:right="-50"/>
              <w:jc w:val="center"/>
              <w:rPr>
                <w:rFonts w:eastAsia="宋体"/>
                <w:sz w:val="21"/>
                <w:szCs w:val="21"/>
              </w:rPr>
            </w:pPr>
            <w:r>
              <w:rPr>
                <w:rFonts w:hint="eastAsia" w:eastAsia="宋体"/>
                <w:sz w:val="21"/>
                <w:szCs w:val="21"/>
              </w:rPr>
              <w:t>/</w:t>
            </w:r>
          </w:p>
        </w:tc>
        <w:tc>
          <w:tcPr>
            <w:tcW w:w="3843" w:type="dxa"/>
            <w:gridSpan w:val="3"/>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2018.6.7-2018.6.8</w:t>
            </w:r>
          </w:p>
        </w:tc>
        <w:tc>
          <w:tcPr>
            <w:tcW w:w="827"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c>
          <w:tcPr>
            <w:tcW w:w="959"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61" w:type="dxa"/>
            <w:vAlign w:val="center"/>
          </w:tcPr>
          <w:p>
            <w:pPr>
              <w:widowControl/>
              <w:spacing w:line="300" w:lineRule="exact"/>
              <w:ind w:left="-50" w:right="-50"/>
              <w:jc w:val="center"/>
              <w:rPr>
                <w:rFonts w:eastAsia="宋体"/>
                <w:sz w:val="21"/>
                <w:szCs w:val="21"/>
              </w:rPr>
            </w:pPr>
            <w:r>
              <w:rPr>
                <w:rFonts w:hint="eastAsia" w:eastAsia="宋体"/>
                <w:sz w:val="21"/>
                <w:szCs w:val="21"/>
              </w:rPr>
              <w:t>4</w:t>
            </w:r>
          </w:p>
        </w:tc>
        <w:tc>
          <w:tcPr>
            <w:tcW w:w="1280" w:type="dxa"/>
            <w:vAlign w:val="center"/>
          </w:tcPr>
          <w:p>
            <w:pPr>
              <w:widowControl/>
              <w:spacing w:line="300" w:lineRule="exact"/>
              <w:ind w:left="-50" w:right="-50"/>
              <w:jc w:val="center"/>
              <w:rPr>
                <w:rFonts w:eastAsia="宋体"/>
                <w:sz w:val="21"/>
                <w:szCs w:val="21"/>
              </w:rPr>
            </w:pPr>
            <w:r>
              <w:rPr>
                <w:rFonts w:hint="eastAsia" w:eastAsia="宋体"/>
                <w:sz w:val="21"/>
                <w:szCs w:val="21"/>
              </w:rPr>
              <w:t>监测结果</w:t>
            </w:r>
          </w:p>
        </w:tc>
        <w:tc>
          <w:tcPr>
            <w:tcW w:w="1331" w:type="dxa"/>
            <w:vAlign w:val="center"/>
          </w:tcPr>
          <w:p>
            <w:pPr>
              <w:widowControl/>
              <w:spacing w:line="300" w:lineRule="exact"/>
              <w:ind w:left="-50" w:right="-50"/>
              <w:jc w:val="center"/>
              <w:rPr>
                <w:rFonts w:eastAsia="宋体"/>
                <w:sz w:val="21"/>
                <w:szCs w:val="21"/>
              </w:rPr>
            </w:pPr>
            <w:r>
              <w:rPr>
                <w:rFonts w:hint="eastAsia" w:eastAsia="宋体"/>
                <w:sz w:val="21"/>
                <w:szCs w:val="21"/>
              </w:rPr>
              <w:t>ng-TEQ/m</w:t>
            </w:r>
            <w:r>
              <w:rPr>
                <w:rFonts w:hint="eastAsia" w:eastAsia="宋体"/>
                <w:sz w:val="21"/>
                <w:szCs w:val="21"/>
                <w:vertAlign w:val="superscript"/>
              </w:rPr>
              <w:t>3</w:t>
            </w:r>
          </w:p>
        </w:tc>
        <w:tc>
          <w:tcPr>
            <w:tcW w:w="1281"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0.074</w:t>
            </w:r>
          </w:p>
        </w:tc>
        <w:tc>
          <w:tcPr>
            <w:tcW w:w="1281"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0.074</w:t>
            </w:r>
          </w:p>
        </w:tc>
        <w:tc>
          <w:tcPr>
            <w:tcW w:w="1281"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0.26</w:t>
            </w:r>
          </w:p>
        </w:tc>
        <w:tc>
          <w:tcPr>
            <w:tcW w:w="827" w:type="dxa"/>
            <w:vAlign w:val="center"/>
          </w:tcPr>
          <w:p>
            <w:pPr>
              <w:widowControl/>
              <w:spacing w:line="300" w:lineRule="exact"/>
              <w:ind w:left="-50" w:right="-50"/>
              <w:jc w:val="center"/>
              <w:rPr>
                <w:rFonts w:eastAsia="宋体"/>
                <w:bCs/>
                <w:kern w:val="0"/>
                <w:sz w:val="21"/>
                <w:szCs w:val="21"/>
              </w:rPr>
            </w:pPr>
            <w:r>
              <w:rPr>
                <w:rFonts w:hint="eastAsia" w:eastAsia="宋体"/>
                <w:bCs/>
                <w:kern w:val="0"/>
                <w:sz w:val="21"/>
                <w:szCs w:val="21"/>
              </w:rPr>
              <w:t>0.5</w:t>
            </w:r>
          </w:p>
        </w:tc>
        <w:tc>
          <w:tcPr>
            <w:tcW w:w="959" w:type="dxa"/>
            <w:vAlign w:val="center"/>
          </w:tcPr>
          <w:p>
            <w:pPr>
              <w:widowControl/>
              <w:spacing w:line="300" w:lineRule="exact"/>
              <w:ind w:left="-50" w:right="-50"/>
              <w:jc w:val="center"/>
              <w:rPr>
                <w:rFonts w:eastAsia="宋体"/>
                <w:bCs/>
                <w:kern w:val="0"/>
                <w:sz w:val="21"/>
                <w:szCs w:val="21"/>
              </w:rPr>
            </w:pPr>
            <w:r>
              <w:rPr>
                <w:rFonts w:hint="eastAsia" w:eastAsia="宋体"/>
                <w:sz w:val="21"/>
                <w:szCs w:val="21"/>
              </w:rPr>
              <w:t>达标</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炼钢二厂修磨机布袋除尘器出口监测结果详见表3-1</w:t>
      </w:r>
      <w:r>
        <w:rPr>
          <w:rFonts w:ascii="Times New Roman" w:hAnsi="Times New Roman" w:cs="Times New Roman"/>
          <w:spacing w:val="0"/>
        </w:rPr>
        <w:t>7</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炼钢二厂修磨机</w:t>
      </w:r>
      <w:r>
        <w:rPr>
          <w:rFonts w:hint="eastAsia" w:ascii="Times New Roman" w:hAnsi="Times New Roman"/>
        </w:rPr>
        <w:t>有组织废气检测结果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998"/>
        <w:gridCol w:w="1156"/>
        <w:gridCol w:w="2642"/>
        <w:gridCol w:w="107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jc w:val="center"/>
              <w:rPr>
                <w:rFonts w:eastAsia="宋体"/>
                <w:kern w:val="0"/>
                <w:sz w:val="21"/>
                <w:szCs w:val="21"/>
              </w:rPr>
            </w:pPr>
            <w:r>
              <w:rPr>
                <w:rFonts w:eastAsia="宋体"/>
                <w:sz w:val="21"/>
                <w:szCs w:val="21"/>
              </w:rPr>
              <w:t>序号</w:t>
            </w:r>
          </w:p>
        </w:tc>
        <w:tc>
          <w:tcPr>
            <w:tcW w:w="1998" w:type="dxa"/>
            <w:vAlign w:val="center"/>
          </w:tcPr>
          <w:p>
            <w:pPr>
              <w:widowControl/>
              <w:jc w:val="center"/>
              <w:rPr>
                <w:rFonts w:eastAsia="宋体"/>
                <w:kern w:val="0"/>
                <w:sz w:val="21"/>
                <w:szCs w:val="21"/>
              </w:rPr>
            </w:pPr>
            <w:r>
              <w:rPr>
                <w:rFonts w:eastAsia="宋体"/>
                <w:sz w:val="21"/>
                <w:szCs w:val="21"/>
              </w:rPr>
              <w:t>项目</w:t>
            </w:r>
          </w:p>
        </w:tc>
        <w:tc>
          <w:tcPr>
            <w:tcW w:w="1156" w:type="dxa"/>
            <w:vAlign w:val="center"/>
          </w:tcPr>
          <w:p>
            <w:pPr>
              <w:widowControl/>
              <w:jc w:val="center"/>
              <w:rPr>
                <w:rFonts w:eastAsia="宋体"/>
                <w:kern w:val="0"/>
                <w:sz w:val="21"/>
                <w:szCs w:val="21"/>
              </w:rPr>
            </w:pPr>
            <w:r>
              <w:rPr>
                <w:rFonts w:eastAsia="宋体"/>
                <w:sz w:val="21"/>
                <w:szCs w:val="21"/>
              </w:rPr>
              <w:t>单位</w:t>
            </w:r>
          </w:p>
        </w:tc>
        <w:tc>
          <w:tcPr>
            <w:tcW w:w="2642" w:type="dxa"/>
            <w:vAlign w:val="center"/>
          </w:tcPr>
          <w:p>
            <w:pPr>
              <w:widowControl/>
              <w:jc w:val="center"/>
              <w:rPr>
                <w:rFonts w:eastAsia="宋体"/>
                <w:kern w:val="0"/>
                <w:sz w:val="21"/>
                <w:szCs w:val="21"/>
              </w:rPr>
            </w:pPr>
            <w:r>
              <w:rPr>
                <w:rFonts w:eastAsia="宋体"/>
                <w:sz w:val="21"/>
                <w:szCs w:val="21"/>
              </w:rPr>
              <w:t>检测结果</w:t>
            </w:r>
          </w:p>
        </w:tc>
        <w:tc>
          <w:tcPr>
            <w:tcW w:w="1075" w:type="dxa"/>
            <w:vAlign w:val="center"/>
          </w:tcPr>
          <w:p>
            <w:pPr>
              <w:widowControl/>
              <w:jc w:val="center"/>
              <w:rPr>
                <w:rFonts w:eastAsia="宋体"/>
                <w:kern w:val="0"/>
                <w:sz w:val="21"/>
                <w:szCs w:val="21"/>
              </w:rPr>
            </w:pPr>
            <w:r>
              <w:rPr>
                <w:rFonts w:hint="eastAsia" w:eastAsia="宋体"/>
                <w:kern w:val="0"/>
                <w:sz w:val="21"/>
                <w:szCs w:val="21"/>
              </w:rPr>
              <w:t>标准值</w:t>
            </w:r>
          </w:p>
        </w:tc>
        <w:tc>
          <w:tcPr>
            <w:tcW w:w="1246" w:type="dxa"/>
            <w:vAlign w:val="center"/>
          </w:tcPr>
          <w:p>
            <w:pPr>
              <w:widowControl/>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jc w:val="center"/>
              <w:rPr>
                <w:rFonts w:eastAsia="宋体"/>
                <w:bCs/>
                <w:kern w:val="0"/>
                <w:sz w:val="21"/>
                <w:szCs w:val="21"/>
                <w:lang w:val="zh-CN"/>
              </w:rPr>
            </w:pPr>
            <w:r>
              <w:rPr>
                <w:rFonts w:eastAsia="宋体"/>
                <w:sz w:val="21"/>
                <w:szCs w:val="21"/>
              </w:rPr>
              <w:t>1</w:t>
            </w:r>
          </w:p>
        </w:tc>
        <w:tc>
          <w:tcPr>
            <w:tcW w:w="1998" w:type="dxa"/>
            <w:vAlign w:val="center"/>
          </w:tcPr>
          <w:p>
            <w:pPr>
              <w:widowControl/>
              <w:jc w:val="center"/>
              <w:rPr>
                <w:rFonts w:eastAsia="宋体"/>
                <w:bCs/>
                <w:kern w:val="0"/>
                <w:sz w:val="21"/>
                <w:szCs w:val="21"/>
              </w:rPr>
            </w:pPr>
            <w:r>
              <w:rPr>
                <w:rFonts w:eastAsia="宋体"/>
                <w:sz w:val="21"/>
                <w:szCs w:val="21"/>
              </w:rPr>
              <w:t>净化器名称及型号</w:t>
            </w:r>
          </w:p>
        </w:tc>
        <w:tc>
          <w:tcPr>
            <w:tcW w:w="1156" w:type="dxa"/>
            <w:vAlign w:val="center"/>
          </w:tcPr>
          <w:p>
            <w:pPr>
              <w:widowControl/>
              <w:jc w:val="center"/>
              <w:rPr>
                <w:rFonts w:eastAsia="宋体"/>
                <w:bCs/>
                <w:kern w:val="0"/>
                <w:sz w:val="21"/>
                <w:szCs w:val="21"/>
              </w:rPr>
            </w:pPr>
            <w:r>
              <w:rPr>
                <w:rFonts w:eastAsia="宋体"/>
                <w:sz w:val="21"/>
                <w:szCs w:val="21"/>
              </w:rPr>
              <w:t>/</w:t>
            </w:r>
          </w:p>
        </w:tc>
        <w:tc>
          <w:tcPr>
            <w:tcW w:w="2642" w:type="dxa"/>
            <w:vAlign w:val="center"/>
          </w:tcPr>
          <w:p>
            <w:pPr>
              <w:jc w:val="center"/>
              <w:rPr>
                <w:rFonts w:eastAsia="宋体"/>
                <w:bCs/>
                <w:kern w:val="0"/>
                <w:sz w:val="21"/>
                <w:szCs w:val="21"/>
              </w:rPr>
            </w:pPr>
            <w:r>
              <w:rPr>
                <w:rFonts w:eastAsia="宋体"/>
                <w:kern w:val="0"/>
                <w:sz w:val="21"/>
                <w:szCs w:val="21"/>
              </w:rPr>
              <w:t>布袋</w:t>
            </w:r>
          </w:p>
        </w:tc>
        <w:tc>
          <w:tcPr>
            <w:tcW w:w="1075" w:type="dxa"/>
            <w:vAlign w:val="center"/>
          </w:tcPr>
          <w:p>
            <w:pPr>
              <w:jc w:val="center"/>
              <w:rPr>
                <w:rFonts w:eastAsia="宋体"/>
                <w:bCs/>
                <w:kern w:val="0"/>
                <w:sz w:val="21"/>
                <w:szCs w:val="21"/>
              </w:rPr>
            </w:pPr>
            <w:r>
              <w:rPr>
                <w:rFonts w:hint="eastAsia" w:eastAsia="宋体"/>
                <w:bCs/>
                <w:kern w:val="0"/>
                <w:sz w:val="21"/>
                <w:szCs w:val="21"/>
              </w:rPr>
              <w:t>/</w:t>
            </w:r>
          </w:p>
        </w:tc>
        <w:tc>
          <w:tcPr>
            <w:tcW w:w="1246"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2</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测试地点</w:t>
            </w:r>
          </w:p>
        </w:tc>
        <w:tc>
          <w:tcPr>
            <w:tcW w:w="1156" w:type="dxa"/>
            <w:vAlign w:val="center"/>
          </w:tcPr>
          <w:p>
            <w:pPr>
              <w:widowControl/>
              <w:spacing w:line="240" w:lineRule="exact"/>
              <w:jc w:val="center"/>
              <w:rPr>
                <w:rFonts w:eastAsia="宋体"/>
                <w:bCs/>
                <w:kern w:val="0"/>
                <w:sz w:val="21"/>
                <w:szCs w:val="21"/>
                <w:lang w:val="zh-CN"/>
              </w:rPr>
            </w:pPr>
            <w:r>
              <w:rPr>
                <w:rFonts w:eastAsia="宋体"/>
                <w:sz w:val="21"/>
                <w:szCs w:val="21"/>
              </w:rPr>
              <w:t>/</w:t>
            </w:r>
          </w:p>
        </w:tc>
        <w:tc>
          <w:tcPr>
            <w:tcW w:w="2642" w:type="dxa"/>
            <w:vAlign w:val="center"/>
          </w:tcPr>
          <w:p>
            <w:pPr>
              <w:widowControl/>
              <w:spacing w:line="240" w:lineRule="exact"/>
              <w:jc w:val="center"/>
              <w:rPr>
                <w:rFonts w:eastAsia="宋体"/>
                <w:bCs/>
                <w:kern w:val="0"/>
                <w:sz w:val="21"/>
                <w:szCs w:val="21"/>
              </w:rPr>
            </w:pPr>
            <w:r>
              <w:rPr>
                <w:rFonts w:eastAsia="宋体"/>
                <w:bCs/>
                <w:kern w:val="0"/>
                <w:sz w:val="21"/>
                <w:szCs w:val="21"/>
              </w:rPr>
              <w:t>炼钢</w:t>
            </w:r>
            <w:r>
              <w:rPr>
                <w:rFonts w:hint="eastAsia" w:eastAsia="宋体"/>
                <w:bCs/>
                <w:kern w:val="0"/>
                <w:sz w:val="21"/>
                <w:szCs w:val="21"/>
              </w:rPr>
              <w:t>二</w:t>
            </w:r>
            <w:r>
              <w:rPr>
                <w:rFonts w:eastAsia="宋体"/>
                <w:bCs/>
                <w:kern w:val="0"/>
                <w:sz w:val="21"/>
                <w:szCs w:val="21"/>
              </w:rPr>
              <w:t>厂</w:t>
            </w:r>
            <w:r>
              <w:rPr>
                <w:rFonts w:hint="eastAsia" w:eastAsia="宋体"/>
                <w:bCs/>
                <w:kern w:val="0"/>
                <w:sz w:val="21"/>
                <w:szCs w:val="21"/>
              </w:rPr>
              <w:t>修磨机</w:t>
            </w:r>
            <w:r>
              <w:rPr>
                <w:rFonts w:eastAsia="宋体"/>
                <w:bCs/>
                <w:kern w:val="0"/>
                <w:sz w:val="21"/>
                <w:szCs w:val="21"/>
              </w:rPr>
              <w:t>袋式除尘器废气排放口</w:t>
            </w:r>
          </w:p>
        </w:tc>
        <w:tc>
          <w:tcPr>
            <w:tcW w:w="1075" w:type="dxa"/>
            <w:vAlign w:val="center"/>
          </w:tcPr>
          <w:p>
            <w:pPr>
              <w:widowControl/>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widowControl/>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3</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测试时间</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2019.9.19</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4</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排气筒高度</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m</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15</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*5</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废气温度</w:t>
            </w:r>
          </w:p>
        </w:tc>
        <w:tc>
          <w:tcPr>
            <w:tcW w:w="1156" w:type="dxa"/>
            <w:vAlign w:val="center"/>
          </w:tcPr>
          <w:p>
            <w:pPr>
              <w:widowControl/>
              <w:spacing w:line="240" w:lineRule="exact"/>
              <w:jc w:val="center"/>
              <w:rPr>
                <w:rFonts w:eastAsia="宋体"/>
                <w:bCs/>
                <w:kern w:val="0"/>
                <w:sz w:val="21"/>
                <w:szCs w:val="21"/>
              </w:rPr>
            </w:pPr>
            <w:r>
              <w:rPr>
                <w:rFonts w:hint="eastAsia" w:ascii="宋体" w:hAnsi="宋体" w:eastAsia="宋体" w:cs="宋体"/>
                <w:sz w:val="21"/>
                <w:szCs w:val="21"/>
              </w:rPr>
              <w:t>℃</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32</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*6</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废气流速</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m/s</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27.6</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*7</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实测废气流量</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2.80</w:t>
            </w:r>
            <w:r>
              <w:rPr>
                <w:rFonts w:eastAsia="宋体"/>
                <w:bCs/>
                <w:kern w:val="0"/>
                <w:sz w:val="21"/>
                <w:szCs w:val="21"/>
              </w:rPr>
              <w:t>×10</w:t>
            </w:r>
            <w:r>
              <w:rPr>
                <w:rFonts w:hint="eastAsia" w:eastAsia="宋体"/>
                <w:bCs/>
                <w:kern w:val="0"/>
                <w:sz w:val="21"/>
                <w:szCs w:val="21"/>
                <w:vertAlign w:val="superscript"/>
              </w:rPr>
              <w:t>4</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*8</w:t>
            </w:r>
          </w:p>
        </w:tc>
        <w:tc>
          <w:tcPr>
            <w:tcW w:w="1998" w:type="dxa"/>
            <w:vAlign w:val="center"/>
          </w:tcPr>
          <w:p>
            <w:pPr>
              <w:widowControl/>
              <w:spacing w:line="240" w:lineRule="exact"/>
              <w:jc w:val="center"/>
              <w:rPr>
                <w:rFonts w:eastAsia="宋体"/>
                <w:bCs/>
                <w:kern w:val="0"/>
                <w:sz w:val="21"/>
                <w:szCs w:val="21"/>
              </w:rPr>
            </w:pPr>
            <w:r>
              <w:rPr>
                <w:rFonts w:eastAsia="宋体"/>
                <w:sz w:val="21"/>
                <w:szCs w:val="21"/>
              </w:rPr>
              <w:t>标干态废气流量</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2642" w:type="dxa"/>
            <w:vAlign w:val="center"/>
          </w:tcPr>
          <w:p>
            <w:pPr>
              <w:spacing w:line="240" w:lineRule="exact"/>
              <w:jc w:val="center"/>
              <w:rPr>
                <w:rFonts w:eastAsia="宋体"/>
                <w:bCs/>
                <w:kern w:val="0"/>
                <w:sz w:val="21"/>
                <w:szCs w:val="21"/>
              </w:rPr>
            </w:pPr>
            <w:r>
              <w:rPr>
                <w:rFonts w:hint="eastAsia" w:eastAsia="宋体"/>
                <w:bCs/>
                <w:kern w:val="0"/>
                <w:sz w:val="21"/>
                <w:szCs w:val="21"/>
              </w:rPr>
              <w:t>2.35</w:t>
            </w:r>
            <w:r>
              <w:rPr>
                <w:rFonts w:eastAsia="宋体"/>
                <w:bCs/>
                <w:kern w:val="0"/>
                <w:sz w:val="21"/>
                <w:szCs w:val="21"/>
              </w:rPr>
              <w:t>×10</w:t>
            </w:r>
            <w:r>
              <w:rPr>
                <w:rFonts w:hint="eastAsia" w:eastAsia="宋体"/>
                <w:bCs/>
                <w:kern w:val="0"/>
                <w:sz w:val="21"/>
                <w:szCs w:val="21"/>
                <w:vertAlign w:val="superscript"/>
              </w:rPr>
              <w:t>4</w:t>
            </w:r>
          </w:p>
        </w:tc>
        <w:tc>
          <w:tcPr>
            <w:tcW w:w="1075"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24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lang w:val="zh-CN"/>
              </w:rPr>
            </w:pPr>
            <w:r>
              <w:rPr>
                <w:rFonts w:eastAsia="宋体"/>
                <w:sz w:val="21"/>
                <w:szCs w:val="21"/>
              </w:rPr>
              <w:t>9</w:t>
            </w:r>
          </w:p>
        </w:tc>
        <w:tc>
          <w:tcPr>
            <w:tcW w:w="1998"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颗粒物排放浓度</w:t>
            </w:r>
          </w:p>
        </w:tc>
        <w:tc>
          <w:tcPr>
            <w:tcW w:w="1156"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642" w:type="dxa"/>
            <w:vAlign w:val="center"/>
          </w:tcPr>
          <w:p>
            <w:pPr>
              <w:jc w:val="center"/>
              <w:rPr>
                <w:rFonts w:eastAsia="宋体"/>
                <w:kern w:val="0"/>
                <w:sz w:val="21"/>
                <w:szCs w:val="21"/>
              </w:rPr>
            </w:pPr>
            <w:r>
              <w:rPr>
                <w:rFonts w:hint="eastAsia" w:eastAsia="宋体"/>
                <w:kern w:val="0"/>
                <w:sz w:val="21"/>
                <w:szCs w:val="21"/>
              </w:rPr>
              <w:t>2.9</w:t>
            </w:r>
          </w:p>
        </w:tc>
        <w:tc>
          <w:tcPr>
            <w:tcW w:w="1075" w:type="dxa"/>
            <w:vAlign w:val="center"/>
          </w:tcPr>
          <w:p>
            <w:pPr>
              <w:jc w:val="center"/>
              <w:rPr>
                <w:rFonts w:eastAsia="宋体"/>
                <w:kern w:val="0"/>
                <w:sz w:val="21"/>
                <w:szCs w:val="21"/>
              </w:rPr>
            </w:pPr>
            <w:r>
              <w:rPr>
                <w:rFonts w:hint="eastAsia" w:eastAsia="宋体"/>
                <w:kern w:val="0"/>
                <w:sz w:val="21"/>
                <w:szCs w:val="21"/>
              </w:rPr>
              <w:t>≤15</w:t>
            </w:r>
          </w:p>
        </w:tc>
        <w:tc>
          <w:tcPr>
            <w:tcW w:w="1246" w:type="dxa"/>
            <w:vAlign w:val="center"/>
          </w:tcPr>
          <w:p>
            <w:pPr>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4" w:type="dxa"/>
            <w:vAlign w:val="center"/>
          </w:tcPr>
          <w:p>
            <w:pPr>
              <w:widowControl/>
              <w:spacing w:line="240" w:lineRule="exact"/>
              <w:jc w:val="center"/>
              <w:rPr>
                <w:rFonts w:eastAsia="宋体"/>
                <w:bCs/>
                <w:kern w:val="0"/>
                <w:sz w:val="21"/>
                <w:szCs w:val="21"/>
              </w:rPr>
            </w:pPr>
            <w:r>
              <w:rPr>
                <w:rFonts w:eastAsia="宋体"/>
                <w:sz w:val="21"/>
                <w:szCs w:val="21"/>
              </w:rPr>
              <w:t>10</w:t>
            </w:r>
          </w:p>
        </w:tc>
        <w:tc>
          <w:tcPr>
            <w:tcW w:w="1998"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颗粒物排放速率</w:t>
            </w:r>
          </w:p>
        </w:tc>
        <w:tc>
          <w:tcPr>
            <w:tcW w:w="1156"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642" w:type="dxa"/>
            <w:vAlign w:val="center"/>
          </w:tcPr>
          <w:p>
            <w:pPr>
              <w:jc w:val="center"/>
              <w:rPr>
                <w:rFonts w:eastAsia="宋体"/>
                <w:kern w:val="0"/>
                <w:sz w:val="21"/>
                <w:szCs w:val="21"/>
              </w:rPr>
            </w:pPr>
            <w:r>
              <w:rPr>
                <w:rFonts w:hint="eastAsia" w:eastAsia="宋体"/>
                <w:bCs/>
                <w:kern w:val="0"/>
                <w:sz w:val="21"/>
                <w:szCs w:val="21"/>
              </w:rPr>
              <w:t>6.82</w:t>
            </w:r>
            <w:r>
              <w:rPr>
                <w:rFonts w:eastAsia="宋体"/>
                <w:bCs/>
                <w:kern w:val="0"/>
                <w:sz w:val="21"/>
                <w:szCs w:val="21"/>
              </w:rPr>
              <w:t>×10</w:t>
            </w:r>
            <w:r>
              <w:rPr>
                <w:rFonts w:hint="eastAsia" w:eastAsia="宋体"/>
                <w:bCs/>
                <w:kern w:val="0"/>
                <w:sz w:val="21"/>
                <w:szCs w:val="21"/>
                <w:vertAlign w:val="superscript"/>
              </w:rPr>
              <w:t>-2</w:t>
            </w:r>
          </w:p>
        </w:tc>
        <w:tc>
          <w:tcPr>
            <w:tcW w:w="1075" w:type="dxa"/>
            <w:vAlign w:val="center"/>
          </w:tcPr>
          <w:p>
            <w:pPr>
              <w:jc w:val="center"/>
              <w:rPr>
                <w:rFonts w:eastAsia="宋体"/>
                <w:kern w:val="0"/>
                <w:sz w:val="21"/>
                <w:szCs w:val="21"/>
              </w:rPr>
            </w:pPr>
            <w:r>
              <w:rPr>
                <w:rFonts w:hint="eastAsia" w:eastAsia="宋体"/>
                <w:kern w:val="0"/>
                <w:sz w:val="21"/>
                <w:szCs w:val="21"/>
              </w:rPr>
              <w:t>/</w:t>
            </w:r>
          </w:p>
        </w:tc>
        <w:tc>
          <w:tcPr>
            <w:tcW w:w="1246" w:type="dxa"/>
            <w:vAlign w:val="center"/>
          </w:tcPr>
          <w:p>
            <w:pPr>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6"/>
            <w:vAlign w:val="center"/>
          </w:tcPr>
          <w:p>
            <w:pPr>
              <w:widowControl/>
              <w:spacing w:line="24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由表3-1</w:t>
      </w:r>
      <w:r>
        <w:rPr>
          <w:rFonts w:ascii="Times New Roman" w:hAnsi="Times New Roman" w:cs="Times New Roman"/>
          <w:spacing w:val="0"/>
        </w:rPr>
        <w:t>5</w:t>
      </w:r>
      <w:r>
        <w:rPr>
          <w:rFonts w:hint="eastAsia" w:ascii="宋体" w:hAnsi="宋体" w:cs="Times New Roman"/>
          <w:spacing w:val="0"/>
        </w:rPr>
        <w:t>～</w:t>
      </w:r>
      <w:r>
        <w:rPr>
          <w:rFonts w:hint="eastAsia" w:ascii="Times New Roman" w:hAnsi="Times New Roman" w:cs="Times New Roman"/>
          <w:spacing w:val="0"/>
        </w:rPr>
        <w:t>3-1</w:t>
      </w:r>
      <w:r>
        <w:rPr>
          <w:rFonts w:ascii="Times New Roman" w:hAnsi="Times New Roman" w:cs="Times New Roman"/>
          <w:spacing w:val="0"/>
        </w:rPr>
        <w:t>7</w:t>
      </w:r>
      <w:r>
        <w:rPr>
          <w:rFonts w:hint="eastAsia" w:ascii="Times New Roman" w:hAnsi="Times New Roman" w:cs="Times New Roman"/>
          <w:spacing w:val="0"/>
        </w:rPr>
        <w:t>可知，炼钢二厂布袋除尘器尾气、修磨废气均能达到《炼钢工业大气污染物排放标准》(GB28664-2012)表3大气污染物特别排放限值。</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③轧钢厂</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老轧钢厂加热炉废气排放口监测结果详见表3-1</w:t>
      </w:r>
      <w:r>
        <w:rPr>
          <w:rFonts w:ascii="Times New Roman" w:hAnsi="Times New Roman" w:cs="Times New Roman"/>
          <w:spacing w:val="0"/>
        </w:rPr>
        <w:t>8</w:t>
      </w:r>
      <w:r>
        <w:rPr>
          <w:rFonts w:hint="eastAsia" w:ascii="Times New Roman" w:hAnsi="Times New Roman" w:cs="Times New Roman"/>
          <w:spacing w:val="0"/>
        </w:rPr>
        <w:t>，已于2018.7停止使用。</w:t>
      </w:r>
    </w:p>
    <w:p>
      <w:pPr>
        <w:pStyle w:val="313"/>
        <w:tabs>
          <w:tab w:val="clear" w:pos="3908"/>
        </w:tabs>
        <w:ind w:left="1122" w:hanging="561"/>
        <w:rPr>
          <w:rFonts w:ascii="Times New Roman" w:hAnsi="Times New Roman"/>
        </w:rPr>
      </w:pPr>
      <w:r>
        <w:rPr>
          <w:rFonts w:hint="eastAsia" w:ascii="Times New Roman" w:hAnsi="Times New Roman"/>
          <w:lang w:val="en-US" w:eastAsia="zh-CN"/>
        </w:rPr>
        <w:t>老</w:t>
      </w:r>
      <w:r>
        <w:rPr>
          <w:rFonts w:hint="eastAsia" w:ascii="Times New Roman" w:hAnsi="Times New Roman"/>
          <w:lang w:eastAsia="zh-CN"/>
        </w:rPr>
        <w:t>轧钢厂加热炉废气排放口</w:t>
      </w:r>
      <w:r>
        <w:rPr>
          <w:rFonts w:hint="eastAsia" w:ascii="Times New Roman" w:hAnsi="Times New Roman"/>
        </w:rPr>
        <w:t>检测结果</w:t>
      </w:r>
    </w:p>
    <w:tbl>
      <w:tblPr>
        <w:tblStyle w:val="87"/>
        <w:tblpPr w:leftFromText="181" w:rightFromText="181" w:vertAnchor="text" w:tblpXSpec="center" w:tblpY="1"/>
        <w:tblOverlap w:val="never"/>
        <w:tblW w:w="8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019"/>
        <w:gridCol w:w="1043"/>
        <w:gridCol w:w="2306"/>
        <w:gridCol w:w="1096"/>
        <w:gridCol w:w="831"/>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kern w:val="0"/>
                <w:sz w:val="21"/>
                <w:szCs w:val="21"/>
              </w:rPr>
            </w:pPr>
            <w:r>
              <w:rPr>
                <w:rFonts w:eastAsia="宋体"/>
                <w:sz w:val="21"/>
                <w:szCs w:val="21"/>
              </w:rPr>
              <w:t>序号</w:t>
            </w:r>
          </w:p>
        </w:tc>
        <w:tc>
          <w:tcPr>
            <w:tcW w:w="2019" w:type="dxa"/>
            <w:vAlign w:val="center"/>
          </w:tcPr>
          <w:p>
            <w:pPr>
              <w:widowControl/>
              <w:spacing w:line="240" w:lineRule="exact"/>
              <w:jc w:val="center"/>
              <w:rPr>
                <w:rFonts w:eastAsia="宋体"/>
                <w:kern w:val="0"/>
                <w:sz w:val="21"/>
                <w:szCs w:val="21"/>
              </w:rPr>
            </w:pPr>
            <w:r>
              <w:rPr>
                <w:rFonts w:eastAsia="宋体"/>
                <w:sz w:val="21"/>
                <w:szCs w:val="21"/>
              </w:rPr>
              <w:t>项目</w:t>
            </w:r>
          </w:p>
        </w:tc>
        <w:tc>
          <w:tcPr>
            <w:tcW w:w="1043" w:type="dxa"/>
            <w:vAlign w:val="center"/>
          </w:tcPr>
          <w:p>
            <w:pPr>
              <w:widowControl/>
              <w:spacing w:line="240" w:lineRule="exact"/>
              <w:jc w:val="center"/>
              <w:rPr>
                <w:rFonts w:eastAsia="宋体"/>
                <w:kern w:val="0"/>
                <w:sz w:val="21"/>
                <w:szCs w:val="21"/>
              </w:rPr>
            </w:pPr>
            <w:r>
              <w:rPr>
                <w:rFonts w:eastAsia="宋体"/>
                <w:sz w:val="21"/>
                <w:szCs w:val="21"/>
              </w:rPr>
              <w:t>单位</w:t>
            </w:r>
          </w:p>
        </w:tc>
        <w:tc>
          <w:tcPr>
            <w:tcW w:w="3402" w:type="dxa"/>
            <w:gridSpan w:val="2"/>
            <w:vAlign w:val="center"/>
          </w:tcPr>
          <w:p>
            <w:pPr>
              <w:widowControl/>
              <w:spacing w:line="240" w:lineRule="exact"/>
              <w:jc w:val="center"/>
              <w:rPr>
                <w:rFonts w:eastAsia="宋体"/>
                <w:kern w:val="0"/>
                <w:sz w:val="21"/>
                <w:szCs w:val="21"/>
              </w:rPr>
            </w:pPr>
            <w:r>
              <w:rPr>
                <w:rFonts w:eastAsia="宋体"/>
                <w:sz w:val="21"/>
                <w:szCs w:val="21"/>
              </w:rPr>
              <w:t>检测结果</w:t>
            </w:r>
          </w:p>
        </w:tc>
        <w:tc>
          <w:tcPr>
            <w:tcW w:w="831" w:type="dxa"/>
            <w:vAlign w:val="center"/>
          </w:tcPr>
          <w:p>
            <w:pPr>
              <w:widowControl/>
              <w:spacing w:line="240" w:lineRule="exact"/>
              <w:jc w:val="center"/>
              <w:rPr>
                <w:rFonts w:eastAsia="宋体"/>
                <w:kern w:val="0"/>
                <w:sz w:val="21"/>
                <w:szCs w:val="21"/>
              </w:rPr>
            </w:pPr>
            <w:r>
              <w:rPr>
                <w:rFonts w:hint="eastAsia" w:eastAsia="宋体"/>
                <w:kern w:val="0"/>
                <w:sz w:val="21"/>
                <w:szCs w:val="21"/>
              </w:rPr>
              <w:t>标准值</w:t>
            </w:r>
          </w:p>
        </w:tc>
        <w:tc>
          <w:tcPr>
            <w:tcW w:w="692" w:type="dxa"/>
            <w:vAlign w:val="center"/>
          </w:tcPr>
          <w:p>
            <w:pPr>
              <w:widowControl/>
              <w:spacing w:line="240" w:lineRule="exact"/>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1</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测试地点</w:t>
            </w:r>
          </w:p>
        </w:tc>
        <w:tc>
          <w:tcPr>
            <w:tcW w:w="1043" w:type="dxa"/>
            <w:vAlign w:val="center"/>
          </w:tcPr>
          <w:p>
            <w:pPr>
              <w:widowControl/>
              <w:spacing w:line="240" w:lineRule="exact"/>
              <w:jc w:val="center"/>
              <w:rPr>
                <w:rFonts w:eastAsia="宋体"/>
                <w:bCs/>
                <w:kern w:val="0"/>
                <w:sz w:val="21"/>
                <w:szCs w:val="21"/>
                <w:lang w:val="zh-CN"/>
              </w:rPr>
            </w:pPr>
            <w:r>
              <w:rPr>
                <w:rFonts w:eastAsia="宋体"/>
                <w:sz w:val="21"/>
                <w:szCs w:val="21"/>
              </w:rPr>
              <w:t>/</w:t>
            </w:r>
          </w:p>
        </w:tc>
        <w:tc>
          <w:tcPr>
            <w:tcW w:w="3402" w:type="dxa"/>
            <w:gridSpan w:val="2"/>
            <w:vAlign w:val="center"/>
          </w:tcPr>
          <w:p>
            <w:pPr>
              <w:widowControl/>
              <w:spacing w:line="240" w:lineRule="exact"/>
              <w:jc w:val="center"/>
              <w:rPr>
                <w:rFonts w:eastAsia="宋体"/>
                <w:bCs/>
                <w:kern w:val="0"/>
                <w:sz w:val="21"/>
                <w:szCs w:val="21"/>
              </w:rPr>
            </w:pPr>
            <w:r>
              <w:rPr>
                <w:rFonts w:hint="eastAsia" w:eastAsia="宋体"/>
                <w:bCs/>
                <w:kern w:val="0"/>
                <w:sz w:val="21"/>
                <w:szCs w:val="21"/>
              </w:rPr>
              <w:t>老轧钢厂加热炉</w:t>
            </w:r>
            <w:r>
              <w:rPr>
                <w:rFonts w:eastAsia="宋体"/>
                <w:bCs/>
                <w:kern w:val="0"/>
                <w:sz w:val="21"/>
                <w:szCs w:val="21"/>
              </w:rPr>
              <w:t>废气排放口</w:t>
            </w:r>
          </w:p>
        </w:tc>
        <w:tc>
          <w:tcPr>
            <w:tcW w:w="831" w:type="dxa"/>
            <w:vAlign w:val="center"/>
          </w:tcPr>
          <w:p>
            <w:pPr>
              <w:widowControl/>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widowControl/>
              <w:spacing w:line="240" w:lineRule="exact"/>
              <w:jc w:val="center"/>
              <w:rPr>
                <w:rFonts w:eastAsia="宋体"/>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2</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测试时间</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w:t>
            </w:r>
          </w:p>
        </w:tc>
        <w:tc>
          <w:tcPr>
            <w:tcW w:w="2306" w:type="dxa"/>
            <w:vAlign w:val="center"/>
          </w:tcPr>
          <w:p>
            <w:pPr>
              <w:spacing w:line="240" w:lineRule="exact"/>
              <w:jc w:val="center"/>
              <w:rPr>
                <w:rFonts w:eastAsia="宋体"/>
                <w:bCs/>
                <w:kern w:val="0"/>
                <w:sz w:val="21"/>
                <w:szCs w:val="21"/>
              </w:rPr>
            </w:pPr>
            <w:r>
              <w:rPr>
                <w:rFonts w:hint="eastAsia" w:eastAsia="宋体"/>
                <w:bCs/>
                <w:kern w:val="0"/>
                <w:sz w:val="21"/>
                <w:szCs w:val="21"/>
              </w:rPr>
              <w:t>2018.6.15</w:t>
            </w:r>
          </w:p>
          <w:p>
            <w:pPr>
              <w:spacing w:line="240" w:lineRule="exact"/>
              <w:jc w:val="center"/>
              <w:rPr>
                <w:rFonts w:eastAsia="宋体"/>
                <w:bCs/>
                <w:kern w:val="0"/>
                <w:sz w:val="21"/>
                <w:szCs w:val="21"/>
              </w:rPr>
            </w:pPr>
            <w:r>
              <w:rPr>
                <w:rFonts w:hint="eastAsia" w:eastAsia="宋体"/>
                <w:bCs/>
                <w:kern w:val="0"/>
                <w:sz w:val="21"/>
                <w:szCs w:val="21"/>
              </w:rPr>
              <w:t>(老)</w:t>
            </w:r>
          </w:p>
        </w:tc>
        <w:tc>
          <w:tcPr>
            <w:tcW w:w="1096" w:type="dxa"/>
            <w:vAlign w:val="center"/>
          </w:tcPr>
          <w:p>
            <w:pPr>
              <w:spacing w:line="240" w:lineRule="exact"/>
              <w:jc w:val="center"/>
              <w:rPr>
                <w:rFonts w:eastAsia="宋体"/>
                <w:bCs/>
                <w:kern w:val="0"/>
                <w:sz w:val="21"/>
                <w:szCs w:val="21"/>
              </w:rPr>
            </w:pPr>
            <w:r>
              <w:rPr>
                <w:rFonts w:hint="eastAsia" w:eastAsia="宋体"/>
                <w:bCs/>
                <w:kern w:val="0"/>
                <w:sz w:val="21"/>
                <w:szCs w:val="21"/>
              </w:rPr>
              <w:t>2018.9.19</w:t>
            </w:r>
          </w:p>
          <w:p>
            <w:pPr>
              <w:spacing w:line="240" w:lineRule="exact"/>
              <w:jc w:val="center"/>
              <w:rPr>
                <w:rFonts w:eastAsia="宋体"/>
                <w:bCs/>
                <w:kern w:val="0"/>
                <w:sz w:val="21"/>
                <w:szCs w:val="21"/>
              </w:rPr>
            </w:pPr>
            <w:r>
              <w:rPr>
                <w:rFonts w:hint="eastAsia" w:eastAsia="宋体"/>
                <w:bCs/>
                <w:kern w:val="0"/>
                <w:sz w:val="21"/>
                <w:szCs w:val="21"/>
              </w:rPr>
              <w:t>(老)</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3</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排气筒高度</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w:t>
            </w:r>
          </w:p>
        </w:tc>
        <w:tc>
          <w:tcPr>
            <w:tcW w:w="3402" w:type="dxa"/>
            <w:gridSpan w:val="2"/>
            <w:vAlign w:val="center"/>
          </w:tcPr>
          <w:p>
            <w:pPr>
              <w:spacing w:line="240" w:lineRule="exact"/>
              <w:jc w:val="center"/>
              <w:rPr>
                <w:rFonts w:eastAsia="宋体"/>
                <w:bCs/>
                <w:kern w:val="0"/>
                <w:sz w:val="21"/>
                <w:szCs w:val="21"/>
              </w:rPr>
            </w:pPr>
            <w:r>
              <w:rPr>
                <w:rFonts w:hint="eastAsia" w:eastAsia="宋体"/>
                <w:bCs/>
                <w:kern w:val="0"/>
                <w:sz w:val="21"/>
                <w:szCs w:val="21"/>
              </w:rPr>
              <w:t>25</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4</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废气温度</w:t>
            </w:r>
          </w:p>
        </w:tc>
        <w:tc>
          <w:tcPr>
            <w:tcW w:w="1043" w:type="dxa"/>
            <w:vAlign w:val="center"/>
          </w:tcPr>
          <w:p>
            <w:pPr>
              <w:widowControl/>
              <w:spacing w:line="240" w:lineRule="exact"/>
              <w:jc w:val="center"/>
              <w:rPr>
                <w:rFonts w:eastAsia="宋体"/>
                <w:bCs/>
                <w:kern w:val="0"/>
                <w:sz w:val="21"/>
                <w:szCs w:val="21"/>
              </w:rPr>
            </w:pPr>
            <w:r>
              <w:rPr>
                <w:rFonts w:hint="eastAsia" w:ascii="宋体" w:hAnsi="宋体" w:eastAsia="宋体" w:cs="宋体"/>
                <w:sz w:val="21"/>
                <w:szCs w:val="21"/>
              </w:rPr>
              <w:t>℃</w:t>
            </w:r>
          </w:p>
        </w:tc>
        <w:tc>
          <w:tcPr>
            <w:tcW w:w="2306" w:type="dxa"/>
            <w:vAlign w:val="center"/>
          </w:tcPr>
          <w:p>
            <w:pPr>
              <w:spacing w:line="240" w:lineRule="exact"/>
              <w:jc w:val="center"/>
              <w:rPr>
                <w:rFonts w:eastAsia="宋体"/>
                <w:bCs/>
                <w:kern w:val="0"/>
                <w:sz w:val="21"/>
                <w:szCs w:val="21"/>
              </w:rPr>
            </w:pPr>
            <w:r>
              <w:rPr>
                <w:rFonts w:hint="eastAsia" w:eastAsia="宋体"/>
                <w:bCs/>
                <w:kern w:val="0"/>
                <w:sz w:val="21"/>
                <w:szCs w:val="21"/>
              </w:rPr>
              <w:t>300</w:t>
            </w:r>
          </w:p>
        </w:tc>
        <w:tc>
          <w:tcPr>
            <w:tcW w:w="1096" w:type="dxa"/>
            <w:vAlign w:val="center"/>
          </w:tcPr>
          <w:p>
            <w:pPr>
              <w:spacing w:line="240" w:lineRule="exact"/>
              <w:jc w:val="center"/>
              <w:rPr>
                <w:rFonts w:eastAsia="宋体"/>
                <w:bCs/>
                <w:kern w:val="0"/>
                <w:sz w:val="21"/>
                <w:szCs w:val="21"/>
              </w:rPr>
            </w:pPr>
            <w:r>
              <w:rPr>
                <w:rFonts w:hint="eastAsia" w:eastAsia="宋体"/>
                <w:bCs/>
                <w:kern w:val="0"/>
                <w:sz w:val="21"/>
                <w:szCs w:val="21"/>
              </w:rPr>
              <w:t>187</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*5</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废气流速</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m/s</w:t>
            </w:r>
          </w:p>
        </w:tc>
        <w:tc>
          <w:tcPr>
            <w:tcW w:w="2306" w:type="dxa"/>
            <w:vAlign w:val="center"/>
          </w:tcPr>
          <w:p>
            <w:pPr>
              <w:spacing w:line="240" w:lineRule="exact"/>
              <w:jc w:val="center"/>
              <w:rPr>
                <w:rFonts w:eastAsia="宋体"/>
                <w:bCs/>
                <w:kern w:val="0"/>
                <w:sz w:val="21"/>
                <w:szCs w:val="21"/>
              </w:rPr>
            </w:pPr>
            <w:r>
              <w:rPr>
                <w:rFonts w:hint="eastAsia" w:eastAsia="宋体"/>
                <w:bCs/>
                <w:kern w:val="0"/>
                <w:sz w:val="21"/>
                <w:szCs w:val="21"/>
              </w:rPr>
              <w:t>11.8</w:t>
            </w:r>
          </w:p>
        </w:tc>
        <w:tc>
          <w:tcPr>
            <w:tcW w:w="1096" w:type="dxa"/>
            <w:vAlign w:val="center"/>
          </w:tcPr>
          <w:p>
            <w:pPr>
              <w:spacing w:line="240" w:lineRule="exact"/>
              <w:jc w:val="center"/>
              <w:rPr>
                <w:rFonts w:eastAsia="宋体"/>
                <w:bCs/>
                <w:kern w:val="0"/>
                <w:sz w:val="21"/>
                <w:szCs w:val="21"/>
              </w:rPr>
            </w:pPr>
            <w:r>
              <w:rPr>
                <w:rFonts w:hint="eastAsia" w:eastAsia="宋体"/>
                <w:bCs/>
                <w:kern w:val="0"/>
                <w:sz w:val="21"/>
                <w:szCs w:val="21"/>
              </w:rPr>
              <w:t>8.7</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*6</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实测废气流量</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2306" w:type="dxa"/>
            <w:vAlign w:val="center"/>
          </w:tcPr>
          <w:p>
            <w:pPr>
              <w:spacing w:line="240" w:lineRule="exact"/>
              <w:jc w:val="center"/>
              <w:rPr>
                <w:rFonts w:eastAsia="宋体"/>
                <w:bCs/>
                <w:kern w:val="0"/>
                <w:sz w:val="21"/>
                <w:szCs w:val="21"/>
              </w:rPr>
            </w:pPr>
            <w:r>
              <w:rPr>
                <w:rFonts w:hint="eastAsia" w:eastAsia="宋体"/>
                <w:bCs/>
                <w:kern w:val="0"/>
                <w:sz w:val="21"/>
                <w:szCs w:val="21"/>
              </w:rPr>
              <w:t>2.13</w:t>
            </w:r>
            <w:r>
              <w:rPr>
                <w:rFonts w:eastAsia="宋体"/>
                <w:bCs/>
                <w:kern w:val="0"/>
                <w:sz w:val="21"/>
                <w:szCs w:val="21"/>
              </w:rPr>
              <w:t>×10</w:t>
            </w:r>
            <w:r>
              <w:rPr>
                <w:rFonts w:hint="eastAsia" w:eastAsia="宋体"/>
                <w:bCs/>
                <w:kern w:val="0"/>
                <w:sz w:val="21"/>
                <w:szCs w:val="21"/>
                <w:vertAlign w:val="superscript"/>
              </w:rPr>
              <w:t>4</w:t>
            </w:r>
          </w:p>
        </w:tc>
        <w:tc>
          <w:tcPr>
            <w:tcW w:w="1096" w:type="dxa"/>
            <w:vAlign w:val="center"/>
          </w:tcPr>
          <w:p>
            <w:pPr>
              <w:spacing w:line="240" w:lineRule="exact"/>
              <w:jc w:val="center"/>
              <w:rPr>
                <w:rFonts w:eastAsia="宋体"/>
                <w:bCs/>
                <w:kern w:val="0"/>
                <w:sz w:val="21"/>
                <w:szCs w:val="21"/>
              </w:rPr>
            </w:pPr>
            <w:r>
              <w:rPr>
                <w:rFonts w:hint="eastAsia" w:eastAsia="宋体"/>
                <w:bCs/>
                <w:kern w:val="0"/>
                <w:sz w:val="21"/>
                <w:szCs w:val="21"/>
              </w:rPr>
              <w:t>2.45</w:t>
            </w:r>
            <w:r>
              <w:rPr>
                <w:rFonts w:eastAsia="宋体"/>
                <w:bCs/>
                <w:kern w:val="0"/>
                <w:sz w:val="21"/>
                <w:szCs w:val="21"/>
              </w:rPr>
              <w:t>×10</w:t>
            </w:r>
            <w:r>
              <w:rPr>
                <w:rFonts w:hint="eastAsia" w:eastAsia="宋体"/>
                <w:bCs/>
                <w:kern w:val="0"/>
                <w:sz w:val="21"/>
                <w:szCs w:val="21"/>
                <w:vertAlign w:val="superscript"/>
              </w:rPr>
              <w:t>4</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*7</w:t>
            </w:r>
          </w:p>
        </w:tc>
        <w:tc>
          <w:tcPr>
            <w:tcW w:w="2019" w:type="dxa"/>
            <w:vAlign w:val="center"/>
          </w:tcPr>
          <w:p>
            <w:pPr>
              <w:widowControl/>
              <w:spacing w:line="240" w:lineRule="exact"/>
              <w:jc w:val="center"/>
              <w:rPr>
                <w:rFonts w:eastAsia="宋体"/>
                <w:bCs/>
                <w:kern w:val="0"/>
                <w:sz w:val="21"/>
                <w:szCs w:val="21"/>
              </w:rPr>
            </w:pPr>
            <w:r>
              <w:rPr>
                <w:rFonts w:eastAsia="宋体"/>
                <w:sz w:val="21"/>
                <w:szCs w:val="21"/>
              </w:rPr>
              <w:t>标干态废气流量</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2306" w:type="dxa"/>
            <w:vAlign w:val="center"/>
          </w:tcPr>
          <w:p>
            <w:pPr>
              <w:spacing w:line="240" w:lineRule="exact"/>
              <w:jc w:val="center"/>
              <w:rPr>
                <w:rFonts w:eastAsia="宋体"/>
                <w:bCs/>
                <w:kern w:val="0"/>
                <w:sz w:val="21"/>
                <w:szCs w:val="21"/>
              </w:rPr>
            </w:pPr>
            <w:r>
              <w:rPr>
                <w:rFonts w:hint="eastAsia" w:eastAsia="宋体"/>
                <w:bCs/>
                <w:kern w:val="0"/>
                <w:sz w:val="21"/>
                <w:szCs w:val="21"/>
              </w:rPr>
              <w:t>9.77</w:t>
            </w:r>
            <w:r>
              <w:rPr>
                <w:rFonts w:eastAsia="宋体"/>
                <w:bCs/>
                <w:kern w:val="0"/>
                <w:sz w:val="21"/>
                <w:szCs w:val="21"/>
              </w:rPr>
              <w:t>×10</w:t>
            </w:r>
            <w:r>
              <w:rPr>
                <w:rFonts w:hint="eastAsia" w:eastAsia="宋体"/>
                <w:bCs/>
                <w:kern w:val="0"/>
                <w:sz w:val="21"/>
                <w:szCs w:val="21"/>
                <w:vertAlign w:val="superscript"/>
              </w:rPr>
              <w:t>3</w:t>
            </w:r>
          </w:p>
        </w:tc>
        <w:tc>
          <w:tcPr>
            <w:tcW w:w="1096" w:type="dxa"/>
            <w:vAlign w:val="center"/>
          </w:tcPr>
          <w:p>
            <w:pPr>
              <w:spacing w:line="240" w:lineRule="exact"/>
              <w:jc w:val="center"/>
              <w:rPr>
                <w:rFonts w:eastAsia="宋体"/>
                <w:bCs/>
                <w:kern w:val="0"/>
                <w:sz w:val="21"/>
                <w:szCs w:val="21"/>
              </w:rPr>
            </w:pPr>
            <w:r>
              <w:rPr>
                <w:rFonts w:hint="eastAsia" w:eastAsia="宋体"/>
                <w:bCs/>
                <w:kern w:val="0"/>
                <w:sz w:val="21"/>
                <w:szCs w:val="21"/>
              </w:rPr>
              <w:t>1.41</w:t>
            </w:r>
            <w:r>
              <w:rPr>
                <w:rFonts w:eastAsia="宋体"/>
                <w:bCs/>
                <w:kern w:val="0"/>
                <w:sz w:val="21"/>
                <w:szCs w:val="21"/>
              </w:rPr>
              <w:t>×10</w:t>
            </w:r>
            <w:r>
              <w:rPr>
                <w:rFonts w:hint="eastAsia" w:eastAsia="宋体"/>
                <w:bCs/>
                <w:kern w:val="0"/>
                <w:sz w:val="21"/>
                <w:szCs w:val="21"/>
                <w:vertAlign w:val="superscript"/>
              </w:rPr>
              <w:t>4</w:t>
            </w:r>
          </w:p>
        </w:tc>
        <w:tc>
          <w:tcPr>
            <w:tcW w:w="831"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692"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lang w:val="zh-CN"/>
              </w:rPr>
            </w:pPr>
            <w:r>
              <w:rPr>
                <w:rFonts w:eastAsia="宋体"/>
                <w:sz w:val="21"/>
                <w:szCs w:val="21"/>
              </w:rPr>
              <w:t>*8</w:t>
            </w:r>
          </w:p>
        </w:tc>
        <w:tc>
          <w:tcPr>
            <w:tcW w:w="2019"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颗粒物排放浓度</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306" w:type="dxa"/>
            <w:vAlign w:val="center"/>
          </w:tcPr>
          <w:p>
            <w:pPr>
              <w:jc w:val="center"/>
              <w:rPr>
                <w:rFonts w:eastAsia="宋体"/>
                <w:kern w:val="0"/>
                <w:sz w:val="21"/>
                <w:szCs w:val="21"/>
              </w:rPr>
            </w:pPr>
            <w:r>
              <w:rPr>
                <w:rFonts w:hint="eastAsia" w:eastAsia="宋体"/>
                <w:kern w:val="0"/>
                <w:sz w:val="21"/>
                <w:szCs w:val="21"/>
              </w:rPr>
              <w:t>11.4</w:t>
            </w:r>
          </w:p>
        </w:tc>
        <w:tc>
          <w:tcPr>
            <w:tcW w:w="1096" w:type="dxa"/>
            <w:vAlign w:val="center"/>
          </w:tcPr>
          <w:p>
            <w:pPr>
              <w:jc w:val="center"/>
              <w:rPr>
                <w:rFonts w:eastAsia="宋体"/>
                <w:kern w:val="0"/>
                <w:sz w:val="21"/>
                <w:szCs w:val="21"/>
              </w:rPr>
            </w:pPr>
            <w:r>
              <w:rPr>
                <w:rFonts w:hint="eastAsia" w:eastAsia="宋体"/>
                <w:kern w:val="0"/>
                <w:sz w:val="21"/>
                <w:szCs w:val="21"/>
              </w:rPr>
              <w:t>2.4</w:t>
            </w:r>
          </w:p>
        </w:tc>
        <w:tc>
          <w:tcPr>
            <w:tcW w:w="831" w:type="dxa"/>
            <w:vAlign w:val="center"/>
          </w:tcPr>
          <w:p>
            <w:pPr>
              <w:jc w:val="center"/>
              <w:rPr>
                <w:rFonts w:eastAsia="宋体"/>
                <w:kern w:val="0"/>
                <w:sz w:val="21"/>
                <w:szCs w:val="21"/>
              </w:rPr>
            </w:pPr>
            <w:r>
              <w:rPr>
                <w:rFonts w:hint="eastAsia" w:eastAsia="宋体"/>
                <w:kern w:val="0"/>
                <w:sz w:val="21"/>
                <w:szCs w:val="21"/>
              </w:rPr>
              <w:t>≤15</w:t>
            </w:r>
          </w:p>
        </w:tc>
        <w:tc>
          <w:tcPr>
            <w:tcW w:w="692" w:type="dxa"/>
            <w:vAlign w:val="center"/>
          </w:tcPr>
          <w:p>
            <w:pPr>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bCs/>
                <w:kern w:val="0"/>
                <w:sz w:val="21"/>
                <w:szCs w:val="21"/>
              </w:rPr>
            </w:pPr>
            <w:r>
              <w:rPr>
                <w:rFonts w:eastAsia="宋体"/>
                <w:sz w:val="21"/>
                <w:szCs w:val="21"/>
              </w:rPr>
              <w:t>9</w:t>
            </w:r>
          </w:p>
        </w:tc>
        <w:tc>
          <w:tcPr>
            <w:tcW w:w="2019"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颗粒物排放速率</w:t>
            </w:r>
          </w:p>
        </w:tc>
        <w:tc>
          <w:tcPr>
            <w:tcW w:w="1043"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306" w:type="dxa"/>
            <w:vAlign w:val="center"/>
          </w:tcPr>
          <w:p>
            <w:pPr>
              <w:jc w:val="center"/>
              <w:rPr>
                <w:rFonts w:eastAsia="宋体"/>
                <w:kern w:val="0"/>
                <w:sz w:val="21"/>
                <w:szCs w:val="21"/>
              </w:rPr>
            </w:pPr>
            <w:r>
              <w:rPr>
                <w:rFonts w:hint="eastAsia" w:eastAsia="宋体"/>
                <w:kern w:val="0"/>
                <w:sz w:val="21"/>
                <w:szCs w:val="21"/>
              </w:rPr>
              <w:t>0.111</w:t>
            </w:r>
          </w:p>
        </w:tc>
        <w:tc>
          <w:tcPr>
            <w:tcW w:w="1096" w:type="dxa"/>
            <w:vAlign w:val="center"/>
          </w:tcPr>
          <w:p>
            <w:pPr>
              <w:jc w:val="center"/>
              <w:rPr>
                <w:rFonts w:eastAsia="宋体"/>
                <w:kern w:val="0"/>
                <w:sz w:val="21"/>
                <w:szCs w:val="21"/>
              </w:rPr>
            </w:pPr>
            <w:r>
              <w:rPr>
                <w:rFonts w:hint="eastAsia" w:eastAsia="宋体"/>
                <w:kern w:val="0"/>
                <w:sz w:val="21"/>
                <w:szCs w:val="21"/>
              </w:rPr>
              <w:t>0.0338</w:t>
            </w:r>
          </w:p>
        </w:tc>
        <w:tc>
          <w:tcPr>
            <w:tcW w:w="831" w:type="dxa"/>
            <w:vAlign w:val="center"/>
          </w:tcPr>
          <w:p>
            <w:pPr>
              <w:jc w:val="center"/>
              <w:rPr>
                <w:rFonts w:eastAsia="宋体"/>
                <w:kern w:val="0"/>
                <w:sz w:val="21"/>
                <w:szCs w:val="21"/>
              </w:rPr>
            </w:pPr>
            <w:r>
              <w:rPr>
                <w:rFonts w:hint="eastAsia" w:eastAsia="宋体"/>
                <w:kern w:val="0"/>
                <w:sz w:val="21"/>
                <w:szCs w:val="21"/>
              </w:rPr>
              <w:t>/</w:t>
            </w:r>
          </w:p>
        </w:tc>
        <w:tc>
          <w:tcPr>
            <w:tcW w:w="692" w:type="dxa"/>
            <w:vAlign w:val="center"/>
          </w:tcPr>
          <w:p>
            <w:pPr>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sz w:val="21"/>
                <w:szCs w:val="21"/>
              </w:rPr>
            </w:pPr>
            <w:r>
              <w:rPr>
                <w:rFonts w:eastAsia="宋体"/>
                <w:sz w:val="21"/>
                <w:szCs w:val="21"/>
              </w:rPr>
              <w:t>10</w:t>
            </w:r>
          </w:p>
        </w:tc>
        <w:tc>
          <w:tcPr>
            <w:tcW w:w="2019"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氮氧化物排放浓度</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306" w:type="dxa"/>
            <w:vAlign w:val="center"/>
          </w:tcPr>
          <w:p>
            <w:pPr>
              <w:jc w:val="center"/>
              <w:rPr>
                <w:rFonts w:eastAsia="宋体"/>
                <w:bCs/>
                <w:kern w:val="0"/>
                <w:sz w:val="21"/>
                <w:szCs w:val="21"/>
              </w:rPr>
            </w:pPr>
            <w:r>
              <w:rPr>
                <w:rFonts w:hint="eastAsia" w:eastAsia="宋体"/>
                <w:bCs/>
                <w:kern w:val="0"/>
                <w:sz w:val="21"/>
                <w:szCs w:val="21"/>
              </w:rPr>
              <w:t>278</w:t>
            </w:r>
          </w:p>
        </w:tc>
        <w:tc>
          <w:tcPr>
            <w:tcW w:w="1096" w:type="dxa"/>
            <w:vAlign w:val="center"/>
          </w:tcPr>
          <w:p>
            <w:pPr>
              <w:jc w:val="center"/>
              <w:rPr>
                <w:rFonts w:eastAsia="宋体"/>
                <w:bCs/>
                <w:kern w:val="0"/>
                <w:sz w:val="21"/>
                <w:szCs w:val="21"/>
              </w:rPr>
            </w:pPr>
            <w:r>
              <w:rPr>
                <w:rFonts w:hint="eastAsia" w:eastAsia="宋体"/>
                <w:bCs/>
                <w:kern w:val="0"/>
                <w:sz w:val="21"/>
                <w:szCs w:val="21"/>
              </w:rPr>
              <w:t>175</w:t>
            </w:r>
          </w:p>
        </w:tc>
        <w:tc>
          <w:tcPr>
            <w:tcW w:w="831" w:type="dxa"/>
            <w:vAlign w:val="center"/>
          </w:tcPr>
          <w:p>
            <w:pPr>
              <w:jc w:val="center"/>
              <w:rPr>
                <w:rFonts w:eastAsia="宋体"/>
                <w:bCs/>
                <w:kern w:val="0"/>
                <w:sz w:val="21"/>
                <w:szCs w:val="21"/>
              </w:rPr>
            </w:pPr>
            <w:r>
              <w:rPr>
                <w:rFonts w:hint="eastAsia" w:eastAsia="宋体"/>
                <w:bCs/>
                <w:kern w:val="0"/>
                <w:sz w:val="21"/>
                <w:szCs w:val="21"/>
              </w:rPr>
              <w:t>≤300</w:t>
            </w:r>
          </w:p>
        </w:tc>
        <w:tc>
          <w:tcPr>
            <w:tcW w:w="692" w:type="dxa"/>
            <w:vAlign w:val="center"/>
          </w:tcPr>
          <w:p>
            <w:pPr>
              <w:jc w:val="center"/>
              <w:rPr>
                <w:rFonts w:eastAsia="宋体"/>
                <w:bCs/>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sz w:val="21"/>
                <w:szCs w:val="21"/>
              </w:rPr>
            </w:pPr>
            <w:r>
              <w:rPr>
                <w:rFonts w:eastAsia="宋体"/>
                <w:sz w:val="21"/>
                <w:szCs w:val="21"/>
              </w:rPr>
              <w:t>11</w:t>
            </w:r>
          </w:p>
        </w:tc>
        <w:tc>
          <w:tcPr>
            <w:tcW w:w="2019"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氮氧化物排放速率</w:t>
            </w:r>
          </w:p>
        </w:tc>
        <w:tc>
          <w:tcPr>
            <w:tcW w:w="1043"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306" w:type="dxa"/>
            <w:vAlign w:val="center"/>
          </w:tcPr>
          <w:p>
            <w:pPr>
              <w:jc w:val="center"/>
              <w:rPr>
                <w:rFonts w:eastAsia="宋体"/>
                <w:bCs/>
                <w:kern w:val="0"/>
                <w:sz w:val="21"/>
                <w:szCs w:val="21"/>
              </w:rPr>
            </w:pPr>
            <w:r>
              <w:rPr>
                <w:rFonts w:hint="eastAsia" w:eastAsia="宋体"/>
                <w:bCs/>
                <w:kern w:val="0"/>
                <w:sz w:val="21"/>
                <w:szCs w:val="21"/>
              </w:rPr>
              <w:t>2.72</w:t>
            </w:r>
          </w:p>
        </w:tc>
        <w:tc>
          <w:tcPr>
            <w:tcW w:w="1096" w:type="dxa"/>
            <w:vAlign w:val="center"/>
          </w:tcPr>
          <w:p>
            <w:pPr>
              <w:jc w:val="center"/>
              <w:rPr>
                <w:rFonts w:eastAsia="宋体"/>
                <w:bCs/>
                <w:kern w:val="0"/>
                <w:sz w:val="21"/>
                <w:szCs w:val="21"/>
              </w:rPr>
            </w:pPr>
            <w:r>
              <w:rPr>
                <w:rFonts w:hint="eastAsia" w:eastAsia="宋体"/>
                <w:bCs/>
                <w:kern w:val="0"/>
                <w:sz w:val="21"/>
                <w:szCs w:val="21"/>
              </w:rPr>
              <w:t>2.47</w:t>
            </w:r>
          </w:p>
        </w:tc>
        <w:tc>
          <w:tcPr>
            <w:tcW w:w="831" w:type="dxa"/>
            <w:vAlign w:val="center"/>
          </w:tcPr>
          <w:p>
            <w:pPr>
              <w:jc w:val="center"/>
              <w:rPr>
                <w:rFonts w:eastAsia="宋体"/>
                <w:bCs/>
                <w:kern w:val="0"/>
                <w:sz w:val="21"/>
                <w:szCs w:val="21"/>
              </w:rPr>
            </w:pPr>
            <w:r>
              <w:rPr>
                <w:rFonts w:hint="eastAsia" w:eastAsia="宋体"/>
                <w:bCs/>
                <w:kern w:val="0"/>
                <w:sz w:val="21"/>
                <w:szCs w:val="21"/>
              </w:rPr>
              <w:t>/</w:t>
            </w:r>
          </w:p>
        </w:tc>
        <w:tc>
          <w:tcPr>
            <w:tcW w:w="692"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sz w:val="21"/>
                <w:szCs w:val="21"/>
              </w:rPr>
            </w:pPr>
            <w:r>
              <w:rPr>
                <w:rFonts w:eastAsia="宋体"/>
                <w:sz w:val="21"/>
                <w:szCs w:val="21"/>
              </w:rPr>
              <w:t>12</w:t>
            </w:r>
          </w:p>
        </w:tc>
        <w:tc>
          <w:tcPr>
            <w:tcW w:w="2019"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二氧化硫排放浓度</w:t>
            </w:r>
          </w:p>
        </w:tc>
        <w:tc>
          <w:tcPr>
            <w:tcW w:w="1043"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306" w:type="dxa"/>
            <w:vAlign w:val="center"/>
          </w:tcPr>
          <w:p>
            <w:pPr>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1096" w:type="dxa"/>
            <w:vAlign w:val="center"/>
          </w:tcPr>
          <w:p>
            <w:pPr>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831" w:type="dxa"/>
            <w:vAlign w:val="center"/>
          </w:tcPr>
          <w:p>
            <w:pPr>
              <w:jc w:val="center"/>
              <w:rPr>
                <w:rFonts w:eastAsia="宋体"/>
                <w:bCs/>
                <w:kern w:val="0"/>
                <w:sz w:val="21"/>
                <w:szCs w:val="21"/>
              </w:rPr>
            </w:pPr>
            <w:r>
              <w:rPr>
                <w:rFonts w:hint="eastAsia" w:eastAsia="宋体"/>
                <w:bCs/>
                <w:kern w:val="0"/>
                <w:sz w:val="21"/>
                <w:szCs w:val="21"/>
              </w:rPr>
              <w:t>≤150</w:t>
            </w:r>
          </w:p>
        </w:tc>
        <w:tc>
          <w:tcPr>
            <w:tcW w:w="692" w:type="dxa"/>
            <w:vAlign w:val="center"/>
          </w:tcPr>
          <w:p>
            <w:pPr>
              <w:jc w:val="center"/>
              <w:rPr>
                <w:rFonts w:eastAsia="宋体"/>
                <w:bCs/>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sz w:val="21"/>
                <w:szCs w:val="21"/>
              </w:rPr>
            </w:pPr>
            <w:r>
              <w:rPr>
                <w:rFonts w:eastAsia="宋体"/>
                <w:sz w:val="21"/>
                <w:szCs w:val="21"/>
              </w:rPr>
              <w:t>13</w:t>
            </w:r>
          </w:p>
        </w:tc>
        <w:tc>
          <w:tcPr>
            <w:tcW w:w="2019"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二氧化硫排放速率</w:t>
            </w:r>
          </w:p>
        </w:tc>
        <w:tc>
          <w:tcPr>
            <w:tcW w:w="1043"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306" w:type="dxa"/>
            <w:vAlign w:val="center"/>
          </w:tcPr>
          <w:p>
            <w:pPr>
              <w:jc w:val="center"/>
              <w:rPr>
                <w:rFonts w:eastAsia="宋体"/>
                <w:bCs/>
                <w:kern w:val="0"/>
                <w:sz w:val="21"/>
                <w:szCs w:val="21"/>
              </w:rPr>
            </w:pPr>
            <w:r>
              <w:rPr>
                <w:rFonts w:eastAsia="宋体"/>
                <w:bCs/>
                <w:kern w:val="0"/>
                <w:sz w:val="21"/>
                <w:szCs w:val="21"/>
              </w:rPr>
              <w:t>＜</w:t>
            </w:r>
            <w:r>
              <w:rPr>
                <w:rFonts w:hint="eastAsia" w:eastAsia="宋体"/>
                <w:bCs/>
                <w:kern w:val="0"/>
                <w:sz w:val="21"/>
                <w:szCs w:val="21"/>
              </w:rPr>
              <w:t>0.0293</w:t>
            </w:r>
          </w:p>
        </w:tc>
        <w:tc>
          <w:tcPr>
            <w:tcW w:w="1096" w:type="dxa"/>
            <w:vAlign w:val="center"/>
          </w:tcPr>
          <w:p>
            <w:pPr>
              <w:jc w:val="center"/>
              <w:rPr>
                <w:rFonts w:eastAsia="宋体"/>
                <w:bCs/>
                <w:kern w:val="0"/>
                <w:sz w:val="21"/>
                <w:szCs w:val="21"/>
              </w:rPr>
            </w:pPr>
            <w:r>
              <w:rPr>
                <w:rFonts w:eastAsia="宋体"/>
                <w:bCs/>
                <w:kern w:val="0"/>
                <w:sz w:val="21"/>
                <w:szCs w:val="21"/>
              </w:rPr>
              <w:t>&lt;</w:t>
            </w:r>
            <w:r>
              <w:rPr>
                <w:rFonts w:hint="eastAsia" w:eastAsia="宋体"/>
                <w:bCs/>
                <w:kern w:val="0"/>
                <w:sz w:val="21"/>
                <w:szCs w:val="21"/>
              </w:rPr>
              <w:t>0.0423</w:t>
            </w:r>
          </w:p>
        </w:tc>
        <w:tc>
          <w:tcPr>
            <w:tcW w:w="831" w:type="dxa"/>
            <w:vAlign w:val="center"/>
          </w:tcPr>
          <w:p>
            <w:pPr>
              <w:jc w:val="center"/>
              <w:rPr>
                <w:rFonts w:eastAsia="宋体"/>
                <w:bCs/>
                <w:kern w:val="0"/>
                <w:sz w:val="21"/>
                <w:szCs w:val="21"/>
              </w:rPr>
            </w:pPr>
            <w:r>
              <w:rPr>
                <w:rFonts w:hint="eastAsia" w:eastAsia="宋体"/>
                <w:bCs/>
                <w:kern w:val="0"/>
                <w:sz w:val="21"/>
                <w:szCs w:val="21"/>
              </w:rPr>
              <w:t>/</w:t>
            </w:r>
          </w:p>
        </w:tc>
        <w:tc>
          <w:tcPr>
            <w:tcW w:w="692"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87" w:type="dxa"/>
            <w:vAlign w:val="center"/>
          </w:tcPr>
          <w:p>
            <w:pPr>
              <w:widowControl/>
              <w:spacing w:line="240" w:lineRule="exact"/>
              <w:jc w:val="center"/>
              <w:rPr>
                <w:rFonts w:eastAsia="宋体"/>
                <w:sz w:val="21"/>
                <w:szCs w:val="21"/>
              </w:rPr>
            </w:pPr>
            <w:r>
              <w:rPr>
                <w:rFonts w:hint="eastAsia" w:eastAsia="宋体"/>
                <w:sz w:val="21"/>
                <w:szCs w:val="21"/>
              </w:rPr>
              <w:t>14</w:t>
            </w:r>
          </w:p>
        </w:tc>
        <w:tc>
          <w:tcPr>
            <w:tcW w:w="2019"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林格曼黑度</w:t>
            </w:r>
          </w:p>
        </w:tc>
        <w:tc>
          <w:tcPr>
            <w:tcW w:w="1043" w:type="dxa"/>
            <w:vAlign w:val="center"/>
          </w:tcPr>
          <w:p>
            <w:pPr>
              <w:widowControl/>
              <w:spacing w:line="240" w:lineRule="exact"/>
              <w:jc w:val="center"/>
              <w:rPr>
                <w:rFonts w:eastAsia="宋体"/>
                <w:sz w:val="21"/>
                <w:szCs w:val="21"/>
              </w:rPr>
            </w:pPr>
            <w:r>
              <w:rPr>
                <w:rFonts w:hint="eastAsia" w:eastAsia="宋体"/>
                <w:sz w:val="21"/>
                <w:szCs w:val="21"/>
              </w:rPr>
              <w:t>/</w:t>
            </w:r>
          </w:p>
        </w:tc>
        <w:tc>
          <w:tcPr>
            <w:tcW w:w="2306" w:type="dxa"/>
            <w:vAlign w:val="center"/>
          </w:tcPr>
          <w:p>
            <w:pPr>
              <w:jc w:val="center"/>
              <w:rPr>
                <w:rFonts w:eastAsia="宋体"/>
                <w:bCs/>
                <w:kern w:val="0"/>
                <w:sz w:val="21"/>
                <w:szCs w:val="21"/>
              </w:rPr>
            </w:pPr>
            <w:r>
              <w:rPr>
                <w:rFonts w:hint="eastAsia" w:eastAsia="宋体"/>
                <w:bCs/>
                <w:kern w:val="0"/>
                <w:sz w:val="21"/>
                <w:szCs w:val="21"/>
              </w:rPr>
              <w:t>/</w:t>
            </w:r>
          </w:p>
        </w:tc>
        <w:tc>
          <w:tcPr>
            <w:tcW w:w="1096" w:type="dxa"/>
            <w:vAlign w:val="center"/>
          </w:tcPr>
          <w:p>
            <w:pPr>
              <w:jc w:val="center"/>
              <w:rPr>
                <w:rFonts w:eastAsia="宋体"/>
                <w:bCs/>
                <w:kern w:val="0"/>
                <w:sz w:val="21"/>
                <w:szCs w:val="21"/>
              </w:rPr>
            </w:pPr>
            <w:r>
              <w:rPr>
                <w:rFonts w:hint="eastAsia" w:eastAsia="宋体"/>
                <w:bCs/>
                <w:kern w:val="0"/>
                <w:sz w:val="21"/>
                <w:szCs w:val="21"/>
              </w:rPr>
              <w:t>/</w:t>
            </w:r>
          </w:p>
        </w:tc>
        <w:tc>
          <w:tcPr>
            <w:tcW w:w="831" w:type="dxa"/>
            <w:vAlign w:val="center"/>
          </w:tcPr>
          <w:p>
            <w:pPr>
              <w:jc w:val="center"/>
              <w:rPr>
                <w:rFonts w:eastAsia="宋体"/>
                <w:bCs/>
                <w:kern w:val="0"/>
                <w:sz w:val="21"/>
                <w:szCs w:val="21"/>
              </w:rPr>
            </w:pPr>
            <w:r>
              <w:rPr>
                <w:rFonts w:hint="eastAsia" w:eastAsia="宋体"/>
                <w:bCs/>
                <w:kern w:val="0"/>
                <w:sz w:val="21"/>
                <w:szCs w:val="21"/>
              </w:rPr>
              <w:t>/</w:t>
            </w:r>
          </w:p>
        </w:tc>
        <w:tc>
          <w:tcPr>
            <w:tcW w:w="692"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674" w:type="dxa"/>
            <w:gridSpan w:val="7"/>
            <w:vAlign w:val="center"/>
          </w:tcPr>
          <w:p>
            <w:pPr>
              <w:widowControl/>
              <w:spacing w:line="24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新轧钢厂步进式加热炉废气排放口DA010监测结果详见表3-1</w:t>
      </w:r>
      <w:r>
        <w:rPr>
          <w:rFonts w:ascii="Times New Roman" w:hAnsi="Times New Roman" w:cs="Times New Roman"/>
          <w:spacing w:val="0"/>
        </w:rPr>
        <w:t>9</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新轧钢厂步进式加热炉废气排放口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82"/>
        <w:gridCol w:w="1308"/>
        <w:gridCol w:w="2473"/>
        <w:gridCol w:w="111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jc w:val="center"/>
              <w:rPr>
                <w:rFonts w:eastAsia="宋体"/>
                <w:kern w:val="0"/>
                <w:sz w:val="21"/>
                <w:szCs w:val="21"/>
              </w:rPr>
            </w:pPr>
            <w:r>
              <w:rPr>
                <w:rFonts w:eastAsia="宋体"/>
                <w:sz w:val="21"/>
                <w:szCs w:val="21"/>
              </w:rPr>
              <w:t>序号</w:t>
            </w:r>
          </w:p>
        </w:tc>
        <w:tc>
          <w:tcPr>
            <w:tcW w:w="2082" w:type="dxa"/>
            <w:vAlign w:val="center"/>
          </w:tcPr>
          <w:p>
            <w:pPr>
              <w:widowControl/>
              <w:jc w:val="center"/>
              <w:rPr>
                <w:rFonts w:eastAsia="宋体"/>
                <w:kern w:val="0"/>
                <w:sz w:val="21"/>
                <w:szCs w:val="21"/>
              </w:rPr>
            </w:pPr>
            <w:r>
              <w:rPr>
                <w:rFonts w:eastAsia="宋体"/>
                <w:sz w:val="21"/>
                <w:szCs w:val="21"/>
              </w:rPr>
              <w:t>项目</w:t>
            </w:r>
          </w:p>
        </w:tc>
        <w:tc>
          <w:tcPr>
            <w:tcW w:w="1308" w:type="dxa"/>
            <w:vAlign w:val="center"/>
          </w:tcPr>
          <w:p>
            <w:pPr>
              <w:widowControl/>
              <w:jc w:val="center"/>
              <w:rPr>
                <w:rFonts w:eastAsia="宋体"/>
                <w:kern w:val="0"/>
                <w:sz w:val="21"/>
                <w:szCs w:val="21"/>
              </w:rPr>
            </w:pPr>
            <w:r>
              <w:rPr>
                <w:rFonts w:eastAsia="宋体"/>
                <w:sz w:val="21"/>
                <w:szCs w:val="21"/>
              </w:rPr>
              <w:t>单位</w:t>
            </w:r>
          </w:p>
        </w:tc>
        <w:tc>
          <w:tcPr>
            <w:tcW w:w="2473" w:type="dxa"/>
            <w:vAlign w:val="center"/>
          </w:tcPr>
          <w:p>
            <w:pPr>
              <w:widowControl/>
              <w:jc w:val="center"/>
              <w:rPr>
                <w:rFonts w:eastAsia="宋体"/>
                <w:kern w:val="0"/>
                <w:sz w:val="21"/>
                <w:szCs w:val="21"/>
              </w:rPr>
            </w:pPr>
            <w:r>
              <w:rPr>
                <w:rFonts w:eastAsia="宋体"/>
                <w:sz w:val="21"/>
                <w:szCs w:val="21"/>
              </w:rPr>
              <w:t>检测结果</w:t>
            </w:r>
          </w:p>
        </w:tc>
        <w:tc>
          <w:tcPr>
            <w:tcW w:w="1116" w:type="dxa"/>
            <w:vAlign w:val="center"/>
          </w:tcPr>
          <w:p>
            <w:pPr>
              <w:widowControl/>
              <w:jc w:val="center"/>
              <w:rPr>
                <w:rFonts w:eastAsia="宋体"/>
                <w:kern w:val="0"/>
                <w:sz w:val="21"/>
                <w:szCs w:val="21"/>
              </w:rPr>
            </w:pPr>
            <w:r>
              <w:rPr>
                <w:rFonts w:hint="eastAsia" w:eastAsia="宋体"/>
                <w:kern w:val="0"/>
                <w:sz w:val="21"/>
                <w:szCs w:val="21"/>
              </w:rPr>
              <w:t>标准值</w:t>
            </w:r>
          </w:p>
        </w:tc>
        <w:tc>
          <w:tcPr>
            <w:tcW w:w="1116" w:type="dxa"/>
            <w:vAlign w:val="center"/>
          </w:tcPr>
          <w:p>
            <w:pPr>
              <w:widowControl/>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jc w:val="center"/>
              <w:rPr>
                <w:rFonts w:eastAsia="宋体"/>
                <w:bCs/>
                <w:kern w:val="0"/>
                <w:sz w:val="21"/>
                <w:szCs w:val="21"/>
                <w:lang w:val="zh-CN"/>
              </w:rPr>
            </w:pPr>
            <w:r>
              <w:rPr>
                <w:rFonts w:eastAsia="宋体"/>
                <w:sz w:val="21"/>
                <w:szCs w:val="21"/>
              </w:rPr>
              <w:t>1</w:t>
            </w:r>
          </w:p>
        </w:tc>
        <w:tc>
          <w:tcPr>
            <w:tcW w:w="2082" w:type="dxa"/>
            <w:vAlign w:val="center"/>
          </w:tcPr>
          <w:p>
            <w:pPr>
              <w:widowControl/>
              <w:jc w:val="center"/>
              <w:rPr>
                <w:rFonts w:eastAsia="宋体"/>
                <w:bCs/>
                <w:kern w:val="0"/>
                <w:sz w:val="21"/>
                <w:szCs w:val="21"/>
              </w:rPr>
            </w:pPr>
            <w:r>
              <w:rPr>
                <w:rFonts w:eastAsia="宋体"/>
                <w:sz w:val="21"/>
                <w:szCs w:val="21"/>
              </w:rPr>
              <w:t>净化器名称及型号</w:t>
            </w:r>
          </w:p>
        </w:tc>
        <w:tc>
          <w:tcPr>
            <w:tcW w:w="1308" w:type="dxa"/>
            <w:vAlign w:val="center"/>
          </w:tcPr>
          <w:p>
            <w:pPr>
              <w:widowControl/>
              <w:jc w:val="center"/>
              <w:rPr>
                <w:rFonts w:eastAsia="宋体"/>
                <w:bCs/>
                <w:kern w:val="0"/>
                <w:sz w:val="21"/>
                <w:szCs w:val="21"/>
              </w:rPr>
            </w:pPr>
            <w:r>
              <w:rPr>
                <w:rFonts w:eastAsia="宋体"/>
                <w:sz w:val="21"/>
                <w:szCs w:val="21"/>
              </w:rPr>
              <w:t>/</w:t>
            </w:r>
          </w:p>
        </w:tc>
        <w:tc>
          <w:tcPr>
            <w:tcW w:w="2473" w:type="dxa"/>
            <w:vAlign w:val="center"/>
          </w:tcPr>
          <w:p>
            <w:pPr>
              <w:jc w:val="center"/>
              <w:rPr>
                <w:rFonts w:eastAsia="宋体"/>
                <w:bCs/>
                <w:kern w:val="0"/>
                <w:sz w:val="21"/>
                <w:szCs w:val="21"/>
              </w:rPr>
            </w:pPr>
            <w:r>
              <w:rPr>
                <w:rFonts w:hint="eastAsia" w:eastAsia="宋体"/>
                <w:kern w:val="0"/>
                <w:sz w:val="21"/>
                <w:szCs w:val="21"/>
              </w:rPr>
              <w:t>/</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2</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测试地点</w:t>
            </w:r>
          </w:p>
        </w:tc>
        <w:tc>
          <w:tcPr>
            <w:tcW w:w="1308" w:type="dxa"/>
            <w:vAlign w:val="center"/>
          </w:tcPr>
          <w:p>
            <w:pPr>
              <w:widowControl/>
              <w:spacing w:line="240" w:lineRule="exact"/>
              <w:jc w:val="center"/>
              <w:rPr>
                <w:rFonts w:eastAsia="宋体"/>
                <w:bCs/>
                <w:kern w:val="0"/>
                <w:sz w:val="21"/>
                <w:szCs w:val="21"/>
                <w:lang w:val="zh-CN"/>
              </w:rPr>
            </w:pPr>
            <w:r>
              <w:rPr>
                <w:rFonts w:eastAsia="宋体"/>
                <w:sz w:val="21"/>
                <w:szCs w:val="21"/>
              </w:rPr>
              <w:t>/</w:t>
            </w:r>
          </w:p>
        </w:tc>
        <w:tc>
          <w:tcPr>
            <w:tcW w:w="2473" w:type="dxa"/>
            <w:vAlign w:val="center"/>
          </w:tcPr>
          <w:p>
            <w:pPr>
              <w:jc w:val="center"/>
              <w:rPr>
                <w:rFonts w:eastAsia="宋体"/>
                <w:bCs/>
                <w:kern w:val="0"/>
                <w:sz w:val="21"/>
                <w:szCs w:val="21"/>
              </w:rPr>
            </w:pPr>
            <w:r>
              <w:rPr>
                <w:rFonts w:hint="eastAsia" w:eastAsia="宋体"/>
                <w:kern w:val="0"/>
                <w:sz w:val="21"/>
                <w:szCs w:val="21"/>
              </w:rPr>
              <w:t>新轧钢厂步进式加热炉废气排放口DA010</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3</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测试时间</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2018.12.12</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4</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排气筒高度</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28</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*5</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废气温度</w:t>
            </w:r>
          </w:p>
        </w:tc>
        <w:tc>
          <w:tcPr>
            <w:tcW w:w="1308" w:type="dxa"/>
            <w:vAlign w:val="center"/>
          </w:tcPr>
          <w:p>
            <w:pPr>
              <w:widowControl/>
              <w:spacing w:line="240" w:lineRule="exact"/>
              <w:jc w:val="center"/>
              <w:rPr>
                <w:rFonts w:eastAsia="宋体"/>
                <w:bCs/>
                <w:kern w:val="0"/>
                <w:sz w:val="21"/>
                <w:szCs w:val="21"/>
              </w:rPr>
            </w:pPr>
            <w:r>
              <w:rPr>
                <w:rFonts w:hint="eastAsia" w:ascii="宋体" w:hAnsi="宋体" w:eastAsia="宋体" w:cs="宋体"/>
                <w:sz w:val="21"/>
                <w:szCs w:val="21"/>
              </w:rPr>
              <w:t>℃</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187</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*6</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废气流速</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m/s</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5.2</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*7</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实测废气流量</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1.20</w:t>
            </w:r>
            <w:r>
              <w:rPr>
                <w:rFonts w:eastAsia="宋体"/>
                <w:bCs/>
                <w:kern w:val="0"/>
                <w:sz w:val="21"/>
                <w:szCs w:val="21"/>
              </w:rPr>
              <w:t>×10</w:t>
            </w:r>
            <w:r>
              <w:rPr>
                <w:rFonts w:hint="eastAsia" w:eastAsia="宋体"/>
                <w:bCs/>
                <w:kern w:val="0"/>
                <w:sz w:val="21"/>
                <w:szCs w:val="21"/>
                <w:vertAlign w:val="superscript"/>
              </w:rPr>
              <w:t>4</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*8</w:t>
            </w:r>
          </w:p>
        </w:tc>
        <w:tc>
          <w:tcPr>
            <w:tcW w:w="2082" w:type="dxa"/>
            <w:vAlign w:val="center"/>
          </w:tcPr>
          <w:p>
            <w:pPr>
              <w:widowControl/>
              <w:spacing w:line="240" w:lineRule="exact"/>
              <w:jc w:val="center"/>
              <w:rPr>
                <w:rFonts w:eastAsia="宋体"/>
                <w:bCs/>
                <w:kern w:val="0"/>
                <w:sz w:val="21"/>
                <w:szCs w:val="21"/>
              </w:rPr>
            </w:pPr>
            <w:r>
              <w:rPr>
                <w:rFonts w:eastAsia="宋体"/>
                <w:sz w:val="21"/>
                <w:szCs w:val="21"/>
              </w:rPr>
              <w:t>标干态废气流量</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2473" w:type="dxa"/>
            <w:vAlign w:val="center"/>
          </w:tcPr>
          <w:p>
            <w:pPr>
              <w:spacing w:line="240" w:lineRule="exact"/>
              <w:jc w:val="center"/>
              <w:rPr>
                <w:rFonts w:eastAsia="宋体"/>
                <w:bCs/>
                <w:kern w:val="0"/>
                <w:sz w:val="21"/>
                <w:szCs w:val="21"/>
              </w:rPr>
            </w:pPr>
            <w:r>
              <w:rPr>
                <w:rFonts w:hint="eastAsia" w:eastAsia="宋体"/>
                <w:bCs/>
                <w:kern w:val="0"/>
                <w:sz w:val="21"/>
                <w:szCs w:val="21"/>
              </w:rPr>
              <w:t>6.75</w:t>
            </w:r>
            <w:r>
              <w:rPr>
                <w:rFonts w:eastAsia="宋体"/>
                <w:bCs/>
                <w:kern w:val="0"/>
                <w:sz w:val="21"/>
                <w:szCs w:val="21"/>
              </w:rPr>
              <w:t>×10</w:t>
            </w:r>
            <w:r>
              <w:rPr>
                <w:rFonts w:hint="eastAsia" w:eastAsia="宋体"/>
                <w:bCs/>
                <w:kern w:val="0"/>
                <w:sz w:val="21"/>
                <w:szCs w:val="21"/>
                <w:vertAlign w:val="superscript"/>
              </w:rPr>
              <w:t>3</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c>
          <w:tcPr>
            <w:tcW w:w="1116" w:type="dxa"/>
            <w:vAlign w:val="center"/>
          </w:tcPr>
          <w:p>
            <w:pPr>
              <w:spacing w:line="24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lang w:val="zh-CN"/>
              </w:rPr>
            </w:pPr>
            <w:r>
              <w:rPr>
                <w:rFonts w:eastAsia="宋体"/>
                <w:sz w:val="21"/>
                <w:szCs w:val="21"/>
              </w:rPr>
              <w:t>9</w:t>
            </w:r>
          </w:p>
        </w:tc>
        <w:tc>
          <w:tcPr>
            <w:tcW w:w="2082"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颗粒物排放浓度</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473" w:type="dxa"/>
            <w:vAlign w:val="center"/>
          </w:tcPr>
          <w:p>
            <w:pPr>
              <w:jc w:val="center"/>
              <w:rPr>
                <w:rFonts w:eastAsia="宋体"/>
                <w:kern w:val="0"/>
                <w:sz w:val="21"/>
                <w:szCs w:val="21"/>
              </w:rPr>
            </w:pPr>
            <w:r>
              <w:rPr>
                <w:rFonts w:hint="eastAsia" w:eastAsia="宋体"/>
                <w:kern w:val="0"/>
                <w:sz w:val="21"/>
                <w:szCs w:val="21"/>
              </w:rPr>
              <w:t>1.1</w:t>
            </w:r>
          </w:p>
        </w:tc>
        <w:tc>
          <w:tcPr>
            <w:tcW w:w="1116" w:type="dxa"/>
            <w:vAlign w:val="center"/>
          </w:tcPr>
          <w:p>
            <w:pPr>
              <w:jc w:val="center"/>
              <w:rPr>
                <w:rFonts w:eastAsia="宋体"/>
                <w:kern w:val="0"/>
                <w:sz w:val="21"/>
                <w:szCs w:val="21"/>
              </w:rPr>
            </w:pPr>
            <w:r>
              <w:rPr>
                <w:rFonts w:hint="eastAsia" w:eastAsia="宋体"/>
                <w:kern w:val="0"/>
                <w:sz w:val="21"/>
                <w:szCs w:val="21"/>
              </w:rPr>
              <w:t>≤15</w:t>
            </w:r>
          </w:p>
        </w:tc>
        <w:tc>
          <w:tcPr>
            <w:tcW w:w="1116" w:type="dxa"/>
            <w:vAlign w:val="center"/>
          </w:tcPr>
          <w:p>
            <w:pPr>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bCs/>
                <w:kern w:val="0"/>
                <w:sz w:val="21"/>
                <w:szCs w:val="21"/>
              </w:rPr>
            </w:pPr>
            <w:r>
              <w:rPr>
                <w:rFonts w:eastAsia="宋体"/>
                <w:sz w:val="21"/>
                <w:szCs w:val="21"/>
              </w:rPr>
              <w:t>10</w:t>
            </w:r>
          </w:p>
        </w:tc>
        <w:tc>
          <w:tcPr>
            <w:tcW w:w="2082" w:type="dxa"/>
            <w:vAlign w:val="center"/>
          </w:tcPr>
          <w:p>
            <w:pPr>
              <w:widowControl/>
              <w:adjustRightInd w:val="0"/>
              <w:snapToGrid w:val="0"/>
              <w:spacing w:line="240" w:lineRule="exact"/>
              <w:jc w:val="center"/>
              <w:rPr>
                <w:rFonts w:eastAsia="宋体"/>
                <w:kern w:val="0"/>
                <w:sz w:val="21"/>
                <w:szCs w:val="21"/>
              </w:rPr>
            </w:pPr>
            <w:r>
              <w:rPr>
                <w:rFonts w:eastAsia="宋体"/>
                <w:sz w:val="21"/>
                <w:szCs w:val="21"/>
              </w:rPr>
              <w:t>颗粒物排放速率</w:t>
            </w:r>
          </w:p>
        </w:tc>
        <w:tc>
          <w:tcPr>
            <w:tcW w:w="1308"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473" w:type="dxa"/>
            <w:vAlign w:val="center"/>
          </w:tcPr>
          <w:p>
            <w:pPr>
              <w:jc w:val="center"/>
              <w:rPr>
                <w:rFonts w:eastAsia="宋体"/>
                <w:kern w:val="0"/>
                <w:sz w:val="21"/>
                <w:szCs w:val="21"/>
              </w:rPr>
            </w:pPr>
            <w:r>
              <w:rPr>
                <w:rFonts w:hint="eastAsia" w:eastAsia="宋体"/>
                <w:kern w:val="0"/>
                <w:sz w:val="21"/>
                <w:szCs w:val="21"/>
              </w:rPr>
              <w:t>0.00945</w:t>
            </w:r>
          </w:p>
        </w:tc>
        <w:tc>
          <w:tcPr>
            <w:tcW w:w="1116" w:type="dxa"/>
            <w:vAlign w:val="center"/>
          </w:tcPr>
          <w:p>
            <w:pPr>
              <w:jc w:val="center"/>
              <w:rPr>
                <w:rFonts w:eastAsia="宋体"/>
                <w:kern w:val="0"/>
                <w:sz w:val="21"/>
                <w:szCs w:val="21"/>
              </w:rPr>
            </w:pPr>
            <w:r>
              <w:rPr>
                <w:rFonts w:hint="eastAsia" w:eastAsia="宋体"/>
                <w:kern w:val="0"/>
                <w:sz w:val="21"/>
                <w:szCs w:val="21"/>
              </w:rPr>
              <w:t>/</w:t>
            </w:r>
          </w:p>
        </w:tc>
        <w:tc>
          <w:tcPr>
            <w:tcW w:w="1116" w:type="dxa"/>
            <w:vAlign w:val="center"/>
          </w:tcPr>
          <w:p>
            <w:pPr>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sz w:val="21"/>
                <w:szCs w:val="21"/>
              </w:rPr>
            </w:pPr>
            <w:r>
              <w:rPr>
                <w:rFonts w:eastAsia="宋体"/>
                <w:sz w:val="21"/>
                <w:szCs w:val="21"/>
              </w:rPr>
              <w:t>11</w:t>
            </w:r>
          </w:p>
        </w:tc>
        <w:tc>
          <w:tcPr>
            <w:tcW w:w="2082"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氮氧化物排放浓度</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473" w:type="dxa"/>
            <w:vAlign w:val="center"/>
          </w:tcPr>
          <w:p>
            <w:pPr>
              <w:jc w:val="center"/>
              <w:rPr>
                <w:rFonts w:eastAsia="宋体"/>
                <w:bCs/>
                <w:kern w:val="0"/>
                <w:sz w:val="21"/>
                <w:szCs w:val="21"/>
              </w:rPr>
            </w:pPr>
            <w:r>
              <w:rPr>
                <w:rFonts w:hint="eastAsia" w:eastAsia="宋体"/>
                <w:bCs/>
                <w:kern w:val="0"/>
                <w:sz w:val="21"/>
                <w:szCs w:val="21"/>
              </w:rPr>
              <w:t>158</w:t>
            </w:r>
          </w:p>
        </w:tc>
        <w:tc>
          <w:tcPr>
            <w:tcW w:w="1116" w:type="dxa"/>
            <w:vAlign w:val="center"/>
          </w:tcPr>
          <w:p>
            <w:pPr>
              <w:jc w:val="center"/>
              <w:rPr>
                <w:rFonts w:eastAsia="宋体"/>
                <w:bCs/>
                <w:kern w:val="0"/>
                <w:sz w:val="21"/>
                <w:szCs w:val="21"/>
              </w:rPr>
            </w:pPr>
            <w:r>
              <w:rPr>
                <w:rFonts w:hint="eastAsia" w:eastAsia="宋体"/>
                <w:kern w:val="0"/>
                <w:sz w:val="21"/>
                <w:szCs w:val="21"/>
              </w:rPr>
              <w:t>≤300</w:t>
            </w:r>
          </w:p>
        </w:tc>
        <w:tc>
          <w:tcPr>
            <w:tcW w:w="1116" w:type="dxa"/>
            <w:vAlign w:val="center"/>
          </w:tcPr>
          <w:p>
            <w:pPr>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sz w:val="21"/>
                <w:szCs w:val="21"/>
              </w:rPr>
            </w:pPr>
            <w:r>
              <w:rPr>
                <w:rFonts w:eastAsia="宋体"/>
                <w:sz w:val="21"/>
                <w:szCs w:val="21"/>
              </w:rPr>
              <w:t>12</w:t>
            </w:r>
          </w:p>
        </w:tc>
        <w:tc>
          <w:tcPr>
            <w:tcW w:w="2082"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氮氧化物排放速率</w:t>
            </w:r>
          </w:p>
        </w:tc>
        <w:tc>
          <w:tcPr>
            <w:tcW w:w="1308"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473" w:type="dxa"/>
            <w:vAlign w:val="center"/>
          </w:tcPr>
          <w:p>
            <w:pPr>
              <w:jc w:val="center"/>
              <w:rPr>
                <w:rFonts w:eastAsia="宋体"/>
                <w:bCs/>
                <w:kern w:val="0"/>
                <w:sz w:val="21"/>
                <w:szCs w:val="21"/>
              </w:rPr>
            </w:pPr>
            <w:r>
              <w:rPr>
                <w:rFonts w:hint="eastAsia" w:eastAsia="宋体"/>
                <w:bCs/>
                <w:kern w:val="0"/>
                <w:sz w:val="21"/>
                <w:szCs w:val="21"/>
              </w:rPr>
              <w:t>1.35</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sz w:val="21"/>
                <w:szCs w:val="21"/>
              </w:rPr>
            </w:pPr>
            <w:r>
              <w:rPr>
                <w:rFonts w:eastAsia="宋体"/>
                <w:sz w:val="21"/>
                <w:szCs w:val="21"/>
              </w:rPr>
              <w:t>13</w:t>
            </w:r>
          </w:p>
        </w:tc>
        <w:tc>
          <w:tcPr>
            <w:tcW w:w="2082"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二氧化硫排放浓度</w:t>
            </w:r>
          </w:p>
        </w:tc>
        <w:tc>
          <w:tcPr>
            <w:tcW w:w="1308" w:type="dxa"/>
            <w:vAlign w:val="center"/>
          </w:tcPr>
          <w:p>
            <w:pPr>
              <w:widowControl/>
              <w:spacing w:line="24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473" w:type="dxa"/>
            <w:vAlign w:val="center"/>
          </w:tcPr>
          <w:p>
            <w:pPr>
              <w:jc w:val="center"/>
              <w:rPr>
                <w:rFonts w:eastAsia="宋体"/>
                <w:bCs/>
                <w:kern w:val="0"/>
                <w:sz w:val="21"/>
                <w:szCs w:val="21"/>
              </w:rPr>
            </w:pPr>
            <w:r>
              <w:rPr>
                <w:rFonts w:eastAsia="宋体"/>
                <w:bCs/>
                <w:kern w:val="0"/>
                <w:sz w:val="21"/>
                <w:szCs w:val="21"/>
              </w:rPr>
              <w:t>＜</w:t>
            </w:r>
            <w:r>
              <w:rPr>
                <w:rFonts w:hint="eastAsia" w:eastAsia="宋体"/>
                <w:bCs/>
                <w:kern w:val="0"/>
                <w:sz w:val="21"/>
                <w:szCs w:val="21"/>
              </w:rPr>
              <w:t>2</w:t>
            </w:r>
          </w:p>
        </w:tc>
        <w:tc>
          <w:tcPr>
            <w:tcW w:w="1116" w:type="dxa"/>
            <w:vAlign w:val="center"/>
          </w:tcPr>
          <w:p>
            <w:pPr>
              <w:jc w:val="center"/>
              <w:rPr>
                <w:rFonts w:eastAsia="宋体"/>
                <w:bCs/>
                <w:kern w:val="0"/>
                <w:sz w:val="21"/>
                <w:szCs w:val="21"/>
              </w:rPr>
            </w:pPr>
            <w:r>
              <w:rPr>
                <w:rFonts w:hint="eastAsia" w:eastAsia="宋体"/>
                <w:kern w:val="0"/>
                <w:sz w:val="21"/>
                <w:szCs w:val="21"/>
              </w:rPr>
              <w:t>≤150</w:t>
            </w:r>
          </w:p>
        </w:tc>
        <w:tc>
          <w:tcPr>
            <w:tcW w:w="1116" w:type="dxa"/>
            <w:vAlign w:val="center"/>
          </w:tcPr>
          <w:p>
            <w:pPr>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06" w:type="dxa"/>
            <w:vAlign w:val="center"/>
          </w:tcPr>
          <w:p>
            <w:pPr>
              <w:widowControl/>
              <w:spacing w:line="240" w:lineRule="exact"/>
              <w:jc w:val="center"/>
              <w:rPr>
                <w:rFonts w:eastAsia="宋体"/>
                <w:sz w:val="21"/>
                <w:szCs w:val="21"/>
              </w:rPr>
            </w:pPr>
            <w:r>
              <w:rPr>
                <w:rFonts w:eastAsia="宋体"/>
                <w:sz w:val="21"/>
                <w:szCs w:val="21"/>
              </w:rPr>
              <w:t>14</w:t>
            </w:r>
          </w:p>
        </w:tc>
        <w:tc>
          <w:tcPr>
            <w:tcW w:w="2082" w:type="dxa"/>
            <w:vAlign w:val="center"/>
          </w:tcPr>
          <w:p>
            <w:pPr>
              <w:widowControl/>
              <w:adjustRightInd w:val="0"/>
              <w:snapToGrid w:val="0"/>
              <w:spacing w:line="2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二氧化硫排放速率</w:t>
            </w:r>
          </w:p>
        </w:tc>
        <w:tc>
          <w:tcPr>
            <w:tcW w:w="1308" w:type="dxa"/>
            <w:vAlign w:val="center"/>
          </w:tcPr>
          <w:p>
            <w:pPr>
              <w:widowControl/>
              <w:spacing w:line="240" w:lineRule="exact"/>
              <w:jc w:val="center"/>
              <w:rPr>
                <w:rFonts w:eastAsia="宋体"/>
                <w:bCs/>
                <w:kern w:val="0"/>
                <w:sz w:val="21"/>
                <w:szCs w:val="21"/>
                <w:lang w:val="zh-CN"/>
              </w:rPr>
            </w:pPr>
            <w:r>
              <w:rPr>
                <w:rFonts w:eastAsia="宋体"/>
                <w:sz w:val="21"/>
                <w:szCs w:val="21"/>
              </w:rPr>
              <w:t>kg/h</w:t>
            </w:r>
          </w:p>
        </w:tc>
        <w:tc>
          <w:tcPr>
            <w:tcW w:w="2473" w:type="dxa"/>
            <w:vAlign w:val="center"/>
          </w:tcPr>
          <w:p>
            <w:pPr>
              <w:jc w:val="center"/>
              <w:rPr>
                <w:rFonts w:eastAsia="宋体"/>
                <w:bCs/>
                <w:kern w:val="0"/>
                <w:sz w:val="21"/>
                <w:szCs w:val="21"/>
              </w:rPr>
            </w:pPr>
            <w:r>
              <w:rPr>
                <w:rFonts w:hint="eastAsia" w:eastAsia="宋体"/>
                <w:bCs/>
                <w:kern w:val="0"/>
                <w:sz w:val="21"/>
                <w:szCs w:val="21"/>
              </w:rPr>
              <w:t>0.0101</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c>
          <w:tcPr>
            <w:tcW w:w="1116" w:type="dxa"/>
            <w:vAlign w:val="center"/>
          </w:tcPr>
          <w:p>
            <w:pPr>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6"/>
            <w:vAlign w:val="center"/>
          </w:tcPr>
          <w:p>
            <w:pPr>
              <w:widowControl/>
              <w:spacing w:line="24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新轧钢厂离线固溶炉废气排放口监测结果详见表3-</w:t>
      </w:r>
      <w:r>
        <w:rPr>
          <w:rFonts w:ascii="Times New Roman" w:hAnsi="Times New Roman" w:cs="Times New Roman"/>
          <w:spacing w:val="0"/>
        </w:rPr>
        <w:t>20</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val="en-US" w:eastAsia="zh-CN"/>
        </w:rPr>
        <w:t>新</w:t>
      </w:r>
      <w:r>
        <w:rPr>
          <w:rFonts w:hint="eastAsia" w:ascii="Times New Roman" w:hAnsi="Times New Roman"/>
          <w:lang w:eastAsia="zh-CN"/>
        </w:rPr>
        <w:t>轧钢厂离线固溶炉废气排放口</w:t>
      </w:r>
      <w:r>
        <w:rPr>
          <w:rFonts w:hint="eastAsia" w:ascii="Times New Roman" w:hAnsi="Times New Roman"/>
        </w:rPr>
        <w:t>检测结果</w:t>
      </w:r>
    </w:p>
    <w:tbl>
      <w:tblPr>
        <w:tblStyle w:val="87"/>
        <w:tblpPr w:leftFromText="181" w:rightFromText="181" w:vertAnchor="text" w:tblpXSpec="center" w:tblpY="1"/>
        <w:tblOverlap w:val="never"/>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962"/>
        <w:gridCol w:w="1105"/>
        <w:gridCol w:w="1560"/>
        <w:gridCol w:w="1418"/>
        <w:gridCol w:w="99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kern w:val="0"/>
                <w:sz w:val="21"/>
                <w:szCs w:val="21"/>
              </w:rPr>
            </w:pPr>
            <w:r>
              <w:rPr>
                <w:rFonts w:eastAsia="宋体"/>
                <w:sz w:val="21"/>
                <w:szCs w:val="21"/>
              </w:rPr>
              <w:t>序号</w:t>
            </w:r>
          </w:p>
        </w:tc>
        <w:tc>
          <w:tcPr>
            <w:tcW w:w="1962" w:type="dxa"/>
            <w:vAlign w:val="center"/>
          </w:tcPr>
          <w:p>
            <w:pPr>
              <w:widowControl/>
              <w:spacing w:line="300" w:lineRule="exact"/>
              <w:jc w:val="center"/>
              <w:rPr>
                <w:rFonts w:eastAsia="宋体"/>
                <w:kern w:val="0"/>
                <w:sz w:val="21"/>
                <w:szCs w:val="21"/>
              </w:rPr>
            </w:pPr>
            <w:r>
              <w:rPr>
                <w:rFonts w:eastAsia="宋体"/>
                <w:sz w:val="21"/>
                <w:szCs w:val="21"/>
              </w:rPr>
              <w:t>项目</w:t>
            </w:r>
          </w:p>
        </w:tc>
        <w:tc>
          <w:tcPr>
            <w:tcW w:w="1105" w:type="dxa"/>
            <w:vAlign w:val="center"/>
          </w:tcPr>
          <w:p>
            <w:pPr>
              <w:widowControl/>
              <w:spacing w:line="300" w:lineRule="exact"/>
              <w:jc w:val="center"/>
              <w:rPr>
                <w:rFonts w:eastAsia="宋体"/>
                <w:kern w:val="0"/>
                <w:sz w:val="21"/>
                <w:szCs w:val="21"/>
              </w:rPr>
            </w:pPr>
            <w:r>
              <w:rPr>
                <w:rFonts w:eastAsia="宋体"/>
                <w:sz w:val="21"/>
                <w:szCs w:val="21"/>
              </w:rPr>
              <w:t>单位</w:t>
            </w:r>
          </w:p>
        </w:tc>
        <w:tc>
          <w:tcPr>
            <w:tcW w:w="2978" w:type="dxa"/>
            <w:gridSpan w:val="2"/>
            <w:vAlign w:val="center"/>
          </w:tcPr>
          <w:p>
            <w:pPr>
              <w:widowControl/>
              <w:spacing w:line="300" w:lineRule="exact"/>
              <w:jc w:val="center"/>
              <w:rPr>
                <w:rFonts w:eastAsia="宋体"/>
                <w:kern w:val="0"/>
                <w:sz w:val="21"/>
                <w:szCs w:val="21"/>
              </w:rPr>
            </w:pPr>
            <w:r>
              <w:rPr>
                <w:rFonts w:eastAsia="宋体"/>
                <w:sz w:val="21"/>
                <w:szCs w:val="21"/>
              </w:rPr>
              <w:t>检测结果</w:t>
            </w:r>
          </w:p>
        </w:tc>
        <w:tc>
          <w:tcPr>
            <w:tcW w:w="991" w:type="dxa"/>
            <w:vAlign w:val="center"/>
          </w:tcPr>
          <w:p>
            <w:pPr>
              <w:widowControl/>
              <w:spacing w:line="300" w:lineRule="exact"/>
              <w:jc w:val="center"/>
              <w:rPr>
                <w:rFonts w:eastAsia="宋体"/>
                <w:kern w:val="0"/>
                <w:sz w:val="21"/>
                <w:szCs w:val="21"/>
              </w:rPr>
            </w:pPr>
            <w:r>
              <w:rPr>
                <w:rFonts w:hint="eastAsia" w:eastAsia="宋体"/>
                <w:kern w:val="0"/>
                <w:sz w:val="21"/>
                <w:szCs w:val="21"/>
              </w:rPr>
              <w:t>标准值</w:t>
            </w:r>
          </w:p>
        </w:tc>
        <w:tc>
          <w:tcPr>
            <w:tcW w:w="1128" w:type="dxa"/>
            <w:vAlign w:val="center"/>
          </w:tcPr>
          <w:p>
            <w:pPr>
              <w:widowControl/>
              <w:spacing w:line="300" w:lineRule="exact"/>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1</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测试地点</w:t>
            </w:r>
          </w:p>
        </w:tc>
        <w:tc>
          <w:tcPr>
            <w:tcW w:w="1105" w:type="dxa"/>
            <w:vAlign w:val="center"/>
          </w:tcPr>
          <w:p>
            <w:pPr>
              <w:widowControl/>
              <w:spacing w:line="300" w:lineRule="exact"/>
              <w:jc w:val="center"/>
              <w:rPr>
                <w:rFonts w:eastAsia="宋体"/>
                <w:bCs/>
                <w:kern w:val="0"/>
                <w:sz w:val="21"/>
                <w:szCs w:val="21"/>
                <w:lang w:val="zh-CN"/>
              </w:rPr>
            </w:pPr>
            <w:r>
              <w:rPr>
                <w:rFonts w:eastAsia="宋体"/>
                <w:sz w:val="21"/>
                <w:szCs w:val="21"/>
              </w:rPr>
              <w:t>/</w:t>
            </w:r>
          </w:p>
        </w:tc>
        <w:tc>
          <w:tcPr>
            <w:tcW w:w="2978" w:type="dxa"/>
            <w:gridSpan w:val="2"/>
            <w:vAlign w:val="center"/>
          </w:tcPr>
          <w:p>
            <w:pPr>
              <w:widowControl/>
              <w:spacing w:line="300" w:lineRule="exact"/>
              <w:jc w:val="center"/>
              <w:rPr>
                <w:rFonts w:eastAsia="宋体"/>
                <w:bCs/>
                <w:kern w:val="0"/>
                <w:sz w:val="21"/>
                <w:szCs w:val="21"/>
              </w:rPr>
            </w:pPr>
            <w:r>
              <w:rPr>
                <w:rFonts w:hint="eastAsia" w:eastAsia="宋体"/>
                <w:bCs/>
                <w:kern w:val="0"/>
                <w:sz w:val="21"/>
                <w:szCs w:val="21"/>
              </w:rPr>
              <w:t>新轧钢厂固溶炉</w:t>
            </w:r>
            <w:r>
              <w:rPr>
                <w:rFonts w:eastAsia="宋体"/>
                <w:bCs/>
                <w:kern w:val="0"/>
                <w:sz w:val="21"/>
                <w:szCs w:val="21"/>
              </w:rPr>
              <w:t>废气排放口</w:t>
            </w:r>
            <w:r>
              <w:rPr>
                <w:rFonts w:hint="eastAsia" w:eastAsia="宋体"/>
                <w:bCs/>
                <w:kern w:val="0"/>
                <w:sz w:val="21"/>
                <w:szCs w:val="21"/>
              </w:rPr>
              <w:t>DA005</w:t>
            </w:r>
          </w:p>
        </w:tc>
        <w:tc>
          <w:tcPr>
            <w:tcW w:w="991"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2</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测试时间</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2018.9.19</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2018.12.12</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3</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排气筒高度</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w:t>
            </w:r>
          </w:p>
        </w:tc>
        <w:tc>
          <w:tcPr>
            <w:tcW w:w="2978" w:type="dxa"/>
            <w:gridSpan w:val="2"/>
            <w:vAlign w:val="center"/>
          </w:tcPr>
          <w:p>
            <w:pPr>
              <w:spacing w:line="300" w:lineRule="exact"/>
              <w:jc w:val="center"/>
              <w:rPr>
                <w:rFonts w:eastAsia="宋体"/>
                <w:bCs/>
                <w:kern w:val="0"/>
                <w:sz w:val="21"/>
                <w:szCs w:val="21"/>
              </w:rPr>
            </w:pPr>
            <w:r>
              <w:rPr>
                <w:rFonts w:hint="eastAsia" w:eastAsia="宋体"/>
                <w:bCs/>
                <w:kern w:val="0"/>
                <w:sz w:val="21"/>
                <w:szCs w:val="21"/>
              </w:rPr>
              <w:t>20</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4</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废气温度</w:t>
            </w:r>
          </w:p>
        </w:tc>
        <w:tc>
          <w:tcPr>
            <w:tcW w:w="1105" w:type="dxa"/>
            <w:vAlign w:val="center"/>
          </w:tcPr>
          <w:p>
            <w:pPr>
              <w:widowControl/>
              <w:spacing w:line="300" w:lineRule="exact"/>
              <w:jc w:val="center"/>
              <w:rPr>
                <w:rFonts w:eastAsia="宋体"/>
                <w:bCs/>
                <w:kern w:val="0"/>
                <w:sz w:val="21"/>
                <w:szCs w:val="21"/>
              </w:rPr>
            </w:pPr>
            <w:r>
              <w:rPr>
                <w:rFonts w:hint="eastAsia" w:ascii="宋体" w:hAnsi="宋体" w:eastAsia="宋体" w:cs="宋体"/>
                <w:sz w:val="21"/>
                <w:szCs w:val="21"/>
              </w:rPr>
              <w:t>℃</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323</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322</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*5</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废气流速</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m/s</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9.0</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2.1</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*6</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实测废气流量</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2.55</w:t>
            </w:r>
            <w:r>
              <w:rPr>
                <w:rFonts w:eastAsia="宋体"/>
                <w:bCs/>
                <w:kern w:val="0"/>
                <w:sz w:val="21"/>
                <w:szCs w:val="21"/>
              </w:rPr>
              <w:t>×10</w:t>
            </w:r>
            <w:r>
              <w:rPr>
                <w:rFonts w:hint="eastAsia" w:eastAsia="宋体"/>
                <w:bCs/>
                <w:kern w:val="0"/>
                <w:sz w:val="21"/>
                <w:szCs w:val="21"/>
                <w:vertAlign w:val="superscript"/>
              </w:rPr>
              <w:t>4</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4.75</w:t>
            </w:r>
            <w:r>
              <w:rPr>
                <w:rFonts w:eastAsia="宋体"/>
                <w:bCs/>
                <w:kern w:val="0"/>
                <w:sz w:val="21"/>
                <w:szCs w:val="21"/>
              </w:rPr>
              <w:t>×10</w:t>
            </w:r>
            <w:r>
              <w:rPr>
                <w:rFonts w:hint="eastAsia" w:eastAsia="宋体"/>
                <w:bCs/>
                <w:kern w:val="0"/>
                <w:sz w:val="21"/>
                <w:szCs w:val="21"/>
                <w:vertAlign w:val="superscript"/>
              </w:rPr>
              <w:t>3</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*7</w:t>
            </w:r>
          </w:p>
        </w:tc>
        <w:tc>
          <w:tcPr>
            <w:tcW w:w="1962" w:type="dxa"/>
            <w:vAlign w:val="center"/>
          </w:tcPr>
          <w:p>
            <w:pPr>
              <w:widowControl/>
              <w:spacing w:line="300" w:lineRule="exact"/>
              <w:jc w:val="center"/>
              <w:rPr>
                <w:rFonts w:eastAsia="宋体"/>
                <w:bCs/>
                <w:kern w:val="0"/>
                <w:sz w:val="21"/>
                <w:szCs w:val="21"/>
              </w:rPr>
            </w:pPr>
            <w:r>
              <w:rPr>
                <w:rFonts w:eastAsia="宋体"/>
                <w:sz w:val="21"/>
                <w:szCs w:val="21"/>
              </w:rPr>
              <w:t>标干态废气流量</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1.13</w:t>
            </w:r>
            <w:r>
              <w:rPr>
                <w:rFonts w:eastAsia="宋体"/>
                <w:bCs/>
                <w:kern w:val="0"/>
                <w:sz w:val="21"/>
                <w:szCs w:val="21"/>
              </w:rPr>
              <w:t>×10</w:t>
            </w:r>
            <w:r>
              <w:rPr>
                <w:rFonts w:hint="eastAsia" w:eastAsia="宋体"/>
                <w:bCs/>
                <w:kern w:val="0"/>
                <w:sz w:val="21"/>
                <w:szCs w:val="21"/>
                <w:vertAlign w:val="superscript"/>
              </w:rPr>
              <w:t>4</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2.15</w:t>
            </w:r>
            <w:r>
              <w:rPr>
                <w:rFonts w:eastAsia="宋体"/>
                <w:bCs/>
                <w:kern w:val="0"/>
                <w:sz w:val="21"/>
                <w:szCs w:val="21"/>
              </w:rPr>
              <w:t>×10</w:t>
            </w:r>
            <w:r>
              <w:rPr>
                <w:rFonts w:hint="eastAsia" w:eastAsia="宋体"/>
                <w:bCs/>
                <w:kern w:val="0"/>
                <w:sz w:val="21"/>
                <w:szCs w:val="21"/>
                <w:vertAlign w:val="superscript"/>
              </w:rPr>
              <w:t>3</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lang w:val="zh-CN"/>
              </w:rPr>
            </w:pPr>
            <w:r>
              <w:rPr>
                <w:rFonts w:eastAsia="宋体"/>
                <w:sz w:val="21"/>
                <w:szCs w:val="21"/>
              </w:rPr>
              <w:t>8</w:t>
            </w:r>
          </w:p>
        </w:tc>
        <w:tc>
          <w:tcPr>
            <w:tcW w:w="1962"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颗粒物排放浓度</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60" w:type="dxa"/>
            <w:vAlign w:val="center"/>
          </w:tcPr>
          <w:p>
            <w:pPr>
              <w:spacing w:line="300" w:lineRule="exact"/>
              <w:jc w:val="center"/>
              <w:rPr>
                <w:rFonts w:eastAsia="宋体"/>
                <w:kern w:val="0"/>
                <w:sz w:val="21"/>
                <w:szCs w:val="21"/>
              </w:rPr>
            </w:pPr>
            <w:r>
              <w:rPr>
                <w:rFonts w:hint="eastAsia" w:eastAsia="宋体"/>
                <w:kern w:val="0"/>
                <w:sz w:val="21"/>
                <w:szCs w:val="21"/>
              </w:rPr>
              <w:t>3.1</w:t>
            </w:r>
          </w:p>
        </w:tc>
        <w:tc>
          <w:tcPr>
            <w:tcW w:w="1418" w:type="dxa"/>
            <w:vAlign w:val="center"/>
          </w:tcPr>
          <w:p>
            <w:pPr>
              <w:spacing w:line="300" w:lineRule="exact"/>
              <w:jc w:val="center"/>
              <w:rPr>
                <w:rFonts w:eastAsia="宋体"/>
                <w:kern w:val="0"/>
                <w:sz w:val="21"/>
                <w:szCs w:val="21"/>
              </w:rPr>
            </w:pPr>
            <w:r>
              <w:rPr>
                <w:rFonts w:hint="eastAsia" w:eastAsia="宋体"/>
                <w:kern w:val="0"/>
                <w:sz w:val="21"/>
                <w:szCs w:val="21"/>
              </w:rPr>
              <w:t>8.29</w:t>
            </w:r>
          </w:p>
        </w:tc>
        <w:tc>
          <w:tcPr>
            <w:tcW w:w="991" w:type="dxa"/>
            <w:vAlign w:val="center"/>
          </w:tcPr>
          <w:p>
            <w:pPr>
              <w:spacing w:line="300" w:lineRule="exact"/>
              <w:jc w:val="center"/>
              <w:rPr>
                <w:rFonts w:eastAsia="宋体"/>
                <w:kern w:val="0"/>
                <w:sz w:val="21"/>
                <w:szCs w:val="21"/>
              </w:rPr>
            </w:pPr>
            <w:r>
              <w:rPr>
                <w:rFonts w:hint="eastAsia" w:eastAsia="宋体"/>
                <w:kern w:val="0"/>
                <w:sz w:val="21"/>
                <w:szCs w:val="21"/>
              </w:rPr>
              <w:t>≤15</w:t>
            </w:r>
          </w:p>
        </w:tc>
        <w:tc>
          <w:tcPr>
            <w:tcW w:w="1128" w:type="dxa"/>
            <w:vAlign w:val="center"/>
          </w:tcPr>
          <w:p>
            <w:pPr>
              <w:spacing w:line="300" w:lineRule="exact"/>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bCs/>
                <w:kern w:val="0"/>
                <w:sz w:val="21"/>
                <w:szCs w:val="21"/>
              </w:rPr>
            </w:pPr>
            <w:r>
              <w:rPr>
                <w:rFonts w:eastAsia="宋体"/>
                <w:sz w:val="21"/>
                <w:szCs w:val="21"/>
              </w:rPr>
              <w:t>9</w:t>
            </w:r>
          </w:p>
        </w:tc>
        <w:tc>
          <w:tcPr>
            <w:tcW w:w="1962"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颗粒物排放速率</w:t>
            </w:r>
          </w:p>
        </w:tc>
        <w:tc>
          <w:tcPr>
            <w:tcW w:w="1105"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560" w:type="dxa"/>
            <w:vAlign w:val="center"/>
          </w:tcPr>
          <w:p>
            <w:pPr>
              <w:spacing w:line="300" w:lineRule="exact"/>
              <w:jc w:val="center"/>
              <w:rPr>
                <w:rFonts w:eastAsia="宋体"/>
                <w:kern w:val="0"/>
                <w:sz w:val="21"/>
                <w:szCs w:val="21"/>
              </w:rPr>
            </w:pPr>
            <w:r>
              <w:rPr>
                <w:rFonts w:hint="eastAsia" w:eastAsia="宋体"/>
                <w:kern w:val="0"/>
                <w:sz w:val="21"/>
                <w:szCs w:val="21"/>
              </w:rPr>
              <w:t>0.035</w:t>
            </w:r>
          </w:p>
        </w:tc>
        <w:tc>
          <w:tcPr>
            <w:tcW w:w="1418" w:type="dxa"/>
            <w:vAlign w:val="center"/>
          </w:tcPr>
          <w:p>
            <w:pPr>
              <w:spacing w:line="300" w:lineRule="exact"/>
              <w:jc w:val="center"/>
              <w:rPr>
                <w:rFonts w:eastAsia="宋体"/>
                <w:kern w:val="0"/>
                <w:sz w:val="21"/>
                <w:szCs w:val="21"/>
              </w:rPr>
            </w:pPr>
            <w:r>
              <w:rPr>
                <w:rFonts w:hint="eastAsia" w:eastAsia="宋体"/>
                <w:kern w:val="0"/>
                <w:sz w:val="21"/>
                <w:szCs w:val="21"/>
              </w:rPr>
              <w:t>0.00602</w:t>
            </w:r>
          </w:p>
        </w:tc>
        <w:tc>
          <w:tcPr>
            <w:tcW w:w="991" w:type="dxa"/>
            <w:vAlign w:val="center"/>
          </w:tcPr>
          <w:p>
            <w:pPr>
              <w:spacing w:line="300" w:lineRule="exact"/>
              <w:jc w:val="center"/>
              <w:rPr>
                <w:rFonts w:eastAsia="宋体"/>
                <w:kern w:val="0"/>
                <w:sz w:val="21"/>
                <w:szCs w:val="21"/>
              </w:rPr>
            </w:pPr>
            <w:r>
              <w:rPr>
                <w:rFonts w:hint="eastAsia" w:eastAsia="宋体"/>
                <w:kern w:val="0"/>
                <w:sz w:val="21"/>
                <w:szCs w:val="21"/>
              </w:rPr>
              <w:t>/</w:t>
            </w:r>
          </w:p>
        </w:tc>
        <w:tc>
          <w:tcPr>
            <w:tcW w:w="1128" w:type="dxa"/>
            <w:vAlign w:val="center"/>
          </w:tcPr>
          <w:p>
            <w:pPr>
              <w:spacing w:line="300" w:lineRule="exact"/>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sz w:val="21"/>
                <w:szCs w:val="21"/>
              </w:rPr>
            </w:pPr>
            <w:r>
              <w:rPr>
                <w:rFonts w:eastAsia="宋体"/>
                <w:sz w:val="21"/>
                <w:szCs w:val="21"/>
              </w:rPr>
              <w:t>10</w:t>
            </w:r>
          </w:p>
        </w:tc>
        <w:tc>
          <w:tcPr>
            <w:tcW w:w="1962"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氮氧化物排放浓度</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82</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92</w:t>
            </w:r>
          </w:p>
        </w:tc>
        <w:tc>
          <w:tcPr>
            <w:tcW w:w="991" w:type="dxa"/>
            <w:vAlign w:val="center"/>
          </w:tcPr>
          <w:p>
            <w:pPr>
              <w:spacing w:line="300" w:lineRule="exact"/>
              <w:jc w:val="center"/>
              <w:rPr>
                <w:rFonts w:eastAsia="宋体"/>
                <w:bCs/>
                <w:kern w:val="0"/>
                <w:sz w:val="21"/>
                <w:szCs w:val="21"/>
              </w:rPr>
            </w:pPr>
            <w:r>
              <w:rPr>
                <w:rFonts w:hint="eastAsia" w:eastAsia="宋体"/>
                <w:kern w:val="0"/>
                <w:sz w:val="21"/>
                <w:szCs w:val="21"/>
              </w:rPr>
              <w:t>≤300</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sz w:val="21"/>
                <w:szCs w:val="21"/>
              </w:rPr>
            </w:pPr>
            <w:r>
              <w:rPr>
                <w:rFonts w:eastAsia="宋体"/>
                <w:sz w:val="21"/>
                <w:szCs w:val="21"/>
              </w:rPr>
              <w:t>11</w:t>
            </w:r>
          </w:p>
        </w:tc>
        <w:tc>
          <w:tcPr>
            <w:tcW w:w="1962"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氮氧化物排放速率</w:t>
            </w:r>
          </w:p>
        </w:tc>
        <w:tc>
          <w:tcPr>
            <w:tcW w:w="1105"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0.927</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0.0666</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sz w:val="21"/>
                <w:szCs w:val="21"/>
              </w:rPr>
            </w:pPr>
            <w:r>
              <w:rPr>
                <w:rFonts w:eastAsia="宋体"/>
                <w:sz w:val="21"/>
                <w:szCs w:val="21"/>
              </w:rPr>
              <w:t>12</w:t>
            </w:r>
          </w:p>
        </w:tc>
        <w:tc>
          <w:tcPr>
            <w:tcW w:w="1962"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二氧化硫排放浓度</w:t>
            </w:r>
          </w:p>
        </w:tc>
        <w:tc>
          <w:tcPr>
            <w:tcW w:w="1105"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560" w:type="dxa"/>
            <w:vAlign w:val="center"/>
          </w:tcPr>
          <w:p>
            <w:pPr>
              <w:spacing w:line="300" w:lineRule="exact"/>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18</w:t>
            </w:r>
          </w:p>
        </w:tc>
        <w:tc>
          <w:tcPr>
            <w:tcW w:w="991" w:type="dxa"/>
            <w:vAlign w:val="center"/>
          </w:tcPr>
          <w:p>
            <w:pPr>
              <w:spacing w:line="300" w:lineRule="exact"/>
              <w:jc w:val="center"/>
              <w:rPr>
                <w:rFonts w:eastAsia="宋体"/>
                <w:bCs/>
                <w:kern w:val="0"/>
                <w:sz w:val="21"/>
                <w:szCs w:val="21"/>
              </w:rPr>
            </w:pPr>
            <w:r>
              <w:rPr>
                <w:rFonts w:hint="eastAsia" w:eastAsia="宋体"/>
                <w:kern w:val="0"/>
                <w:sz w:val="21"/>
                <w:szCs w:val="21"/>
              </w:rPr>
              <w:t>≤150</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sz w:val="21"/>
                <w:szCs w:val="21"/>
              </w:rPr>
            </w:pPr>
            <w:r>
              <w:rPr>
                <w:rFonts w:eastAsia="宋体"/>
                <w:sz w:val="21"/>
                <w:szCs w:val="21"/>
              </w:rPr>
              <w:t>13</w:t>
            </w:r>
          </w:p>
        </w:tc>
        <w:tc>
          <w:tcPr>
            <w:tcW w:w="1962"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二氧化硫排放速率</w:t>
            </w:r>
          </w:p>
        </w:tc>
        <w:tc>
          <w:tcPr>
            <w:tcW w:w="1105"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560" w:type="dxa"/>
            <w:vAlign w:val="center"/>
          </w:tcPr>
          <w:p>
            <w:pPr>
              <w:spacing w:line="300" w:lineRule="exact"/>
              <w:jc w:val="center"/>
              <w:rPr>
                <w:rFonts w:eastAsia="宋体"/>
                <w:bCs/>
                <w:kern w:val="0"/>
                <w:sz w:val="21"/>
                <w:szCs w:val="21"/>
              </w:rPr>
            </w:pPr>
            <w:r>
              <w:rPr>
                <w:rFonts w:eastAsia="宋体"/>
                <w:bCs/>
                <w:kern w:val="0"/>
                <w:sz w:val="21"/>
                <w:szCs w:val="21"/>
              </w:rPr>
              <w:t>&lt;</w:t>
            </w:r>
            <w:r>
              <w:rPr>
                <w:rFonts w:hint="eastAsia" w:eastAsia="宋体"/>
                <w:bCs/>
                <w:kern w:val="0"/>
                <w:sz w:val="21"/>
                <w:szCs w:val="21"/>
              </w:rPr>
              <w:t>0.0339</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0.0129</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72" w:type="dxa"/>
            <w:vAlign w:val="center"/>
          </w:tcPr>
          <w:p>
            <w:pPr>
              <w:widowControl/>
              <w:spacing w:line="300" w:lineRule="exact"/>
              <w:jc w:val="center"/>
              <w:rPr>
                <w:rFonts w:eastAsia="宋体"/>
                <w:sz w:val="21"/>
                <w:szCs w:val="21"/>
              </w:rPr>
            </w:pPr>
            <w:r>
              <w:rPr>
                <w:rFonts w:eastAsia="宋体"/>
                <w:sz w:val="21"/>
                <w:szCs w:val="21"/>
              </w:rPr>
              <w:t>14</w:t>
            </w:r>
          </w:p>
        </w:tc>
        <w:tc>
          <w:tcPr>
            <w:tcW w:w="1962"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林格曼黑度</w:t>
            </w:r>
          </w:p>
        </w:tc>
        <w:tc>
          <w:tcPr>
            <w:tcW w:w="1105" w:type="dxa"/>
            <w:vAlign w:val="center"/>
          </w:tcPr>
          <w:p>
            <w:pPr>
              <w:widowControl/>
              <w:spacing w:line="300" w:lineRule="exact"/>
              <w:jc w:val="center"/>
              <w:rPr>
                <w:rFonts w:eastAsia="宋体"/>
                <w:sz w:val="21"/>
                <w:szCs w:val="21"/>
              </w:rPr>
            </w:pPr>
            <w:r>
              <w:rPr>
                <w:rFonts w:hint="eastAsia" w:eastAsia="宋体"/>
                <w:sz w:val="21"/>
                <w:szCs w:val="21"/>
              </w:rPr>
              <w:t>/</w:t>
            </w:r>
          </w:p>
        </w:tc>
        <w:tc>
          <w:tcPr>
            <w:tcW w:w="156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41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99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28"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636" w:type="dxa"/>
            <w:gridSpan w:val="7"/>
            <w:vAlign w:val="center"/>
          </w:tcPr>
          <w:p>
            <w:pPr>
              <w:widowControl/>
              <w:spacing w:line="30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新轧钢厂在线固溶炉废气排放口DA011监测结果详见表3-</w:t>
      </w:r>
      <w:r>
        <w:rPr>
          <w:rFonts w:ascii="Times New Roman" w:hAnsi="Times New Roman" w:cs="Times New Roman"/>
          <w:spacing w:val="0"/>
        </w:rPr>
        <w:t>21</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新轧钢厂在线固溶炉废气排放口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058"/>
        <w:gridCol w:w="1060"/>
        <w:gridCol w:w="2605"/>
        <w:gridCol w:w="128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kern w:val="0"/>
                <w:sz w:val="21"/>
                <w:szCs w:val="21"/>
              </w:rPr>
            </w:pPr>
            <w:r>
              <w:rPr>
                <w:rFonts w:eastAsia="宋体"/>
                <w:sz w:val="21"/>
                <w:szCs w:val="21"/>
              </w:rPr>
              <w:t>序号</w:t>
            </w:r>
          </w:p>
        </w:tc>
        <w:tc>
          <w:tcPr>
            <w:tcW w:w="2058" w:type="dxa"/>
            <w:vAlign w:val="center"/>
          </w:tcPr>
          <w:p>
            <w:pPr>
              <w:widowControl/>
              <w:spacing w:line="300" w:lineRule="exact"/>
              <w:jc w:val="center"/>
              <w:rPr>
                <w:rFonts w:eastAsia="宋体"/>
                <w:kern w:val="0"/>
                <w:sz w:val="21"/>
                <w:szCs w:val="21"/>
              </w:rPr>
            </w:pPr>
            <w:r>
              <w:rPr>
                <w:rFonts w:eastAsia="宋体"/>
                <w:sz w:val="21"/>
                <w:szCs w:val="21"/>
              </w:rPr>
              <w:t>项目</w:t>
            </w:r>
          </w:p>
        </w:tc>
        <w:tc>
          <w:tcPr>
            <w:tcW w:w="1060" w:type="dxa"/>
            <w:vAlign w:val="center"/>
          </w:tcPr>
          <w:p>
            <w:pPr>
              <w:widowControl/>
              <w:spacing w:line="300" w:lineRule="exact"/>
              <w:jc w:val="center"/>
              <w:rPr>
                <w:rFonts w:eastAsia="宋体"/>
                <w:kern w:val="0"/>
                <w:sz w:val="21"/>
                <w:szCs w:val="21"/>
              </w:rPr>
            </w:pPr>
            <w:r>
              <w:rPr>
                <w:rFonts w:eastAsia="宋体"/>
                <w:sz w:val="21"/>
                <w:szCs w:val="21"/>
              </w:rPr>
              <w:t>单位</w:t>
            </w:r>
          </w:p>
        </w:tc>
        <w:tc>
          <w:tcPr>
            <w:tcW w:w="2605" w:type="dxa"/>
            <w:vAlign w:val="center"/>
          </w:tcPr>
          <w:p>
            <w:pPr>
              <w:widowControl/>
              <w:spacing w:line="300" w:lineRule="exact"/>
              <w:jc w:val="center"/>
              <w:rPr>
                <w:rFonts w:eastAsia="宋体"/>
                <w:kern w:val="0"/>
                <w:sz w:val="21"/>
                <w:szCs w:val="21"/>
              </w:rPr>
            </w:pPr>
            <w:r>
              <w:rPr>
                <w:rFonts w:eastAsia="宋体"/>
                <w:sz w:val="21"/>
                <w:szCs w:val="21"/>
              </w:rPr>
              <w:t>检测结果</w:t>
            </w:r>
          </w:p>
        </w:tc>
        <w:tc>
          <w:tcPr>
            <w:tcW w:w="1280" w:type="dxa"/>
            <w:vAlign w:val="center"/>
          </w:tcPr>
          <w:p>
            <w:pPr>
              <w:widowControl/>
              <w:spacing w:line="300" w:lineRule="exact"/>
              <w:jc w:val="center"/>
              <w:rPr>
                <w:rFonts w:eastAsia="宋体"/>
                <w:kern w:val="0"/>
                <w:sz w:val="21"/>
                <w:szCs w:val="21"/>
              </w:rPr>
            </w:pPr>
            <w:r>
              <w:rPr>
                <w:rFonts w:hint="eastAsia" w:eastAsia="宋体"/>
                <w:kern w:val="0"/>
                <w:sz w:val="21"/>
                <w:szCs w:val="21"/>
              </w:rPr>
              <w:t>标准值</w:t>
            </w:r>
          </w:p>
        </w:tc>
        <w:tc>
          <w:tcPr>
            <w:tcW w:w="1102" w:type="dxa"/>
            <w:vAlign w:val="center"/>
          </w:tcPr>
          <w:p>
            <w:pPr>
              <w:widowControl/>
              <w:spacing w:line="300" w:lineRule="exact"/>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1</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测试地点</w:t>
            </w:r>
          </w:p>
        </w:tc>
        <w:tc>
          <w:tcPr>
            <w:tcW w:w="1060" w:type="dxa"/>
            <w:vAlign w:val="center"/>
          </w:tcPr>
          <w:p>
            <w:pPr>
              <w:widowControl/>
              <w:spacing w:line="300" w:lineRule="exact"/>
              <w:jc w:val="center"/>
              <w:rPr>
                <w:rFonts w:eastAsia="宋体"/>
                <w:bCs/>
                <w:kern w:val="0"/>
                <w:sz w:val="21"/>
                <w:szCs w:val="21"/>
                <w:lang w:val="zh-CN"/>
              </w:rPr>
            </w:pPr>
            <w:r>
              <w:rPr>
                <w:rFonts w:eastAsia="宋体"/>
                <w:sz w:val="21"/>
                <w:szCs w:val="21"/>
              </w:rPr>
              <w:t>/</w:t>
            </w:r>
          </w:p>
        </w:tc>
        <w:tc>
          <w:tcPr>
            <w:tcW w:w="2605" w:type="dxa"/>
            <w:vAlign w:val="center"/>
          </w:tcPr>
          <w:p>
            <w:pPr>
              <w:spacing w:line="300" w:lineRule="exact"/>
              <w:jc w:val="center"/>
              <w:rPr>
                <w:rFonts w:eastAsia="宋体"/>
                <w:bCs/>
                <w:kern w:val="0"/>
                <w:sz w:val="21"/>
                <w:szCs w:val="21"/>
              </w:rPr>
            </w:pPr>
            <w:r>
              <w:rPr>
                <w:rFonts w:hint="eastAsia" w:eastAsia="宋体"/>
                <w:kern w:val="0"/>
                <w:sz w:val="21"/>
                <w:szCs w:val="21"/>
              </w:rPr>
              <w:t>新轧钢厂在线固溶炉废气排放口DA011</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2</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测试时间</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2018.12.12</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3</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排气筒高度</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28</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*4</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废气温度</w:t>
            </w:r>
          </w:p>
        </w:tc>
        <w:tc>
          <w:tcPr>
            <w:tcW w:w="1060" w:type="dxa"/>
            <w:vAlign w:val="center"/>
          </w:tcPr>
          <w:p>
            <w:pPr>
              <w:widowControl/>
              <w:spacing w:line="300" w:lineRule="exact"/>
              <w:jc w:val="center"/>
              <w:rPr>
                <w:rFonts w:eastAsia="宋体"/>
                <w:bCs/>
                <w:kern w:val="0"/>
                <w:sz w:val="21"/>
                <w:szCs w:val="21"/>
              </w:rPr>
            </w:pPr>
            <w:r>
              <w:rPr>
                <w:rFonts w:hint="eastAsia" w:ascii="宋体" w:hAnsi="宋体" w:eastAsia="宋体" w:cs="宋体"/>
                <w:sz w:val="21"/>
                <w:szCs w:val="21"/>
              </w:rPr>
              <w:t>℃</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153</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*5</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废气流速</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m/s</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18.3</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*6</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实测废气流量</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1.29</w:t>
            </w:r>
            <w:r>
              <w:rPr>
                <w:rFonts w:eastAsia="宋体"/>
                <w:bCs/>
                <w:kern w:val="0"/>
                <w:sz w:val="21"/>
                <w:szCs w:val="21"/>
              </w:rPr>
              <w:t>×10</w:t>
            </w:r>
            <w:r>
              <w:rPr>
                <w:rFonts w:hint="eastAsia" w:eastAsia="宋体"/>
                <w:bCs/>
                <w:kern w:val="0"/>
                <w:sz w:val="21"/>
                <w:szCs w:val="21"/>
                <w:vertAlign w:val="superscript"/>
              </w:rPr>
              <w:t>4</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*7</w:t>
            </w:r>
          </w:p>
        </w:tc>
        <w:tc>
          <w:tcPr>
            <w:tcW w:w="2058" w:type="dxa"/>
            <w:vAlign w:val="center"/>
          </w:tcPr>
          <w:p>
            <w:pPr>
              <w:widowControl/>
              <w:spacing w:line="300" w:lineRule="exact"/>
              <w:jc w:val="center"/>
              <w:rPr>
                <w:rFonts w:eastAsia="宋体"/>
                <w:bCs/>
                <w:kern w:val="0"/>
                <w:sz w:val="21"/>
                <w:szCs w:val="21"/>
              </w:rPr>
            </w:pPr>
            <w:r>
              <w:rPr>
                <w:rFonts w:eastAsia="宋体"/>
                <w:sz w:val="21"/>
                <w:szCs w:val="21"/>
              </w:rPr>
              <w:t>标干态废气流量</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7.95</w:t>
            </w:r>
            <w:r>
              <w:rPr>
                <w:rFonts w:eastAsia="宋体"/>
                <w:bCs/>
                <w:kern w:val="0"/>
                <w:sz w:val="21"/>
                <w:szCs w:val="21"/>
              </w:rPr>
              <w:t>×10</w:t>
            </w:r>
            <w:r>
              <w:rPr>
                <w:rFonts w:hint="eastAsia" w:eastAsia="宋体"/>
                <w:bCs/>
                <w:kern w:val="0"/>
                <w:sz w:val="21"/>
                <w:szCs w:val="21"/>
                <w:vertAlign w:val="superscript"/>
              </w:rPr>
              <w:t>3</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lang w:val="zh-CN"/>
              </w:rPr>
            </w:pPr>
            <w:r>
              <w:rPr>
                <w:rFonts w:eastAsia="宋体"/>
                <w:sz w:val="21"/>
                <w:szCs w:val="21"/>
              </w:rPr>
              <w:t>8</w:t>
            </w:r>
          </w:p>
        </w:tc>
        <w:tc>
          <w:tcPr>
            <w:tcW w:w="2058"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颗粒物排放浓度</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605" w:type="dxa"/>
            <w:vAlign w:val="center"/>
          </w:tcPr>
          <w:p>
            <w:pPr>
              <w:spacing w:line="300" w:lineRule="exact"/>
              <w:jc w:val="center"/>
              <w:rPr>
                <w:rFonts w:eastAsia="宋体"/>
                <w:kern w:val="0"/>
                <w:sz w:val="21"/>
                <w:szCs w:val="21"/>
              </w:rPr>
            </w:pPr>
            <w:r>
              <w:rPr>
                <w:rFonts w:hint="eastAsia" w:eastAsia="宋体"/>
                <w:kern w:val="0"/>
                <w:sz w:val="21"/>
                <w:szCs w:val="21"/>
              </w:rPr>
              <w:t>4.7</w:t>
            </w:r>
          </w:p>
        </w:tc>
        <w:tc>
          <w:tcPr>
            <w:tcW w:w="1280" w:type="dxa"/>
            <w:vAlign w:val="center"/>
          </w:tcPr>
          <w:p>
            <w:pPr>
              <w:spacing w:line="300" w:lineRule="exact"/>
              <w:jc w:val="center"/>
              <w:rPr>
                <w:rFonts w:eastAsia="宋体"/>
                <w:kern w:val="0"/>
                <w:sz w:val="21"/>
                <w:szCs w:val="21"/>
              </w:rPr>
            </w:pPr>
            <w:r>
              <w:rPr>
                <w:rFonts w:hint="eastAsia" w:eastAsia="宋体"/>
                <w:kern w:val="0"/>
                <w:sz w:val="21"/>
                <w:szCs w:val="21"/>
              </w:rPr>
              <w:t>≤15</w:t>
            </w:r>
          </w:p>
        </w:tc>
        <w:tc>
          <w:tcPr>
            <w:tcW w:w="1102" w:type="dxa"/>
            <w:vAlign w:val="center"/>
          </w:tcPr>
          <w:p>
            <w:pPr>
              <w:spacing w:line="300" w:lineRule="exact"/>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bCs/>
                <w:kern w:val="0"/>
                <w:sz w:val="21"/>
                <w:szCs w:val="21"/>
              </w:rPr>
            </w:pPr>
            <w:r>
              <w:rPr>
                <w:rFonts w:eastAsia="宋体"/>
                <w:sz w:val="21"/>
                <w:szCs w:val="21"/>
              </w:rPr>
              <w:t>9</w:t>
            </w:r>
          </w:p>
        </w:tc>
        <w:tc>
          <w:tcPr>
            <w:tcW w:w="2058"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颗粒物排放速率</w:t>
            </w:r>
          </w:p>
        </w:tc>
        <w:tc>
          <w:tcPr>
            <w:tcW w:w="1060"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2605" w:type="dxa"/>
            <w:vAlign w:val="center"/>
          </w:tcPr>
          <w:p>
            <w:pPr>
              <w:spacing w:line="300" w:lineRule="exact"/>
              <w:jc w:val="center"/>
              <w:rPr>
                <w:rFonts w:eastAsia="宋体"/>
                <w:kern w:val="0"/>
                <w:sz w:val="21"/>
                <w:szCs w:val="21"/>
              </w:rPr>
            </w:pPr>
            <w:r>
              <w:rPr>
                <w:rFonts w:hint="eastAsia" w:eastAsia="宋体"/>
                <w:kern w:val="0"/>
                <w:sz w:val="21"/>
                <w:szCs w:val="21"/>
              </w:rPr>
              <w:t>0.0199</w:t>
            </w:r>
          </w:p>
        </w:tc>
        <w:tc>
          <w:tcPr>
            <w:tcW w:w="1280" w:type="dxa"/>
            <w:vAlign w:val="center"/>
          </w:tcPr>
          <w:p>
            <w:pPr>
              <w:spacing w:line="300" w:lineRule="exact"/>
              <w:jc w:val="center"/>
              <w:rPr>
                <w:rFonts w:eastAsia="宋体"/>
                <w:kern w:val="0"/>
                <w:sz w:val="21"/>
                <w:szCs w:val="21"/>
              </w:rPr>
            </w:pPr>
            <w:r>
              <w:rPr>
                <w:rFonts w:hint="eastAsia" w:eastAsia="宋体"/>
                <w:kern w:val="0"/>
                <w:sz w:val="21"/>
                <w:szCs w:val="21"/>
              </w:rPr>
              <w:t>/</w:t>
            </w:r>
          </w:p>
        </w:tc>
        <w:tc>
          <w:tcPr>
            <w:tcW w:w="1102" w:type="dxa"/>
            <w:vAlign w:val="center"/>
          </w:tcPr>
          <w:p>
            <w:pPr>
              <w:spacing w:line="300" w:lineRule="exact"/>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sz w:val="21"/>
                <w:szCs w:val="21"/>
              </w:rPr>
            </w:pPr>
            <w:r>
              <w:rPr>
                <w:rFonts w:eastAsia="宋体"/>
                <w:sz w:val="21"/>
                <w:szCs w:val="21"/>
              </w:rPr>
              <w:t>10</w:t>
            </w:r>
          </w:p>
        </w:tc>
        <w:tc>
          <w:tcPr>
            <w:tcW w:w="2058"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氮氧化物排放浓度</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70</w:t>
            </w:r>
          </w:p>
        </w:tc>
        <w:tc>
          <w:tcPr>
            <w:tcW w:w="1280" w:type="dxa"/>
            <w:vAlign w:val="center"/>
          </w:tcPr>
          <w:p>
            <w:pPr>
              <w:spacing w:line="300" w:lineRule="exact"/>
              <w:jc w:val="center"/>
              <w:rPr>
                <w:rFonts w:eastAsia="宋体"/>
                <w:bCs/>
                <w:kern w:val="0"/>
                <w:sz w:val="21"/>
                <w:szCs w:val="21"/>
              </w:rPr>
            </w:pPr>
            <w:r>
              <w:rPr>
                <w:rFonts w:hint="eastAsia" w:eastAsia="宋体"/>
                <w:kern w:val="0"/>
                <w:sz w:val="21"/>
                <w:szCs w:val="21"/>
              </w:rPr>
              <w:t>≤300</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sz w:val="21"/>
                <w:szCs w:val="21"/>
              </w:rPr>
            </w:pPr>
            <w:r>
              <w:rPr>
                <w:rFonts w:eastAsia="宋体"/>
                <w:sz w:val="21"/>
                <w:szCs w:val="21"/>
              </w:rPr>
              <w:t>11</w:t>
            </w:r>
          </w:p>
        </w:tc>
        <w:tc>
          <w:tcPr>
            <w:tcW w:w="2058"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氮氧化物排放速率</w:t>
            </w:r>
          </w:p>
        </w:tc>
        <w:tc>
          <w:tcPr>
            <w:tcW w:w="1060"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0.294</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sz w:val="21"/>
                <w:szCs w:val="21"/>
              </w:rPr>
            </w:pPr>
            <w:r>
              <w:rPr>
                <w:rFonts w:eastAsia="宋体"/>
                <w:sz w:val="21"/>
                <w:szCs w:val="21"/>
              </w:rPr>
              <w:t>12</w:t>
            </w:r>
          </w:p>
        </w:tc>
        <w:tc>
          <w:tcPr>
            <w:tcW w:w="2058"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二氧化硫排放浓度</w:t>
            </w:r>
          </w:p>
        </w:tc>
        <w:tc>
          <w:tcPr>
            <w:tcW w:w="1060"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7</w:t>
            </w:r>
          </w:p>
        </w:tc>
        <w:tc>
          <w:tcPr>
            <w:tcW w:w="1280" w:type="dxa"/>
            <w:vAlign w:val="center"/>
          </w:tcPr>
          <w:p>
            <w:pPr>
              <w:spacing w:line="300" w:lineRule="exact"/>
              <w:jc w:val="center"/>
              <w:rPr>
                <w:rFonts w:eastAsia="宋体"/>
                <w:bCs/>
                <w:kern w:val="0"/>
                <w:sz w:val="21"/>
                <w:szCs w:val="21"/>
              </w:rPr>
            </w:pPr>
            <w:r>
              <w:rPr>
                <w:rFonts w:hint="eastAsia" w:eastAsia="宋体"/>
                <w:kern w:val="0"/>
                <w:sz w:val="21"/>
                <w:szCs w:val="21"/>
              </w:rPr>
              <w:t>≤150</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96" w:type="dxa"/>
            <w:vAlign w:val="center"/>
          </w:tcPr>
          <w:p>
            <w:pPr>
              <w:widowControl/>
              <w:spacing w:line="300" w:lineRule="exact"/>
              <w:jc w:val="center"/>
              <w:rPr>
                <w:rFonts w:eastAsia="宋体"/>
                <w:sz w:val="21"/>
                <w:szCs w:val="21"/>
              </w:rPr>
            </w:pPr>
            <w:r>
              <w:rPr>
                <w:rFonts w:eastAsia="宋体"/>
                <w:sz w:val="21"/>
                <w:szCs w:val="21"/>
              </w:rPr>
              <w:t>13</w:t>
            </w:r>
          </w:p>
        </w:tc>
        <w:tc>
          <w:tcPr>
            <w:tcW w:w="2058"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二氧化硫排放速率</w:t>
            </w:r>
          </w:p>
        </w:tc>
        <w:tc>
          <w:tcPr>
            <w:tcW w:w="1060"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2605" w:type="dxa"/>
            <w:vAlign w:val="center"/>
          </w:tcPr>
          <w:p>
            <w:pPr>
              <w:spacing w:line="300" w:lineRule="exact"/>
              <w:jc w:val="center"/>
              <w:rPr>
                <w:rFonts w:eastAsia="宋体"/>
                <w:bCs/>
                <w:kern w:val="0"/>
                <w:sz w:val="21"/>
                <w:szCs w:val="21"/>
              </w:rPr>
            </w:pPr>
            <w:r>
              <w:rPr>
                <w:rFonts w:hint="eastAsia" w:eastAsia="宋体"/>
                <w:bCs/>
                <w:kern w:val="0"/>
                <w:sz w:val="21"/>
                <w:szCs w:val="21"/>
              </w:rPr>
              <w:t>0.0318</w:t>
            </w:r>
          </w:p>
        </w:tc>
        <w:tc>
          <w:tcPr>
            <w:tcW w:w="1280"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02"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6"/>
            <w:vAlign w:val="center"/>
          </w:tcPr>
          <w:p>
            <w:pPr>
              <w:widowControl/>
              <w:spacing w:line="30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由表3-</w:t>
      </w:r>
      <w:r>
        <w:rPr>
          <w:rFonts w:ascii="Times New Roman" w:hAnsi="Times New Roman" w:cs="Times New Roman"/>
          <w:spacing w:val="0"/>
        </w:rPr>
        <w:t>19</w:t>
      </w:r>
      <w:r>
        <w:rPr>
          <w:rFonts w:hint="eastAsia" w:ascii="宋体" w:hAnsi="宋体" w:cs="Times New Roman"/>
          <w:spacing w:val="0"/>
        </w:rPr>
        <w:t>～</w:t>
      </w:r>
      <w:r>
        <w:rPr>
          <w:rFonts w:hint="eastAsia" w:ascii="Times New Roman" w:hAnsi="Times New Roman" w:cs="Times New Roman"/>
          <w:spacing w:val="0"/>
        </w:rPr>
        <w:t>3-</w:t>
      </w:r>
      <w:r>
        <w:rPr>
          <w:rFonts w:ascii="Times New Roman" w:hAnsi="Times New Roman" w:cs="Times New Roman"/>
          <w:spacing w:val="0"/>
        </w:rPr>
        <w:t>21</w:t>
      </w:r>
      <w:r>
        <w:rPr>
          <w:rFonts w:hint="eastAsia" w:ascii="Times New Roman" w:hAnsi="Times New Roman" w:cs="Times New Roman"/>
          <w:spacing w:val="0"/>
        </w:rPr>
        <w:t>可知，轧钢厂各加热炉、固溶炉废气排放均能满足《轧钢工业大气污染物排放标准》(GB28665-2012)表3中热处理炉相关的特别排放限值要求。</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④精整酸洗车间</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精整酸洗车间1#酸洗线酸雾净化装置排气筒出口DA006监测结果详见表3-</w:t>
      </w:r>
      <w:r>
        <w:rPr>
          <w:rFonts w:ascii="Times New Roman" w:hAnsi="Times New Roman" w:cs="Times New Roman"/>
          <w:spacing w:val="0"/>
        </w:rPr>
        <w:t>22</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精整酸洗车间1#酸洗线酸雾废气排放口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1718"/>
        <w:gridCol w:w="892"/>
        <w:gridCol w:w="1271"/>
        <w:gridCol w:w="1134"/>
        <w:gridCol w:w="951"/>
        <w:gridCol w:w="854"/>
        <w:gridCol w:w="59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141" w:leftChars="-50" w:right="-141" w:rightChars="-50"/>
              <w:jc w:val="center"/>
              <w:rPr>
                <w:rFonts w:eastAsia="宋体"/>
                <w:kern w:val="0"/>
                <w:sz w:val="18"/>
                <w:szCs w:val="18"/>
              </w:rPr>
            </w:pPr>
            <w:r>
              <w:rPr>
                <w:rFonts w:eastAsia="宋体"/>
                <w:sz w:val="18"/>
                <w:szCs w:val="18"/>
              </w:rPr>
              <w:t>序号</w:t>
            </w:r>
          </w:p>
        </w:tc>
        <w:tc>
          <w:tcPr>
            <w:tcW w:w="1718" w:type="dxa"/>
            <w:vAlign w:val="center"/>
          </w:tcPr>
          <w:p>
            <w:pPr>
              <w:widowControl/>
              <w:spacing w:line="240" w:lineRule="exact"/>
              <w:ind w:left="-50" w:right="-50"/>
              <w:jc w:val="center"/>
              <w:rPr>
                <w:rFonts w:eastAsia="宋体"/>
                <w:kern w:val="0"/>
                <w:sz w:val="18"/>
                <w:szCs w:val="18"/>
              </w:rPr>
            </w:pPr>
            <w:r>
              <w:rPr>
                <w:rFonts w:eastAsia="宋体"/>
                <w:sz w:val="18"/>
                <w:szCs w:val="18"/>
              </w:rPr>
              <w:t>项目</w:t>
            </w:r>
          </w:p>
        </w:tc>
        <w:tc>
          <w:tcPr>
            <w:tcW w:w="892" w:type="dxa"/>
            <w:vAlign w:val="center"/>
          </w:tcPr>
          <w:p>
            <w:pPr>
              <w:widowControl/>
              <w:spacing w:line="240" w:lineRule="exact"/>
              <w:ind w:left="-50" w:right="-50"/>
              <w:jc w:val="center"/>
              <w:rPr>
                <w:rFonts w:eastAsia="宋体"/>
                <w:kern w:val="0"/>
                <w:sz w:val="18"/>
                <w:szCs w:val="18"/>
              </w:rPr>
            </w:pPr>
            <w:r>
              <w:rPr>
                <w:rFonts w:eastAsia="宋体"/>
                <w:sz w:val="18"/>
                <w:szCs w:val="18"/>
              </w:rPr>
              <w:t>单位</w:t>
            </w:r>
          </w:p>
        </w:tc>
        <w:tc>
          <w:tcPr>
            <w:tcW w:w="4210" w:type="dxa"/>
            <w:gridSpan w:val="4"/>
            <w:vAlign w:val="center"/>
          </w:tcPr>
          <w:p>
            <w:pPr>
              <w:widowControl/>
              <w:spacing w:line="240" w:lineRule="exact"/>
              <w:ind w:left="-50" w:right="-50"/>
              <w:jc w:val="center"/>
              <w:rPr>
                <w:rFonts w:eastAsia="宋体"/>
                <w:kern w:val="0"/>
                <w:sz w:val="18"/>
                <w:szCs w:val="18"/>
              </w:rPr>
            </w:pPr>
            <w:r>
              <w:rPr>
                <w:rFonts w:eastAsia="宋体"/>
                <w:sz w:val="18"/>
                <w:szCs w:val="18"/>
              </w:rPr>
              <w:t>检测结果</w:t>
            </w:r>
          </w:p>
        </w:tc>
        <w:tc>
          <w:tcPr>
            <w:tcW w:w="597" w:type="dxa"/>
            <w:vAlign w:val="center"/>
          </w:tcPr>
          <w:p>
            <w:pPr>
              <w:widowControl/>
              <w:spacing w:line="240" w:lineRule="exact"/>
              <w:ind w:left="-141" w:leftChars="-50" w:right="-141" w:rightChars="-50"/>
              <w:jc w:val="center"/>
              <w:rPr>
                <w:rFonts w:eastAsia="宋体"/>
                <w:kern w:val="0"/>
                <w:sz w:val="18"/>
                <w:szCs w:val="18"/>
              </w:rPr>
            </w:pPr>
            <w:r>
              <w:rPr>
                <w:rFonts w:hint="eastAsia" w:eastAsia="宋体"/>
                <w:kern w:val="0"/>
                <w:sz w:val="18"/>
                <w:szCs w:val="18"/>
              </w:rPr>
              <w:t>标准值</w:t>
            </w:r>
          </w:p>
        </w:tc>
        <w:tc>
          <w:tcPr>
            <w:tcW w:w="1019" w:type="dxa"/>
            <w:vAlign w:val="center"/>
          </w:tcPr>
          <w:p>
            <w:pPr>
              <w:widowControl/>
              <w:spacing w:line="240" w:lineRule="exact"/>
              <w:ind w:left="-141" w:leftChars="-50" w:right="-141" w:rightChars="-50"/>
              <w:jc w:val="center"/>
              <w:rPr>
                <w:rFonts w:eastAsia="宋体"/>
                <w:kern w:val="0"/>
                <w:sz w:val="18"/>
                <w:szCs w:val="18"/>
              </w:rPr>
            </w:pPr>
            <w:r>
              <w:rPr>
                <w:rFonts w:hint="eastAsia" w:eastAsia="宋体"/>
                <w:kern w:val="0"/>
                <w:sz w:val="18"/>
                <w:szCs w:val="1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ind w:left="-50" w:right="-50"/>
              <w:jc w:val="center"/>
              <w:rPr>
                <w:rFonts w:eastAsia="宋体"/>
                <w:b/>
                <w:sz w:val="18"/>
                <w:szCs w:val="18"/>
              </w:rPr>
            </w:pPr>
            <w:r>
              <w:rPr>
                <w:rFonts w:eastAsia="宋体"/>
                <w:sz w:val="18"/>
                <w:szCs w:val="18"/>
              </w:rPr>
              <w:t>1</w:t>
            </w:r>
          </w:p>
        </w:tc>
        <w:tc>
          <w:tcPr>
            <w:tcW w:w="1718" w:type="dxa"/>
            <w:vAlign w:val="center"/>
          </w:tcPr>
          <w:p>
            <w:pPr>
              <w:widowControl/>
              <w:ind w:left="-50" w:right="-50"/>
              <w:jc w:val="center"/>
              <w:rPr>
                <w:rFonts w:eastAsia="宋体"/>
                <w:sz w:val="18"/>
                <w:szCs w:val="18"/>
              </w:rPr>
            </w:pPr>
            <w:r>
              <w:rPr>
                <w:rFonts w:hint="eastAsia" w:eastAsia="宋体"/>
                <w:sz w:val="18"/>
                <w:szCs w:val="18"/>
              </w:rPr>
              <w:t>净化设施</w:t>
            </w:r>
          </w:p>
        </w:tc>
        <w:tc>
          <w:tcPr>
            <w:tcW w:w="892" w:type="dxa"/>
            <w:vAlign w:val="center"/>
          </w:tcPr>
          <w:p>
            <w:pPr>
              <w:widowControl/>
              <w:ind w:left="-50" w:right="-50"/>
              <w:jc w:val="center"/>
              <w:rPr>
                <w:rFonts w:eastAsia="宋体"/>
                <w:sz w:val="18"/>
                <w:szCs w:val="18"/>
              </w:rPr>
            </w:pPr>
            <w:r>
              <w:rPr>
                <w:rFonts w:hint="eastAsia" w:eastAsia="宋体"/>
                <w:sz w:val="18"/>
                <w:szCs w:val="18"/>
              </w:rPr>
              <w:t>/</w:t>
            </w:r>
          </w:p>
        </w:tc>
        <w:tc>
          <w:tcPr>
            <w:tcW w:w="4210" w:type="dxa"/>
            <w:gridSpan w:val="4"/>
            <w:vAlign w:val="center"/>
          </w:tcPr>
          <w:p>
            <w:pPr>
              <w:widowControl/>
              <w:ind w:left="-50" w:right="-50"/>
              <w:jc w:val="center"/>
              <w:rPr>
                <w:rFonts w:eastAsia="宋体"/>
                <w:sz w:val="18"/>
                <w:szCs w:val="18"/>
              </w:rPr>
            </w:pPr>
            <w:r>
              <w:rPr>
                <w:rFonts w:hint="eastAsia" w:eastAsia="宋体"/>
                <w:sz w:val="18"/>
                <w:szCs w:val="18"/>
              </w:rPr>
              <w:t>四级喷淋</w:t>
            </w:r>
          </w:p>
        </w:tc>
        <w:tc>
          <w:tcPr>
            <w:tcW w:w="597" w:type="dxa"/>
            <w:vAlign w:val="center"/>
          </w:tcPr>
          <w:p>
            <w:pPr>
              <w:widowControl/>
              <w:ind w:left="-50" w:right="-50"/>
              <w:jc w:val="center"/>
              <w:rPr>
                <w:rFonts w:eastAsia="宋体"/>
                <w:sz w:val="18"/>
                <w:szCs w:val="18"/>
              </w:rPr>
            </w:pPr>
            <w:r>
              <w:rPr>
                <w:rFonts w:hint="eastAsia" w:eastAsia="宋体"/>
                <w:sz w:val="18"/>
                <w:szCs w:val="18"/>
              </w:rPr>
              <w:t>/</w:t>
            </w:r>
          </w:p>
        </w:tc>
        <w:tc>
          <w:tcPr>
            <w:tcW w:w="1019" w:type="dxa"/>
            <w:vAlign w:val="center"/>
          </w:tcPr>
          <w:p>
            <w:pPr>
              <w:widowControl/>
              <w:ind w:left="-50" w:right="-50"/>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2</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测试地点</w:t>
            </w:r>
          </w:p>
        </w:tc>
        <w:tc>
          <w:tcPr>
            <w:tcW w:w="892"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w:t>
            </w:r>
          </w:p>
        </w:tc>
        <w:tc>
          <w:tcPr>
            <w:tcW w:w="4210" w:type="dxa"/>
            <w:gridSpan w:val="4"/>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精整酸洗车间1#酸洗线酸雾</w:t>
            </w:r>
            <w:r>
              <w:rPr>
                <w:rFonts w:eastAsia="宋体"/>
                <w:bCs/>
                <w:kern w:val="0"/>
                <w:sz w:val="18"/>
                <w:szCs w:val="18"/>
              </w:rPr>
              <w:t>废气排放口</w:t>
            </w:r>
            <w:r>
              <w:rPr>
                <w:rFonts w:hint="eastAsia" w:eastAsia="宋体"/>
                <w:bCs/>
                <w:kern w:val="0"/>
                <w:sz w:val="18"/>
                <w:szCs w:val="18"/>
              </w:rPr>
              <w:t>DA006</w:t>
            </w:r>
          </w:p>
        </w:tc>
        <w:tc>
          <w:tcPr>
            <w:tcW w:w="597"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3</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测试时间</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w:t>
            </w:r>
          </w:p>
        </w:tc>
        <w:tc>
          <w:tcPr>
            <w:tcW w:w="127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2018.9.19</w:t>
            </w:r>
          </w:p>
        </w:tc>
        <w:tc>
          <w:tcPr>
            <w:tcW w:w="2939" w:type="dxa"/>
            <w:gridSpan w:val="3"/>
            <w:vAlign w:val="center"/>
          </w:tcPr>
          <w:p>
            <w:pPr>
              <w:spacing w:line="240" w:lineRule="exact"/>
              <w:ind w:left="-50" w:right="-50"/>
              <w:jc w:val="center"/>
              <w:rPr>
                <w:rFonts w:eastAsia="宋体"/>
                <w:bCs/>
                <w:kern w:val="0"/>
                <w:sz w:val="18"/>
                <w:szCs w:val="18"/>
              </w:rPr>
            </w:pPr>
            <w:r>
              <w:rPr>
                <w:rFonts w:hint="eastAsia" w:eastAsia="宋体"/>
                <w:bCs/>
                <w:kern w:val="0"/>
                <w:sz w:val="18"/>
                <w:szCs w:val="18"/>
              </w:rPr>
              <w:t>2018.11.3</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4</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排气筒高度</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m</w:t>
            </w:r>
          </w:p>
        </w:tc>
        <w:tc>
          <w:tcPr>
            <w:tcW w:w="4210" w:type="dxa"/>
            <w:gridSpan w:val="4"/>
            <w:vAlign w:val="center"/>
          </w:tcPr>
          <w:p>
            <w:pPr>
              <w:spacing w:line="240" w:lineRule="exact"/>
              <w:ind w:left="-50" w:right="-50"/>
              <w:jc w:val="center"/>
              <w:rPr>
                <w:rFonts w:eastAsia="宋体"/>
                <w:bCs/>
                <w:kern w:val="0"/>
                <w:sz w:val="18"/>
                <w:szCs w:val="18"/>
              </w:rPr>
            </w:pPr>
            <w:r>
              <w:rPr>
                <w:rFonts w:hint="eastAsia" w:eastAsia="宋体"/>
                <w:bCs/>
                <w:kern w:val="0"/>
                <w:sz w:val="18"/>
                <w:szCs w:val="18"/>
              </w:rPr>
              <w:t>25</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*5</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废气温度</w:t>
            </w:r>
          </w:p>
        </w:tc>
        <w:tc>
          <w:tcPr>
            <w:tcW w:w="892" w:type="dxa"/>
            <w:vAlign w:val="center"/>
          </w:tcPr>
          <w:p>
            <w:pPr>
              <w:widowControl/>
              <w:spacing w:line="240" w:lineRule="exact"/>
              <w:ind w:left="-50" w:right="-50"/>
              <w:jc w:val="center"/>
              <w:rPr>
                <w:rFonts w:eastAsia="宋体"/>
                <w:bCs/>
                <w:kern w:val="0"/>
                <w:sz w:val="18"/>
                <w:szCs w:val="18"/>
              </w:rPr>
            </w:pPr>
            <w:r>
              <w:rPr>
                <w:rFonts w:hint="eastAsia" w:ascii="宋体" w:hAnsi="宋体" w:eastAsia="宋体" w:cs="宋体"/>
                <w:sz w:val="18"/>
                <w:szCs w:val="18"/>
              </w:rPr>
              <w:t>℃</w:t>
            </w:r>
          </w:p>
        </w:tc>
        <w:tc>
          <w:tcPr>
            <w:tcW w:w="127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43</w:t>
            </w:r>
          </w:p>
        </w:tc>
        <w:tc>
          <w:tcPr>
            <w:tcW w:w="2939" w:type="dxa"/>
            <w:gridSpan w:val="3"/>
            <w:vAlign w:val="center"/>
          </w:tcPr>
          <w:p>
            <w:pPr>
              <w:spacing w:line="240" w:lineRule="exact"/>
              <w:ind w:left="-50" w:right="-50"/>
              <w:jc w:val="center"/>
              <w:rPr>
                <w:rFonts w:eastAsia="宋体"/>
                <w:bCs/>
                <w:kern w:val="0"/>
                <w:sz w:val="18"/>
                <w:szCs w:val="18"/>
              </w:rPr>
            </w:pPr>
            <w:r>
              <w:rPr>
                <w:rFonts w:hint="eastAsia" w:eastAsia="宋体"/>
                <w:bCs/>
                <w:kern w:val="0"/>
                <w:sz w:val="18"/>
                <w:szCs w:val="18"/>
              </w:rPr>
              <w:t>22</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*6</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废气流速</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m/s</w:t>
            </w:r>
          </w:p>
        </w:tc>
        <w:tc>
          <w:tcPr>
            <w:tcW w:w="127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19.8</w:t>
            </w:r>
          </w:p>
        </w:tc>
        <w:tc>
          <w:tcPr>
            <w:tcW w:w="113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21.1</w:t>
            </w:r>
          </w:p>
        </w:tc>
        <w:tc>
          <w:tcPr>
            <w:tcW w:w="95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16.5</w:t>
            </w:r>
          </w:p>
        </w:tc>
        <w:tc>
          <w:tcPr>
            <w:tcW w:w="85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19.3</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*7</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实测废气流量</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m</w:t>
            </w:r>
            <w:r>
              <w:rPr>
                <w:rFonts w:eastAsia="宋体"/>
                <w:sz w:val="18"/>
                <w:szCs w:val="18"/>
                <w:vertAlign w:val="superscript"/>
              </w:rPr>
              <w:t>3</w:t>
            </w:r>
            <w:r>
              <w:rPr>
                <w:rFonts w:eastAsia="宋体"/>
                <w:sz w:val="18"/>
                <w:szCs w:val="18"/>
              </w:rPr>
              <w:t>/h</w:t>
            </w:r>
          </w:p>
        </w:tc>
        <w:tc>
          <w:tcPr>
            <w:tcW w:w="127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2.01</w:t>
            </w:r>
            <w:r>
              <w:rPr>
                <w:rFonts w:eastAsia="宋体"/>
                <w:bCs/>
                <w:kern w:val="0"/>
                <w:sz w:val="18"/>
                <w:szCs w:val="18"/>
              </w:rPr>
              <w:t>×10</w:t>
            </w:r>
            <w:r>
              <w:rPr>
                <w:rFonts w:hint="eastAsia" w:eastAsia="宋体"/>
                <w:bCs/>
                <w:kern w:val="0"/>
                <w:sz w:val="18"/>
                <w:szCs w:val="18"/>
                <w:vertAlign w:val="superscript"/>
              </w:rPr>
              <w:t>4</w:t>
            </w:r>
          </w:p>
        </w:tc>
        <w:tc>
          <w:tcPr>
            <w:tcW w:w="113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1.49</w:t>
            </w:r>
            <w:r>
              <w:rPr>
                <w:rFonts w:eastAsia="宋体"/>
                <w:bCs/>
                <w:kern w:val="0"/>
                <w:sz w:val="18"/>
                <w:szCs w:val="18"/>
              </w:rPr>
              <w:t>×10</w:t>
            </w:r>
            <w:r>
              <w:rPr>
                <w:rFonts w:hint="eastAsia" w:eastAsia="宋体"/>
                <w:bCs/>
                <w:kern w:val="0"/>
                <w:sz w:val="18"/>
                <w:szCs w:val="18"/>
                <w:vertAlign w:val="superscript"/>
              </w:rPr>
              <w:t>4</w:t>
            </w:r>
          </w:p>
        </w:tc>
        <w:tc>
          <w:tcPr>
            <w:tcW w:w="95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1.17</w:t>
            </w:r>
            <w:r>
              <w:rPr>
                <w:rFonts w:eastAsia="宋体"/>
                <w:bCs/>
                <w:kern w:val="0"/>
                <w:sz w:val="18"/>
                <w:szCs w:val="18"/>
              </w:rPr>
              <w:t>×10</w:t>
            </w:r>
            <w:r>
              <w:rPr>
                <w:rFonts w:hint="eastAsia" w:eastAsia="宋体"/>
                <w:bCs/>
                <w:kern w:val="0"/>
                <w:sz w:val="18"/>
                <w:szCs w:val="18"/>
                <w:vertAlign w:val="superscript"/>
              </w:rPr>
              <w:t>4</w:t>
            </w:r>
          </w:p>
        </w:tc>
        <w:tc>
          <w:tcPr>
            <w:tcW w:w="85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1.36</w:t>
            </w:r>
            <w:r>
              <w:rPr>
                <w:rFonts w:eastAsia="宋体"/>
                <w:bCs/>
                <w:kern w:val="0"/>
                <w:sz w:val="18"/>
                <w:szCs w:val="18"/>
              </w:rPr>
              <w:t>×10</w:t>
            </w:r>
            <w:r>
              <w:rPr>
                <w:rFonts w:hint="eastAsia" w:eastAsia="宋体"/>
                <w:bCs/>
                <w:kern w:val="0"/>
                <w:sz w:val="18"/>
                <w:szCs w:val="18"/>
                <w:vertAlign w:val="superscript"/>
              </w:rPr>
              <w:t>4</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8</w:t>
            </w:r>
          </w:p>
        </w:tc>
        <w:tc>
          <w:tcPr>
            <w:tcW w:w="1718" w:type="dxa"/>
            <w:vAlign w:val="center"/>
          </w:tcPr>
          <w:p>
            <w:pPr>
              <w:widowControl/>
              <w:spacing w:line="240" w:lineRule="exact"/>
              <w:ind w:left="-50" w:right="-50"/>
              <w:jc w:val="center"/>
              <w:rPr>
                <w:rFonts w:eastAsia="宋体"/>
                <w:bCs/>
                <w:kern w:val="0"/>
                <w:sz w:val="18"/>
                <w:szCs w:val="18"/>
              </w:rPr>
            </w:pPr>
            <w:r>
              <w:rPr>
                <w:rFonts w:eastAsia="宋体"/>
                <w:sz w:val="18"/>
                <w:szCs w:val="18"/>
              </w:rPr>
              <w:t>标干态废气流量</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N.d.m</w:t>
            </w:r>
            <w:r>
              <w:rPr>
                <w:rFonts w:eastAsia="宋体"/>
                <w:sz w:val="18"/>
                <w:szCs w:val="18"/>
                <w:vertAlign w:val="superscript"/>
              </w:rPr>
              <w:t>3</w:t>
            </w:r>
            <w:r>
              <w:rPr>
                <w:rFonts w:eastAsia="宋体"/>
                <w:sz w:val="18"/>
                <w:szCs w:val="18"/>
              </w:rPr>
              <w:t>/h</w:t>
            </w:r>
          </w:p>
        </w:tc>
        <w:tc>
          <w:tcPr>
            <w:tcW w:w="127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1.64</w:t>
            </w:r>
            <w:r>
              <w:rPr>
                <w:rFonts w:eastAsia="宋体"/>
                <w:bCs/>
                <w:kern w:val="0"/>
                <w:sz w:val="18"/>
                <w:szCs w:val="18"/>
              </w:rPr>
              <w:t>×10</w:t>
            </w:r>
            <w:r>
              <w:rPr>
                <w:rFonts w:hint="eastAsia" w:eastAsia="宋体"/>
                <w:bCs/>
                <w:kern w:val="0"/>
                <w:sz w:val="18"/>
                <w:szCs w:val="18"/>
                <w:vertAlign w:val="superscript"/>
              </w:rPr>
              <w:t>4</w:t>
            </w:r>
          </w:p>
        </w:tc>
        <w:tc>
          <w:tcPr>
            <w:tcW w:w="113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1.21</w:t>
            </w:r>
            <w:r>
              <w:rPr>
                <w:rFonts w:eastAsia="宋体"/>
                <w:bCs/>
                <w:kern w:val="0"/>
                <w:sz w:val="18"/>
                <w:szCs w:val="18"/>
              </w:rPr>
              <w:t>×10</w:t>
            </w:r>
            <w:r>
              <w:rPr>
                <w:rFonts w:hint="eastAsia" w:eastAsia="宋体"/>
                <w:bCs/>
                <w:kern w:val="0"/>
                <w:sz w:val="18"/>
                <w:szCs w:val="18"/>
                <w:vertAlign w:val="superscript"/>
              </w:rPr>
              <w:t>4</w:t>
            </w:r>
          </w:p>
        </w:tc>
        <w:tc>
          <w:tcPr>
            <w:tcW w:w="951"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9.58</w:t>
            </w:r>
            <w:r>
              <w:rPr>
                <w:rFonts w:eastAsia="宋体"/>
                <w:bCs/>
                <w:kern w:val="0"/>
                <w:sz w:val="18"/>
                <w:szCs w:val="18"/>
              </w:rPr>
              <w:t>×10</w:t>
            </w:r>
            <w:r>
              <w:rPr>
                <w:rFonts w:hint="eastAsia" w:eastAsia="宋体"/>
                <w:bCs/>
                <w:kern w:val="0"/>
                <w:sz w:val="18"/>
                <w:szCs w:val="18"/>
                <w:vertAlign w:val="superscript"/>
              </w:rPr>
              <w:t>3</w:t>
            </w:r>
          </w:p>
        </w:tc>
        <w:tc>
          <w:tcPr>
            <w:tcW w:w="854"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1.12</w:t>
            </w:r>
            <w:r>
              <w:rPr>
                <w:rFonts w:eastAsia="宋体"/>
                <w:bCs/>
                <w:kern w:val="0"/>
                <w:sz w:val="18"/>
                <w:szCs w:val="18"/>
              </w:rPr>
              <w:t>×10</w:t>
            </w:r>
            <w:r>
              <w:rPr>
                <w:rFonts w:hint="eastAsia" w:eastAsia="宋体"/>
                <w:bCs/>
                <w:kern w:val="0"/>
                <w:sz w:val="18"/>
                <w:szCs w:val="18"/>
                <w:vertAlign w:val="superscript"/>
              </w:rPr>
              <w:t>4</w:t>
            </w:r>
          </w:p>
        </w:tc>
        <w:tc>
          <w:tcPr>
            <w:tcW w:w="597"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c>
          <w:tcPr>
            <w:tcW w:w="1019" w:type="dxa"/>
            <w:vAlign w:val="center"/>
          </w:tcPr>
          <w:p>
            <w:pPr>
              <w:spacing w:line="240" w:lineRule="exact"/>
              <w:ind w:left="-50" w:right="-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9</w:t>
            </w:r>
          </w:p>
        </w:tc>
        <w:tc>
          <w:tcPr>
            <w:tcW w:w="1718" w:type="dxa"/>
            <w:vAlign w:val="center"/>
          </w:tcPr>
          <w:p>
            <w:pPr>
              <w:widowControl/>
              <w:adjustRightInd w:val="0"/>
              <w:snapToGrid w:val="0"/>
              <w:spacing w:line="240" w:lineRule="exact"/>
              <w:ind w:left="-50" w:right="-50"/>
              <w:jc w:val="center"/>
              <w:rPr>
                <w:rFonts w:eastAsia="宋体"/>
                <w:kern w:val="0"/>
                <w:sz w:val="18"/>
                <w:szCs w:val="18"/>
              </w:rPr>
            </w:pPr>
            <w:r>
              <w:rPr>
                <w:rFonts w:hint="eastAsia" w:eastAsia="宋体"/>
                <w:sz w:val="18"/>
                <w:szCs w:val="18"/>
              </w:rPr>
              <w:t>氟化物</w:t>
            </w:r>
            <w:r>
              <w:rPr>
                <w:rFonts w:eastAsia="宋体"/>
                <w:sz w:val="18"/>
                <w:szCs w:val="18"/>
              </w:rPr>
              <w:t>排放浓度</w:t>
            </w:r>
          </w:p>
        </w:tc>
        <w:tc>
          <w:tcPr>
            <w:tcW w:w="892" w:type="dxa"/>
            <w:vAlign w:val="center"/>
          </w:tcPr>
          <w:p>
            <w:pPr>
              <w:widowControl/>
              <w:spacing w:line="240" w:lineRule="exact"/>
              <w:ind w:left="-50" w:right="-50"/>
              <w:jc w:val="center"/>
              <w:rPr>
                <w:rFonts w:eastAsia="宋体"/>
                <w:bCs/>
                <w:kern w:val="0"/>
                <w:sz w:val="18"/>
                <w:szCs w:val="18"/>
              </w:rPr>
            </w:pPr>
            <w:r>
              <w:rPr>
                <w:rFonts w:eastAsia="宋体"/>
                <w:sz w:val="18"/>
                <w:szCs w:val="18"/>
              </w:rPr>
              <w:t>mg/m</w:t>
            </w:r>
            <w:r>
              <w:rPr>
                <w:rFonts w:eastAsia="宋体"/>
                <w:sz w:val="18"/>
                <w:szCs w:val="18"/>
                <w:vertAlign w:val="superscript"/>
              </w:rPr>
              <w:t>3</w:t>
            </w:r>
          </w:p>
        </w:tc>
        <w:tc>
          <w:tcPr>
            <w:tcW w:w="1271" w:type="dxa"/>
            <w:vAlign w:val="center"/>
          </w:tcPr>
          <w:p>
            <w:pPr>
              <w:ind w:left="-50" w:right="-50"/>
              <w:jc w:val="center"/>
              <w:rPr>
                <w:rFonts w:eastAsia="宋体"/>
                <w:kern w:val="0"/>
                <w:sz w:val="18"/>
                <w:szCs w:val="18"/>
              </w:rPr>
            </w:pPr>
            <w:r>
              <w:rPr>
                <w:rFonts w:hint="eastAsia" w:eastAsia="宋体"/>
                <w:kern w:val="0"/>
                <w:sz w:val="18"/>
                <w:szCs w:val="18"/>
              </w:rPr>
              <w:t>0.341</w:t>
            </w:r>
          </w:p>
        </w:tc>
        <w:tc>
          <w:tcPr>
            <w:tcW w:w="1134" w:type="dxa"/>
            <w:vAlign w:val="center"/>
          </w:tcPr>
          <w:p>
            <w:pPr>
              <w:ind w:left="-50" w:right="-50"/>
              <w:jc w:val="center"/>
              <w:rPr>
                <w:rFonts w:eastAsia="宋体"/>
                <w:kern w:val="0"/>
                <w:sz w:val="18"/>
                <w:szCs w:val="18"/>
              </w:rPr>
            </w:pPr>
            <w:r>
              <w:rPr>
                <w:rFonts w:hint="eastAsia" w:eastAsia="宋体"/>
                <w:kern w:val="0"/>
                <w:sz w:val="18"/>
                <w:szCs w:val="18"/>
              </w:rPr>
              <w:t>3.89</w:t>
            </w:r>
          </w:p>
        </w:tc>
        <w:tc>
          <w:tcPr>
            <w:tcW w:w="951" w:type="dxa"/>
            <w:vAlign w:val="center"/>
          </w:tcPr>
          <w:p>
            <w:pPr>
              <w:ind w:left="-50" w:right="-50"/>
              <w:jc w:val="center"/>
              <w:rPr>
                <w:rFonts w:eastAsia="宋体"/>
                <w:kern w:val="0"/>
                <w:sz w:val="18"/>
                <w:szCs w:val="18"/>
              </w:rPr>
            </w:pPr>
            <w:r>
              <w:rPr>
                <w:rFonts w:hint="eastAsia" w:eastAsia="宋体"/>
                <w:kern w:val="0"/>
                <w:sz w:val="18"/>
                <w:szCs w:val="18"/>
              </w:rPr>
              <w:t>4.57</w:t>
            </w:r>
          </w:p>
        </w:tc>
        <w:tc>
          <w:tcPr>
            <w:tcW w:w="854" w:type="dxa"/>
            <w:vAlign w:val="center"/>
          </w:tcPr>
          <w:p>
            <w:pPr>
              <w:ind w:left="-50" w:right="-50"/>
              <w:jc w:val="center"/>
              <w:rPr>
                <w:rFonts w:eastAsia="宋体"/>
                <w:kern w:val="0"/>
                <w:sz w:val="18"/>
                <w:szCs w:val="18"/>
              </w:rPr>
            </w:pPr>
            <w:r>
              <w:rPr>
                <w:rFonts w:hint="eastAsia" w:eastAsia="宋体"/>
                <w:kern w:val="0"/>
                <w:sz w:val="18"/>
                <w:szCs w:val="18"/>
              </w:rPr>
              <w:t>2.50</w:t>
            </w:r>
          </w:p>
        </w:tc>
        <w:tc>
          <w:tcPr>
            <w:tcW w:w="597" w:type="dxa"/>
            <w:vAlign w:val="center"/>
          </w:tcPr>
          <w:p>
            <w:pPr>
              <w:ind w:left="-50" w:right="-50"/>
              <w:jc w:val="center"/>
              <w:rPr>
                <w:rFonts w:eastAsia="宋体"/>
                <w:kern w:val="0"/>
                <w:sz w:val="18"/>
                <w:szCs w:val="18"/>
              </w:rPr>
            </w:pPr>
            <w:r>
              <w:rPr>
                <w:rFonts w:hint="eastAsia" w:eastAsia="宋体"/>
                <w:kern w:val="0"/>
                <w:sz w:val="18"/>
                <w:szCs w:val="18"/>
              </w:rPr>
              <w:t>≤6</w:t>
            </w:r>
          </w:p>
        </w:tc>
        <w:tc>
          <w:tcPr>
            <w:tcW w:w="1019" w:type="dxa"/>
            <w:vAlign w:val="center"/>
          </w:tcPr>
          <w:p>
            <w:pPr>
              <w:ind w:left="-50" w:right="-50"/>
              <w:jc w:val="center"/>
              <w:rPr>
                <w:rFonts w:eastAsia="宋体"/>
                <w:kern w:val="0"/>
                <w:sz w:val="18"/>
                <w:szCs w:val="18"/>
              </w:rPr>
            </w:pPr>
            <w:r>
              <w:rPr>
                <w:rFonts w:hint="eastAsia" w:eastAsia="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10</w:t>
            </w:r>
          </w:p>
        </w:tc>
        <w:tc>
          <w:tcPr>
            <w:tcW w:w="1718" w:type="dxa"/>
            <w:vAlign w:val="center"/>
          </w:tcPr>
          <w:p>
            <w:pPr>
              <w:widowControl/>
              <w:adjustRightInd w:val="0"/>
              <w:snapToGrid w:val="0"/>
              <w:spacing w:line="240" w:lineRule="exact"/>
              <w:ind w:left="-50" w:right="-50"/>
              <w:jc w:val="center"/>
              <w:rPr>
                <w:rFonts w:eastAsia="宋体"/>
                <w:kern w:val="0"/>
                <w:sz w:val="18"/>
                <w:szCs w:val="18"/>
              </w:rPr>
            </w:pPr>
            <w:r>
              <w:rPr>
                <w:rFonts w:hint="eastAsia" w:eastAsia="宋体"/>
                <w:sz w:val="18"/>
                <w:szCs w:val="18"/>
              </w:rPr>
              <w:t>氟化物</w:t>
            </w:r>
            <w:r>
              <w:rPr>
                <w:rFonts w:eastAsia="宋体"/>
                <w:sz w:val="18"/>
                <w:szCs w:val="18"/>
              </w:rPr>
              <w:t>排放速率</w:t>
            </w:r>
          </w:p>
        </w:tc>
        <w:tc>
          <w:tcPr>
            <w:tcW w:w="892" w:type="dxa"/>
            <w:vAlign w:val="center"/>
          </w:tcPr>
          <w:p>
            <w:pPr>
              <w:widowControl/>
              <w:spacing w:line="240" w:lineRule="exact"/>
              <w:ind w:left="-50" w:right="-50"/>
              <w:jc w:val="center"/>
              <w:rPr>
                <w:rFonts w:eastAsia="宋体"/>
                <w:bCs/>
                <w:kern w:val="0"/>
                <w:sz w:val="18"/>
                <w:szCs w:val="18"/>
                <w:lang w:val="zh-CN"/>
              </w:rPr>
            </w:pPr>
            <w:r>
              <w:rPr>
                <w:rFonts w:eastAsia="宋体"/>
                <w:sz w:val="18"/>
                <w:szCs w:val="18"/>
              </w:rPr>
              <w:t>kg/h</w:t>
            </w:r>
          </w:p>
        </w:tc>
        <w:tc>
          <w:tcPr>
            <w:tcW w:w="1271" w:type="dxa"/>
            <w:vAlign w:val="center"/>
          </w:tcPr>
          <w:p>
            <w:pPr>
              <w:ind w:left="-50" w:right="-50"/>
              <w:jc w:val="center"/>
              <w:rPr>
                <w:rFonts w:eastAsia="宋体"/>
                <w:kern w:val="0"/>
                <w:sz w:val="18"/>
                <w:szCs w:val="18"/>
              </w:rPr>
            </w:pPr>
            <w:r>
              <w:rPr>
                <w:rFonts w:hint="eastAsia" w:eastAsia="宋体"/>
                <w:kern w:val="0"/>
                <w:sz w:val="18"/>
                <w:szCs w:val="18"/>
              </w:rPr>
              <w:t>0.00559</w:t>
            </w:r>
          </w:p>
        </w:tc>
        <w:tc>
          <w:tcPr>
            <w:tcW w:w="1134" w:type="dxa"/>
            <w:vAlign w:val="center"/>
          </w:tcPr>
          <w:p>
            <w:pPr>
              <w:ind w:left="-50" w:right="-50"/>
              <w:jc w:val="center"/>
              <w:rPr>
                <w:rFonts w:eastAsia="宋体"/>
                <w:kern w:val="0"/>
                <w:sz w:val="18"/>
                <w:szCs w:val="18"/>
              </w:rPr>
            </w:pPr>
            <w:r>
              <w:rPr>
                <w:rFonts w:hint="eastAsia" w:eastAsia="宋体"/>
                <w:kern w:val="0"/>
                <w:sz w:val="18"/>
                <w:szCs w:val="18"/>
              </w:rPr>
              <w:t>0.0467</w:t>
            </w:r>
          </w:p>
        </w:tc>
        <w:tc>
          <w:tcPr>
            <w:tcW w:w="951" w:type="dxa"/>
            <w:vAlign w:val="center"/>
          </w:tcPr>
          <w:p>
            <w:pPr>
              <w:ind w:left="-50" w:right="-50"/>
              <w:jc w:val="center"/>
              <w:rPr>
                <w:rFonts w:eastAsia="宋体"/>
                <w:kern w:val="0"/>
                <w:sz w:val="18"/>
                <w:szCs w:val="18"/>
              </w:rPr>
            </w:pPr>
            <w:r>
              <w:rPr>
                <w:rFonts w:hint="eastAsia" w:eastAsia="宋体"/>
                <w:kern w:val="0"/>
                <w:sz w:val="18"/>
                <w:szCs w:val="18"/>
              </w:rPr>
              <w:t>0.0454</w:t>
            </w:r>
          </w:p>
        </w:tc>
        <w:tc>
          <w:tcPr>
            <w:tcW w:w="854" w:type="dxa"/>
            <w:vAlign w:val="center"/>
          </w:tcPr>
          <w:p>
            <w:pPr>
              <w:ind w:left="-50" w:right="-50"/>
              <w:jc w:val="center"/>
              <w:rPr>
                <w:rFonts w:eastAsia="宋体"/>
                <w:kern w:val="0"/>
                <w:sz w:val="18"/>
                <w:szCs w:val="18"/>
              </w:rPr>
            </w:pPr>
            <w:r>
              <w:rPr>
                <w:rFonts w:hint="eastAsia" w:eastAsia="宋体"/>
                <w:kern w:val="0"/>
                <w:sz w:val="18"/>
                <w:szCs w:val="18"/>
              </w:rPr>
              <w:t>0.027</w:t>
            </w:r>
          </w:p>
        </w:tc>
        <w:tc>
          <w:tcPr>
            <w:tcW w:w="597" w:type="dxa"/>
            <w:vAlign w:val="center"/>
          </w:tcPr>
          <w:p>
            <w:pPr>
              <w:ind w:left="-50" w:right="-50"/>
              <w:jc w:val="center"/>
              <w:rPr>
                <w:rFonts w:eastAsia="宋体"/>
                <w:kern w:val="0"/>
                <w:sz w:val="18"/>
                <w:szCs w:val="18"/>
              </w:rPr>
            </w:pPr>
            <w:r>
              <w:rPr>
                <w:rFonts w:hint="eastAsia" w:eastAsia="宋体"/>
                <w:kern w:val="0"/>
                <w:sz w:val="18"/>
                <w:szCs w:val="18"/>
              </w:rPr>
              <w:t>/</w:t>
            </w:r>
          </w:p>
        </w:tc>
        <w:tc>
          <w:tcPr>
            <w:tcW w:w="1019" w:type="dxa"/>
            <w:vAlign w:val="center"/>
          </w:tcPr>
          <w:p>
            <w:pPr>
              <w:ind w:left="-50" w:right="-50"/>
              <w:jc w:val="center"/>
              <w:rPr>
                <w:rFonts w:eastAsia="宋体"/>
                <w:kern w:val="0"/>
                <w:sz w:val="18"/>
                <w:szCs w:val="18"/>
              </w:rPr>
            </w:pPr>
            <w:r>
              <w:rPr>
                <w:rFonts w:hint="eastAsia" w:eastAsia="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11</w:t>
            </w:r>
          </w:p>
        </w:tc>
        <w:tc>
          <w:tcPr>
            <w:tcW w:w="1718" w:type="dxa"/>
            <w:vAlign w:val="center"/>
          </w:tcPr>
          <w:p>
            <w:pPr>
              <w:widowControl/>
              <w:adjustRightInd w:val="0"/>
              <w:snapToGrid w:val="0"/>
              <w:spacing w:line="240" w:lineRule="exact"/>
              <w:ind w:left="-50" w:right="-50"/>
              <w:jc w:val="center"/>
              <w:rPr>
                <w:rFonts w:eastAsia="宋体"/>
                <w:sz w:val="18"/>
                <w:szCs w:val="18"/>
              </w:rPr>
            </w:pPr>
            <w:r>
              <w:rPr>
                <w:rFonts w:hint="eastAsia" w:eastAsia="宋体"/>
                <w:sz w:val="18"/>
                <w:szCs w:val="18"/>
              </w:rPr>
              <w:t>硫酸雾</w:t>
            </w:r>
            <w:r>
              <w:rPr>
                <w:rFonts w:eastAsia="宋体"/>
                <w:sz w:val="18"/>
                <w:szCs w:val="18"/>
              </w:rPr>
              <w:t>排放浓度</w:t>
            </w:r>
          </w:p>
        </w:tc>
        <w:tc>
          <w:tcPr>
            <w:tcW w:w="892" w:type="dxa"/>
            <w:vAlign w:val="center"/>
          </w:tcPr>
          <w:p>
            <w:pPr>
              <w:widowControl/>
              <w:spacing w:line="240" w:lineRule="exact"/>
              <w:ind w:left="-50" w:right="-50"/>
              <w:jc w:val="center"/>
              <w:rPr>
                <w:rFonts w:eastAsia="宋体"/>
                <w:sz w:val="18"/>
                <w:szCs w:val="18"/>
              </w:rPr>
            </w:pPr>
            <w:r>
              <w:rPr>
                <w:rFonts w:eastAsia="宋体"/>
                <w:sz w:val="18"/>
                <w:szCs w:val="18"/>
              </w:rPr>
              <w:t>mg/m</w:t>
            </w:r>
            <w:r>
              <w:rPr>
                <w:rFonts w:eastAsia="宋体"/>
                <w:sz w:val="18"/>
                <w:szCs w:val="18"/>
                <w:vertAlign w:val="superscript"/>
              </w:rPr>
              <w:t>3</w:t>
            </w:r>
          </w:p>
        </w:tc>
        <w:tc>
          <w:tcPr>
            <w:tcW w:w="1271" w:type="dxa"/>
            <w:vAlign w:val="center"/>
          </w:tcPr>
          <w:p>
            <w:pPr>
              <w:ind w:left="-50" w:right="-50"/>
              <w:jc w:val="center"/>
              <w:rPr>
                <w:rFonts w:eastAsia="宋体"/>
                <w:kern w:val="0"/>
                <w:sz w:val="18"/>
                <w:szCs w:val="18"/>
              </w:rPr>
            </w:pPr>
            <w:r>
              <w:rPr>
                <w:rFonts w:hint="eastAsia" w:eastAsia="宋体"/>
                <w:kern w:val="0"/>
                <w:sz w:val="18"/>
                <w:szCs w:val="18"/>
              </w:rPr>
              <w:t>0.716</w:t>
            </w:r>
          </w:p>
        </w:tc>
        <w:tc>
          <w:tcPr>
            <w:tcW w:w="1134" w:type="dxa"/>
            <w:vAlign w:val="center"/>
          </w:tcPr>
          <w:p>
            <w:pPr>
              <w:ind w:left="-50" w:right="-50"/>
              <w:jc w:val="center"/>
              <w:rPr>
                <w:rFonts w:eastAsia="宋体"/>
                <w:kern w:val="0"/>
                <w:sz w:val="18"/>
                <w:szCs w:val="18"/>
              </w:rPr>
            </w:pPr>
            <w:r>
              <w:rPr>
                <w:rFonts w:hint="eastAsia" w:eastAsia="宋体"/>
                <w:kern w:val="0"/>
                <w:sz w:val="18"/>
                <w:szCs w:val="18"/>
              </w:rPr>
              <w:t>6.49</w:t>
            </w:r>
          </w:p>
        </w:tc>
        <w:tc>
          <w:tcPr>
            <w:tcW w:w="951" w:type="dxa"/>
            <w:vAlign w:val="center"/>
          </w:tcPr>
          <w:p>
            <w:pPr>
              <w:ind w:left="-50" w:right="-50"/>
              <w:jc w:val="center"/>
              <w:rPr>
                <w:rFonts w:eastAsia="宋体"/>
                <w:kern w:val="0"/>
                <w:sz w:val="18"/>
                <w:szCs w:val="18"/>
              </w:rPr>
            </w:pPr>
            <w:r>
              <w:rPr>
                <w:rFonts w:hint="eastAsia" w:eastAsia="宋体"/>
                <w:kern w:val="0"/>
                <w:sz w:val="18"/>
                <w:szCs w:val="18"/>
              </w:rPr>
              <w:t>4.01</w:t>
            </w:r>
          </w:p>
        </w:tc>
        <w:tc>
          <w:tcPr>
            <w:tcW w:w="854" w:type="dxa"/>
            <w:vAlign w:val="center"/>
          </w:tcPr>
          <w:p>
            <w:pPr>
              <w:ind w:left="-50" w:right="-50"/>
              <w:jc w:val="center"/>
              <w:rPr>
                <w:rFonts w:eastAsia="宋体"/>
                <w:kern w:val="0"/>
                <w:sz w:val="18"/>
                <w:szCs w:val="18"/>
              </w:rPr>
            </w:pPr>
            <w:r>
              <w:rPr>
                <w:rFonts w:hint="eastAsia" w:eastAsia="宋体"/>
                <w:kern w:val="0"/>
                <w:sz w:val="18"/>
                <w:szCs w:val="18"/>
              </w:rPr>
              <w:t>4.04</w:t>
            </w:r>
          </w:p>
        </w:tc>
        <w:tc>
          <w:tcPr>
            <w:tcW w:w="597" w:type="dxa"/>
            <w:vAlign w:val="center"/>
          </w:tcPr>
          <w:p>
            <w:pPr>
              <w:ind w:left="-50" w:right="-50"/>
              <w:jc w:val="center"/>
              <w:rPr>
                <w:rFonts w:eastAsia="宋体"/>
                <w:kern w:val="0"/>
                <w:sz w:val="18"/>
                <w:szCs w:val="18"/>
              </w:rPr>
            </w:pPr>
            <w:r>
              <w:rPr>
                <w:rFonts w:hint="eastAsia" w:eastAsia="宋体"/>
                <w:kern w:val="0"/>
                <w:sz w:val="18"/>
                <w:szCs w:val="18"/>
              </w:rPr>
              <w:t>≤10</w:t>
            </w:r>
          </w:p>
        </w:tc>
        <w:tc>
          <w:tcPr>
            <w:tcW w:w="1019" w:type="dxa"/>
            <w:vAlign w:val="center"/>
          </w:tcPr>
          <w:p>
            <w:pPr>
              <w:ind w:left="-50" w:right="-50"/>
              <w:jc w:val="center"/>
              <w:rPr>
                <w:rFonts w:eastAsia="宋体"/>
                <w:kern w:val="0"/>
                <w:sz w:val="18"/>
                <w:szCs w:val="18"/>
              </w:rPr>
            </w:pPr>
            <w:r>
              <w:rPr>
                <w:rFonts w:hint="eastAsia" w:eastAsia="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12</w:t>
            </w:r>
          </w:p>
        </w:tc>
        <w:tc>
          <w:tcPr>
            <w:tcW w:w="1718" w:type="dxa"/>
            <w:vAlign w:val="center"/>
          </w:tcPr>
          <w:p>
            <w:pPr>
              <w:widowControl/>
              <w:adjustRightInd w:val="0"/>
              <w:snapToGrid w:val="0"/>
              <w:spacing w:line="240" w:lineRule="exact"/>
              <w:ind w:left="-50" w:right="-50"/>
              <w:jc w:val="center"/>
              <w:rPr>
                <w:rFonts w:eastAsia="宋体"/>
                <w:sz w:val="18"/>
                <w:szCs w:val="18"/>
              </w:rPr>
            </w:pPr>
            <w:r>
              <w:rPr>
                <w:rFonts w:hint="eastAsia" w:eastAsia="宋体"/>
                <w:sz w:val="18"/>
                <w:szCs w:val="18"/>
              </w:rPr>
              <w:t>硫酸雾</w:t>
            </w:r>
            <w:r>
              <w:rPr>
                <w:rFonts w:eastAsia="宋体"/>
                <w:sz w:val="18"/>
                <w:szCs w:val="18"/>
              </w:rPr>
              <w:t>排放速率</w:t>
            </w:r>
          </w:p>
        </w:tc>
        <w:tc>
          <w:tcPr>
            <w:tcW w:w="892" w:type="dxa"/>
            <w:vAlign w:val="center"/>
          </w:tcPr>
          <w:p>
            <w:pPr>
              <w:widowControl/>
              <w:spacing w:line="240" w:lineRule="exact"/>
              <w:ind w:left="-50" w:right="-50"/>
              <w:jc w:val="center"/>
              <w:rPr>
                <w:rFonts w:eastAsia="宋体"/>
                <w:sz w:val="18"/>
                <w:szCs w:val="18"/>
              </w:rPr>
            </w:pPr>
            <w:r>
              <w:rPr>
                <w:rFonts w:eastAsia="宋体"/>
                <w:sz w:val="18"/>
                <w:szCs w:val="18"/>
              </w:rPr>
              <w:t>kg/h</w:t>
            </w:r>
          </w:p>
        </w:tc>
        <w:tc>
          <w:tcPr>
            <w:tcW w:w="1271" w:type="dxa"/>
            <w:vAlign w:val="center"/>
          </w:tcPr>
          <w:p>
            <w:pPr>
              <w:ind w:left="-50" w:right="-50"/>
              <w:jc w:val="center"/>
              <w:rPr>
                <w:rFonts w:eastAsia="宋体"/>
                <w:kern w:val="0"/>
                <w:sz w:val="18"/>
                <w:szCs w:val="18"/>
              </w:rPr>
            </w:pPr>
            <w:r>
              <w:rPr>
                <w:rFonts w:hint="eastAsia" w:eastAsia="宋体"/>
                <w:kern w:val="0"/>
                <w:sz w:val="18"/>
                <w:szCs w:val="18"/>
              </w:rPr>
              <w:t>0.0117</w:t>
            </w:r>
          </w:p>
        </w:tc>
        <w:tc>
          <w:tcPr>
            <w:tcW w:w="1134" w:type="dxa"/>
            <w:vAlign w:val="center"/>
          </w:tcPr>
          <w:p>
            <w:pPr>
              <w:ind w:left="-50" w:right="-50"/>
              <w:jc w:val="center"/>
              <w:rPr>
                <w:rFonts w:eastAsia="宋体"/>
                <w:kern w:val="0"/>
                <w:sz w:val="18"/>
                <w:szCs w:val="18"/>
              </w:rPr>
            </w:pPr>
            <w:r>
              <w:rPr>
                <w:rFonts w:hint="eastAsia" w:eastAsia="宋体"/>
                <w:kern w:val="0"/>
                <w:sz w:val="18"/>
                <w:szCs w:val="18"/>
              </w:rPr>
              <w:t>0.0785</w:t>
            </w:r>
          </w:p>
        </w:tc>
        <w:tc>
          <w:tcPr>
            <w:tcW w:w="951" w:type="dxa"/>
            <w:vAlign w:val="center"/>
          </w:tcPr>
          <w:p>
            <w:pPr>
              <w:ind w:left="-50" w:right="-50"/>
              <w:jc w:val="center"/>
              <w:rPr>
                <w:rFonts w:eastAsia="宋体"/>
                <w:kern w:val="0"/>
                <w:sz w:val="18"/>
                <w:szCs w:val="18"/>
              </w:rPr>
            </w:pPr>
            <w:r>
              <w:rPr>
                <w:rFonts w:hint="eastAsia" w:eastAsia="宋体"/>
                <w:kern w:val="0"/>
                <w:sz w:val="18"/>
                <w:szCs w:val="18"/>
              </w:rPr>
              <w:t>0.0384</w:t>
            </w:r>
          </w:p>
        </w:tc>
        <w:tc>
          <w:tcPr>
            <w:tcW w:w="854" w:type="dxa"/>
            <w:vAlign w:val="center"/>
          </w:tcPr>
          <w:p>
            <w:pPr>
              <w:ind w:left="-50" w:right="-50"/>
              <w:jc w:val="center"/>
              <w:rPr>
                <w:rFonts w:eastAsia="宋体"/>
                <w:kern w:val="0"/>
                <w:sz w:val="18"/>
                <w:szCs w:val="18"/>
              </w:rPr>
            </w:pPr>
            <w:r>
              <w:rPr>
                <w:rFonts w:hint="eastAsia" w:eastAsia="宋体"/>
                <w:kern w:val="0"/>
                <w:sz w:val="18"/>
                <w:szCs w:val="18"/>
              </w:rPr>
              <w:t>0.0452</w:t>
            </w:r>
          </w:p>
        </w:tc>
        <w:tc>
          <w:tcPr>
            <w:tcW w:w="597" w:type="dxa"/>
            <w:vAlign w:val="center"/>
          </w:tcPr>
          <w:p>
            <w:pPr>
              <w:ind w:left="-50" w:right="-50"/>
              <w:jc w:val="center"/>
              <w:rPr>
                <w:rFonts w:eastAsia="宋体"/>
                <w:kern w:val="0"/>
                <w:sz w:val="18"/>
                <w:szCs w:val="18"/>
              </w:rPr>
            </w:pPr>
            <w:r>
              <w:rPr>
                <w:rFonts w:hint="eastAsia" w:eastAsia="宋体"/>
                <w:kern w:val="0"/>
                <w:sz w:val="18"/>
                <w:szCs w:val="18"/>
              </w:rPr>
              <w:t>/</w:t>
            </w:r>
          </w:p>
        </w:tc>
        <w:tc>
          <w:tcPr>
            <w:tcW w:w="1019" w:type="dxa"/>
            <w:vAlign w:val="center"/>
          </w:tcPr>
          <w:p>
            <w:pPr>
              <w:ind w:left="-50" w:right="-50"/>
              <w:jc w:val="center"/>
              <w:rPr>
                <w:rFonts w:eastAsia="宋体"/>
                <w:kern w:val="0"/>
                <w:sz w:val="18"/>
                <w:szCs w:val="18"/>
              </w:rPr>
            </w:pPr>
            <w:r>
              <w:rPr>
                <w:rFonts w:hint="eastAsia" w:eastAsia="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13</w:t>
            </w:r>
          </w:p>
        </w:tc>
        <w:tc>
          <w:tcPr>
            <w:tcW w:w="1718" w:type="dxa"/>
            <w:vAlign w:val="center"/>
          </w:tcPr>
          <w:p>
            <w:pPr>
              <w:widowControl/>
              <w:adjustRightInd w:val="0"/>
              <w:snapToGrid w:val="0"/>
              <w:spacing w:line="240" w:lineRule="exact"/>
              <w:ind w:left="-50" w:right="-50"/>
              <w:jc w:val="center"/>
              <w:rPr>
                <w:rFonts w:eastAsia="宋体"/>
                <w:sz w:val="18"/>
                <w:szCs w:val="18"/>
              </w:rPr>
            </w:pPr>
            <w:r>
              <w:rPr>
                <w:rFonts w:hint="eastAsia" w:eastAsia="宋体"/>
                <w:sz w:val="18"/>
                <w:szCs w:val="18"/>
              </w:rPr>
              <w:t>氮氧化物</w:t>
            </w:r>
            <w:r>
              <w:rPr>
                <w:rFonts w:eastAsia="宋体"/>
                <w:sz w:val="18"/>
                <w:szCs w:val="18"/>
              </w:rPr>
              <w:t>排放浓度</w:t>
            </w:r>
          </w:p>
        </w:tc>
        <w:tc>
          <w:tcPr>
            <w:tcW w:w="892" w:type="dxa"/>
            <w:vAlign w:val="center"/>
          </w:tcPr>
          <w:p>
            <w:pPr>
              <w:widowControl/>
              <w:spacing w:line="240" w:lineRule="exact"/>
              <w:ind w:left="-50" w:right="-50"/>
              <w:jc w:val="center"/>
              <w:rPr>
                <w:rFonts w:eastAsia="宋体"/>
                <w:sz w:val="18"/>
                <w:szCs w:val="18"/>
              </w:rPr>
            </w:pPr>
            <w:r>
              <w:rPr>
                <w:rFonts w:eastAsia="宋体"/>
                <w:sz w:val="18"/>
                <w:szCs w:val="18"/>
              </w:rPr>
              <w:t>mg/m</w:t>
            </w:r>
            <w:r>
              <w:rPr>
                <w:rFonts w:eastAsia="宋体"/>
                <w:sz w:val="18"/>
                <w:szCs w:val="18"/>
                <w:vertAlign w:val="superscript"/>
              </w:rPr>
              <w:t>3</w:t>
            </w:r>
          </w:p>
        </w:tc>
        <w:tc>
          <w:tcPr>
            <w:tcW w:w="1271" w:type="dxa"/>
            <w:vAlign w:val="center"/>
          </w:tcPr>
          <w:p>
            <w:pPr>
              <w:ind w:left="-50" w:right="-50"/>
              <w:jc w:val="center"/>
              <w:rPr>
                <w:rFonts w:eastAsia="宋体"/>
                <w:kern w:val="0"/>
                <w:sz w:val="18"/>
                <w:szCs w:val="18"/>
              </w:rPr>
            </w:pPr>
            <w:r>
              <w:rPr>
                <w:rFonts w:hint="eastAsia" w:eastAsia="宋体"/>
                <w:kern w:val="0"/>
                <w:sz w:val="18"/>
                <w:szCs w:val="18"/>
              </w:rPr>
              <w:t>0.088</w:t>
            </w:r>
          </w:p>
        </w:tc>
        <w:tc>
          <w:tcPr>
            <w:tcW w:w="1134" w:type="dxa"/>
            <w:vAlign w:val="center"/>
          </w:tcPr>
          <w:p>
            <w:pPr>
              <w:ind w:left="-50" w:right="-50"/>
              <w:jc w:val="center"/>
              <w:rPr>
                <w:rFonts w:eastAsia="宋体"/>
                <w:kern w:val="0"/>
                <w:sz w:val="18"/>
                <w:szCs w:val="18"/>
              </w:rPr>
            </w:pPr>
            <w:r>
              <w:rPr>
                <w:rFonts w:hint="eastAsia" w:eastAsia="宋体"/>
                <w:kern w:val="0"/>
                <w:sz w:val="18"/>
                <w:szCs w:val="18"/>
              </w:rPr>
              <w:t>1.84</w:t>
            </w:r>
          </w:p>
        </w:tc>
        <w:tc>
          <w:tcPr>
            <w:tcW w:w="951" w:type="dxa"/>
            <w:vAlign w:val="center"/>
          </w:tcPr>
          <w:p>
            <w:pPr>
              <w:ind w:left="-50" w:right="-50"/>
              <w:jc w:val="center"/>
              <w:rPr>
                <w:rFonts w:eastAsia="宋体"/>
                <w:kern w:val="0"/>
                <w:sz w:val="18"/>
                <w:szCs w:val="18"/>
              </w:rPr>
            </w:pPr>
            <w:r>
              <w:rPr>
                <w:rFonts w:hint="eastAsia" w:eastAsia="宋体"/>
                <w:kern w:val="0"/>
                <w:sz w:val="18"/>
                <w:szCs w:val="18"/>
              </w:rPr>
              <w:t>1.33</w:t>
            </w:r>
          </w:p>
        </w:tc>
        <w:tc>
          <w:tcPr>
            <w:tcW w:w="854" w:type="dxa"/>
            <w:vAlign w:val="center"/>
          </w:tcPr>
          <w:p>
            <w:pPr>
              <w:ind w:left="-50" w:right="-50"/>
              <w:jc w:val="center"/>
              <w:rPr>
                <w:rFonts w:eastAsia="宋体"/>
                <w:kern w:val="0"/>
                <w:sz w:val="18"/>
                <w:szCs w:val="18"/>
              </w:rPr>
            </w:pPr>
            <w:r>
              <w:rPr>
                <w:rFonts w:hint="eastAsia" w:eastAsia="宋体"/>
                <w:kern w:val="0"/>
                <w:sz w:val="18"/>
                <w:szCs w:val="18"/>
              </w:rPr>
              <w:t>1.32</w:t>
            </w:r>
          </w:p>
        </w:tc>
        <w:tc>
          <w:tcPr>
            <w:tcW w:w="597" w:type="dxa"/>
            <w:vAlign w:val="center"/>
          </w:tcPr>
          <w:p>
            <w:pPr>
              <w:ind w:left="-50" w:right="-50"/>
              <w:jc w:val="center"/>
              <w:rPr>
                <w:rFonts w:eastAsia="宋体"/>
                <w:kern w:val="0"/>
                <w:sz w:val="18"/>
                <w:szCs w:val="18"/>
              </w:rPr>
            </w:pPr>
            <w:r>
              <w:rPr>
                <w:rFonts w:hint="eastAsia" w:eastAsia="宋体"/>
                <w:kern w:val="0"/>
                <w:sz w:val="18"/>
                <w:szCs w:val="18"/>
              </w:rPr>
              <w:t>≤150</w:t>
            </w:r>
          </w:p>
        </w:tc>
        <w:tc>
          <w:tcPr>
            <w:tcW w:w="1019" w:type="dxa"/>
            <w:vAlign w:val="center"/>
          </w:tcPr>
          <w:p>
            <w:pPr>
              <w:ind w:left="-50" w:right="-50"/>
              <w:jc w:val="center"/>
              <w:rPr>
                <w:rFonts w:eastAsia="宋体"/>
                <w:kern w:val="0"/>
                <w:sz w:val="18"/>
                <w:szCs w:val="18"/>
              </w:rPr>
            </w:pPr>
            <w:r>
              <w:rPr>
                <w:rFonts w:hint="eastAsia" w:eastAsia="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65" w:type="dxa"/>
            <w:vAlign w:val="center"/>
          </w:tcPr>
          <w:p>
            <w:pPr>
              <w:widowControl/>
              <w:spacing w:line="240" w:lineRule="exact"/>
              <w:ind w:left="-50" w:right="-50"/>
              <w:jc w:val="center"/>
              <w:rPr>
                <w:rFonts w:eastAsia="宋体"/>
                <w:bCs/>
                <w:kern w:val="0"/>
                <w:sz w:val="18"/>
                <w:szCs w:val="18"/>
              </w:rPr>
            </w:pPr>
            <w:r>
              <w:rPr>
                <w:rFonts w:hint="eastAsia" w:eastAsia="宋体"/>
                <w:bCs/>
                <w:kern w:val="0"/>
                <w:sz w:val="18"/>
                <w:szCs w:val="18"/>
              </w:rPr>
              <w:t>14</w:t>
            </w:r>
          </w:p>
        </w:tc>
        <w:tc>
          <w:tcPr>
            <w:tcW w:w="1718" w:type="dxa"/>
            <w:vAlign w:val="center"/>
          </w:tcPr>
          <w:p>
            <w:pPr>
              <w:widowControl/>
              <w:adjustRightInd w:val="0"/>
              <w:snapToGrid w:val="0"/>
              <w:spacing w:line="240" w:lineRule="exact"/>
              <w:ind w:left="-50" w:right="-50"/>
              <w:jc w:val="center"/>
              <w:rPr>
                <w:rFonts w:eastAsia="宋体"/>
                <w:sz w:val="18"/>
                <w:szCs w:val="18"/>
              </w:rPr>
            </w:pPr>
            <w:r>
              <w:rPr>
                <w:rFonts w:hint="eastAsia" w:eastAsia="宋体"/>
                <w:sz w:val="18"/>
                <w:szCs w:val="18"/>
              </w:rPr>
              <w:t>氮氧化物</w:t>
            </w:r>
            <w:r>
              <w:rPr>
                <w:rFonts w:eastAsia="宋体"/>
                <w:sz w:val="18"/>
                <w:szCs w:val="18"/>
              </w:rPr>
              <w:t>排放速率</w:t>
            </w:r>
          </w:p>
        </w:tc>
        <w:tc>
          <w:tcPr>
            <w:tcW w:w="892" w:type="dxa"/>
            <w:vAlign w:val="center"/>
          </w:tcPr>
          <w:p>
            <w:pPr>
              <w:widowControl/>
              <w:spacing w:line="240" w:lineRule="exact"/>
              <w:ind w:left="-50" w:right="-50"/>
              <w:jc w:val="center"/>
              <w:rPr>
                <w:rFonts w:eastAsia="宋体"/>
                <w:sz w:val="18"/>
                <w:szCs w:val="18"/>
              </w:rPr>
            </w:pPr>
            <w:r>
              <w:rPr>
                <w:rFonts w:eastAsia="宋体"/>
                <w:sz w:val="18"/>
                <w:szCs w:val="18"/>
              </w:rPr>
              <w:t>kg/h</w:t>
            </w:r>
          </w:p>
        </w:tc>
        <w:tc>
          <w:tcPr>
            <w:tcW w:w="1271" w:type="dxa"/>
            <w:vAlign w:val="center"/>
          </w:tcPr>
          <w:p>
            <w:pPr>
              <w:ind w:left="-50" w:right="-50"/>
              <w:jc w:val="center"/>
              <w:rPr>
                <w:rFonts w:eastAsia="宋体"/>
                <w:kern w:val="0"/>
                <w:sz w:val="18"/>
                <w:szCs w:val="18"/>
              </w:rPr>
            </w:pPr>
            <w:r>
              <w:rPr>
                <w:rFonts w:hint="eastAsia" w:eastAsia="宋体"/>
                <w:kern w:val="0"/>
                <w:sz w:val="18"/>
                <w:szCs w:val="18"/>
              </w:rPr>
              <w:t>0.00144</w:t>
            </w:r>
          </w:p>
        </w:tc>
        <w:tc>
          <w:tcPr>
            <w:tcW w:w="1134" w:type="dxa"/>
            <w:vAlign w:val="center"/>
          </w:tcPr>
          <w:p>
            <w:pPr>
              <w:ind w:left="-50" w:right="-50"/>
              <w:jc w:val="center"/>
              <w:rPr>
                <w:rFonts w:eastAsia="宋体"/>
                <w:kern w:val="0"/>
                <w:sz w:val="18"/>
                <w:szCs w:val="18"/>
              </w:rPr>
            </w:pPr>
            <w:r>
              <w:rPr>
                <w:rFonts w:hint="eastAsia" w:eastAsia="宋体"/>
                <w:kern w:val="0"/>
                <w:sz w:val="18"/>
                <w:szCs w:val="18"/>
              </w:rPr>
              <w:t>0.0223</w:t>
            </w:r>
          </w:p>
        </w:tc>
        <w:tc>
          <w:tcPr>
            <w:tcW w:w="951" w:type="dxa"/>
            <w:vAlign w:val="center"/>
          </w:tcPr>
          <w:p>
            <w:pPr>
              <w:ind w:left="-50" w:right="-50"/>
              <w:jc w:val="center"/>
              <w:rPr>
                <w:rFonts w:eastAsia="宋体"/>
                <w:kern w:val="0"/>
                <w:sz w:val="18"/>
                <w:szCs w:val="18"/>
              </w:rPr>
            </w:pPr>
            <w:r>
              <w:rPr>
                <w:rFonts w:hint="eastAsia" w:eastAsia="宋体"/>
                <w:kern w:val="0"/>
                <w:sz w:val="18"/>
                <w:szCs w:val="18"/>
              </w:rPr>
              <w:t>0.0127</w:t>
            </w:r>
          </w:p>
        </w:tc>
        <w:tc>
          <w:tcPr>
            <w:tcW w:w="854" w:type="dxa"/>
            <w:vAlign w:val="center"/>
          </w:tcPr>
          <w:p>
            <w:pPr>
              <w:ind w:left="-50" w:right="-50"/>
              <w:jc w:val="center"/>
              <w:rPr>
                <w:rFonts w:eastAsia="宋体"/>
                <w:kern w:val="0"/>
                <w:sz w:val="18"/>
                <w:szCs w:val="18"/>
              </w:rPr>
            </w:pPr>
            <w:r>
              <w:rPr>
                <w:rFonts w:hint="eastAsia" w:eastAsia="宋体"/>
                <w:kern w:val="0"/>
                <w:sz w:val="18"/>
                <w:szCs w:val="18"/>
              </w:rPr>
              <w:t>0.0148</w:t>
            </w:r>
          </w:p>
        </w:tc>
        <w:tc>
          <w:tcPr>
            <w:tcW w:w="597" w:type="dxa"/>
            <w:vAlign w:val="center"/>
          </w:tcPr>
          <w:p>
            <w:pPr>
              <w:ind w:left="-50" w:right="-50"/>
              <w:jc w:val="center"/>
              <w:rPr>
                <w:rFonts w:eastAsia="宋体"/>
                <w:kern w:val="0"/>
                <w:sz w:val="18"/>
                <w:szCs w:val="18"/>
              </w:rPr>
            </w:pPr>
            <w:r>
              <w:rPr>
                <w:rFonts w:hint="eastAsia" w:eastAsia="宋体"/>
                <w:kern w:val="0"/>
                <w:sz w:val="18"/>
                <w:szCs w:val="18"/>
              </w:rPr>
              <w:t>/</w:t>
            </w:r>
          </w:p>
        </w:tc>
        <w:tc>
          <w:tcPr>
            <w:tcW w:w="1019" w:type="dxa"/>
            <w:vAlign w:val="center"/>
          </w:tcPr>
          <w:p>
            <w:pPr>
              <w:ind w:left="-50" w:right="-50"/>
              <w:jc w:val="center"/>
              <w:rPr>
                <w:rFonts w:eastAsia="宋体"/>
                <w:kern w:val="0"/>
                <w:sz w:val="18"/>
                <w:szCs w:val="18"/>
              </w:rPr>
            </w:pPr>
            <w:r>
              <w:rPr>
                <w:rFonts w:hint="eastAsia" w:eastAsia="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9"/>
            <w:vAlign w:val="center"/>
          </w:tcPr>
          <w:p>
            <w:pPr>
              <w:widowControl/>
              <w:spacing w:line="240" w:lineRule="exact"/>
              <w:ind w:left="-50" w:right="-50"/>
              <w:jc w:val="left"/>
              <w:rPr>
                <w:rFonts w:eastAsia="宋体"/>
                <w:bCs/>
                <w:kern w:val="0"/>
                <w:sz w:val="18"/>
                <w:szCs w:val="18"/>
              </w:rPr>
            </w:pPr>
            <w:r>
              <w:rPr>
                <w:rFonts w:eastAsia="宋体"/>
                <w:bCs/>
                <w:kern w:val="0"/>
                <w:sz w:val="18"/>
                <w:szCs w:val="18"/>
              </w:rPr>
              <w:t>注：</w:t>
            </w:r>
            <w:r>
              <w:rPr>
                <w:rFonts w:eastAsia="宋体"/>
                <w:bCs/>
                <w:kern w:val="0"/>
                <w:sz w:val="18"/>
                <w:szCs w:val="18"/>
                <w:lang w:val="zh-CN"/>
              </w:rPr>
              <w:t xml:space="preserve">有*为现场测试值 </w:t>
            </w:r>
          </w:p>
        </w:tc>
      </w:tr>
    </w:tbl>
    <w:p>
      <w:pPr>
        <w:pStyle w:val="4"/>
        <w:rPr>
          <w:rFonts w:ascii="Times New Roman" w:hAnsi="Times New Roman" w:cs="Times New Roman"/>
          <w:spacing w:val="0"/>
        </w:rPr>
      </w:pPr>
      <w:r>
        <w:rPr>
          <w:rFonts w:hint="eastAsia" w:ascii="Times New Roman" w:hAnsi="Times New Roman" w:cs="Times New Roman"/>
          <w:spacing w:val="0"/>
        </w:rPr>
        <w:t>2#酸洗线混酸酸雾净化装置排气筒DA008出口监测结果详见表3-</w:t>
      </w:r>
      <w:r>
        <w:rPr>
          <w:rFonts w:ascii="Times New Roman" w:hAnsi="Times New Roman" w:cs="Times New Roman"/>
          <w:spacing w:val="0"/>
        </w:rPr>
        <w:t>23</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2#酸洗线混酸酸雾废气排放口</w:t>
      </w:r>
      <w:r>
        <w:rPr>
          <w:rFonts w:hint="eastAsia" w:ascii="Times New Roman" w:hAnsi="Times New Roman"/>
        </w:rPr>
        <w:t>检测结果</w:t>
      </w:r>
    </w:p>
    <w:tbl>
      <w:tblPr>
        <w:tblStyle w:val="87"/>
        <w:tblpPr w:leftFromText="181" w:rightFromText="181" w:vertAnchor="text" w:tblpXSpec="center" w:tblpY="1"/>
        <w:tblOverlap w:val="never"/>
        <w:tblW w:w="8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2073"/>
        <w:gridCol w:w="836"/>
        <w:gridCol w:w="1244"/>
        <w:gridCol w:w="1132"/>
        <w:gridCol w:w="901"/>
        <w:gridCol w:w="696"/>
        <w:gridCol w:w="694"/>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kern w:val="0"/>
                <w:sz w:val="18"/>
                <w:szCs w:val="18"/>
              </w:rPr>
            </w:pPr>
            <w:r>
              <w:rPr>
                <w:rFonts w:eastAsia="宋体"/>
                <w:sz w:val="18"/>
                <w:szCs w:val="18"/>
              </w:rPr>
              <w:t>序号</w:t>
            </w:r>
          </w:p>
        </w:tc>
        <w:tc>
          <w:tcPr>
            <w:tcW w:w="2073" w:type="dxa"/>
            <w:vAlign w:val="center"/>
          </w:tcPr>
          <w:p>
            <w:pPr>
              <w:widowControl/>
              <w:spacing w:line="240" w:lineRule="exact"/>
              <w:ind w:left="-141" w:leftChars="-50" w:right="-141" w:rightChars="-50"/>
              <w:jc w:val="center"/>
              <w:rPr>
                <w:rFonts w:eastAsia="宋体"/>
                <w:kern w:val="0"/>
                <w:sz w:val="18"/>
                <w:szCs w:val="18"/>
              </w:rPr>
            </w:pPr>
            <w:r>
              <w:rPr>
                <w:rFonts w:eastAsia="宋体"/>
                <w:sz w:val="18"/>
                <w:szCs w:val="18"/>
              </w:rPr>
              <w:t>项目</w:t>
            </w:r>
          </w:p>
        </w:tc>
        <w:tc>
          <w:tcPr>
            <w:tcW w:w="836" w:type="dxa"/>
            <w:vAlign w:val="center"/>
          </w:tcPr>
          <w:p>
            <w:pPr>
              <w:widowControl/>
              <w:spacing w:line="240" w:lineRule="exact"/>
              <w:ind w:left="-141" w:leftChars="-50" w:right="-141" w:rightChars="-50"/>
              <w:jc w:val="center"/>
              <w:rPr>
                <w:rFonts w:eastAsia="宋体"/>
                <w:kern w:val="0"/>
                <w:sz w:val="18"/>
                <w:szCs w:val="18"/>
              </w:rPr>
            </w:pPr>
            <w:r>
              <w:rPr>
                <w:rFonts w:eastAsia="宋体"/>
                <w:sz w:val="18"/>
                <w:szCs w:val="18"/>
              </w:rPr>
              <w:t>单位</w:t>
            </w:r>
          </w:p>
        </w:tc>
        <w:tc>
          <w:tcPr>
            <w:tcW w:w="3973" w:type="dxa"/>
            <w:gridSpan w:val="4"/>
            <w:vAlign w:val="center"/>
          </w:tcPr>
          <w:p>
            <w:pPr>
              <w:widowControl/>
              <w:spacing w:line="240" w:lineRule="exact"/>
              <w:ind w:left="-141" w:leftChars="-50" w:right="-141" w:rightChars="-50"/>
              <w:jc w:val="center"/>
              <w:rPr>
                <w:rFonts w:eastAsia="宋体"/>
                <w:kern w:val="0"/>
                <w:sz w:val="18"/>
                <w:szCs w:val="18"/>
              </w:rPr>
            </w:pPr>
            <w:r>
              <w:rPr>
                <w:rFonts w:eastAsia="宋体"/>
                <w:sz w:val="18"/>
                <w:szCs w:val="18"/>
              </w:rPr>
              <w:t>检测结果</w:t>
            </w:r>
          </w:p>
        </w:tc>
        <w:tc>
          <w:tcPr>
            <w:tcW w:w="694" w:type="dxa"/>
            <w:vAlign w:val="center"/>
          </w:tcPr>
          <w:p>
            <w:pPr>
              <w:widowControl/>
              <w:spacing w:line="240" w:lineRule="exact"/>
              <w:ind w:left="-141" w:leftChars="-50" w:right="-141" w:rightChars="-50"/>
              <w:jc w:val="center"/>
              <w:rPr>
                <w:rFonts w:eastAsia="宋体"/>
                <w:kern w:val="0"/>
                <w:sz w:val="18"/>
                <w:szCs w:val="18"/>
              </w:rPr>
            </w:pPr>
            <w:r>
              <w:rPr>
                <w:rFonts w:hint="eastAsia" w:eastAsia="宋体"/>
                <w:kern w:val="0"/>
                <w:sz w:val="18"/>
                <w:szCs w:val="18"/>
              </w:rPr>
              <w:t>标准值</w:t>
            </w:r>
          </w:p>
        </w:tc>
        <w:tc>
          <w:tcPr>
            <w:tcW w:w="649" w:type="dxa"/>
            <w:vAlign w:val="center"/>
          </w:tcPr>
          <w:p>
            <w:pPr>
              <w:widowControl/>
              <w:spacing w:line="240" w:lineRule="exact"/>
              <w:ind w:left="-141" w:leftChars="-50" w:right="-141" w:rightChars="-50"/>
              <w:jc w:val="center"/>
              <w:rPr>
                <w:rFonts w:eastAsia="宋体"/>
                <w:kern w:val="0"/>
                <w:sz w:val="18"/>
                <w:szCs w:val="18"/>
              </w:rPr>
            </w:pPr>
            <w:r>
              <w:rPr>
                <w:rFonts w:hint="eastAsia" w:eastAsia="宋体"/>
                <w:kern w:val="0"/>
                <w:sz w:val="18"/>
                <w:szCs w:val="18"/>
              </w:rPr>
              <w:t>是否</w:t>
            </w:r>
          </w:p>
          <w:p>
            <w:pPr>
              <w:widowControl/>
              <w:spacing w:line="240" w:lineRule="exact"/>
              <w:ind w:left="-141" w:leftChars="-50" w:right="-141" w:rightChars="-50"/>
              <w:jc w:val="center"/>
              <w:rPr>
                <w:rFonts w:eastAsia="宋体"/>
                <w:kern w:val="0"/>
                <w:sz w:val="18"/>
                <w:szCs w:val="18"/>
              </w:rPr>
            </w:pPr>
            <w:r>
              <w:rPr>
                <w:rFonts w:hint="eastAsia" w:eastAsia="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ind w:left="-141" w:leftChars="-50" w:right="-141" w:rightChars="-50"/>
              <w:jc w:val="center"/>
              <w:rPr>
                <w:rFonts w:eastAsia="宋体"/>
                <w:sz w:val="18"/>
                <w:szCs w:val="18"/>
              </w:rPr>
            </w:pPr>
          </w:p>
        </w:tc>
        <w:tc>
          <w:tcPr>
            <w:tcW w:w="2073" w:type="dxa"/>
            <w:vAlign w:val="center"/>
          </w:tcPr>
          <w:p>
            <w:pPr>
              <w:widowControl/>
              <w:ind w:left="-141" w:leftChars="-50" w:right="-141" w:rightChars="-50"/>
              <w:jc w:val="center"/>
              <w:rPr>
                <w:rFonts w:eastAsia="宋体"/>
                <w:sz w:val="18"/>
                <w:szCs w:val="18"/>
              </w:rPr>
            </w:pPr>
            <w:r>
              <w:rPr>
                <w:rFonts w:hint="eastAsia" w:eastAsia="宋体"/>
                <w:sz w:val="18"/>
                <w:szCs w:val="18"/>
              </w:rPr>
              <w:t>净化设施</w:t>
            </w:r>
          </w:p>
        </w:tc>
        <w:tc>
          <w:tcPr>
            <w:tcW w:w="836" w:type="dxa"/>
            <w:vAlign w:val="center"/>
          </w:tcPr>
          <w:p>
            <w:pPr>
              <w:widowControl/>
              <w:ind w:left="-141" w:leftChars="-50" w:right="-141" w:rightChars="-50"/>
              <w:jc w:val="center"/>
              <w:rPr>
                <w:rFonts w:eastAsia="宋体"/>
                <w:sz w:val="18"/>
                <w:szCs w:val="18"/>
              </w:rPr>
            </w:pPr>
            <w:r>
              <w:rPr>
                <w:rFonts w:hint="eastAsia" w:eastAsia="宋体"/>
                <w:sz w:val="18"/>
                <w:szCs w:val="18"/>
              </w:rPr>
              <w:t>/</w:t>
            </w:r>
          </w:p>
        </w:tc>
        <w:tc>
          <w:tcPr>
            <w:tcW w:w="3973" w:type="dxa"/>
            <w:gridSpan w:val="4"/>
            <w:vAlign w:val="center"/>
          </w:tcPr>
          <w:p>
            <w:pPr>
              <w:widowControl/>
              <w:ind w:left="-141" w:leftChars="-50" w:right="-141" w:rightChars="-50"/>
              <w:jc w:val="center"/>
              <w:rPr>
                <w:rFonts w:eastAsia="宋体"/>
                <w:sz w:val="18"/>
                <w:szCs w:val="18"/>
              </w:rPr>
            </w:pPr>
            <w:r>
              <w:rPr>
                <w:rFonts w:hint="eastAsia" w:eastAsia="宋体"/>
                <w:sz w:val="18"/>
                <w:szCs w:val="18"/>
              </w:rPr>
              <w:t>SCR+喷淋</w:t>
            </w:r>
          </w:p>
        </w:tc>
        <w:tc>
          <w:tcPr>
            <w:tcW w:w="694" w:type="dxa"/>
            <w:vAlign w:val="center"/>
          </w:tcPr>
          <w:p>
            <w:pPr>
              <w:widowControl/>
              <w:ind w:left="-141" w:leftChars="-50" w:right="-141" w:rightChars="-50"/>
              <w:jc w:val="center"/>
              <w:rPr>
                <w:rFonts w:eastAsia="宋体"/>
                <w:sz w:val="18"/>
                <w:szCs w:val="18"/>
              </w:rPr>
            </w:pPr>
            <w:r>
              <w:rPr>
                <w:rFonts w:hint="eastAsia" w:eastAsia="宋体"/>
                <w:sz w:val="18"/>
                <w:szCs w:val="18"/>
              </w:rPr>
              <w:t>/</w:t>
            </w:r>
          </w:p>
        </w:tc>
        <w:tc>
          <w:tcPr>
            <w:tcW w:w="649" w:type="dxa"/>
            <w:vAlign w:val="center"/>
          </w:tcPr>
          <w:p>
            <w:pPr>
              <w:widowControl/>
              <w:ind w:left="-141" w:leftChars="-50" w:right="-141" w:rightChars="-50"/>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1</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测试地点</w:t>
            </w:r>
          </w:p>
        </w:tc>
        <w:tc>
          <w:tcPr>
            <w:tcW w:w="836"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w:t>
            </w:r>
          </w:p>
        </w:tc>
        <w:tc>
          <w:tcPr>
            <w:tcW w:w="3973" w:type="dxa"/>
            <w:gridSpan w:val="4"/>
            <w:vAlign w:val="center"/>
          </w:tcPr>
          <w:p>
            <w:pPr>
              <w:widowControl/>
              <w:spacing w:line="240" w:lineRule="exact"/>
              <w:ind w:left="-141" w:leftChars="-50" w:right="-141" w:rightChars="-50"/>
              <w:jc w:val="center"/>
              <w:rPr>
                <w:rFonts w:eastAsia="宋体"/>
                <w:bCs/>
                <w:kern w:val="0"/>
                <w:sz w:val="18"/>
                <w:szCs w:val="18"/>
              </w:rPr>
            </w:pPr>
            <w:r>
              <w:rPr>
                <w:rFonts w:hint="eastAsia" w:eastAsia="宋体"/>
                <w:bCs/>
                <w:kern w:val="0"/>
                <w:sz w:val="18"/>
                <w:szCs w:val="18"/>
              </w:rPr>
              <w:t>2#酸洗线混酸酸雾</w:t>
            </w:r>
            <w:r>
              <w:rPr>
                <w:rFonts w:eastAsia="宋体"/>
                <w:bCs/>
                <w:kern w:val="0"/>
                <w:sz w:val="18"/>
                <w:szCs w:val="18"/>
              </w:rPr>
              <w:t>废气排放口</w:t>
            </w:r>
            <w:r>
              <w:rPr>
                <w:rFonts w:hint="eastAsia" w:eastAsia="宋体"/>
                <w:bCs/>
                <w:kern w:val="0"/>
                <w:sz w:val="18"/>
                <w:szCs w:val="18"/>
              </w:rPr>
              <w:t>DA008</w:t>
            </w:r>
          </w:p>
        </w:tc>
        <w:tc>
          <w:tcPr>
            <w:tcW w:w="694" w:type="dxa"/>
            <w:vAlign w:val="center"/>
          </w:tcPr>
          <w:p>
            <w:pPr>
              <w:widowControl/>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widowControl/>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2</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测试时间</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w:t>
            </w:r>
          </w:p>
        </w:tc>
        <w:tc>
          <w:tcPr>
            <w:tcW w:w="124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2018.9.19</w:t>
            </w:r>
          </w:p>
        </w:tc>
        <w:tc>
          <w:tcPr>
            <w:tcW w:w="2729" w:type="dxa"/>
            <w:gridSpan w:val="3"/>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2018.11.3</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3</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排气筒高度</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m</w:t>
            </w:r>
          </w:p>
        </w:tc>
        <w:tc>
          <w:tcPr>
            <w:tcW w:w="3973" w:type="dxa"/>
            <w:gridSpan w:val="4"/>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30</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4</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废气温度</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hint="eastAsia" w:ascii="宋体" w:hAnsi="宋体" w:eastAsia="宋体" w:cs="宋体"/>
                <w:sz w:val="18"/>
                <w:szCs w:val="18"/>
              </w:rPr>
              <w:t>℃</w:t>
            </w:r>
          </w:p>
        </w:tc>
        <w:tc>
          <w:tcPr>
            <w:tcW w:w="124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128</w:t>
            </w:r>
          </w:p>
        </w:tc>
        <w:tc>
          <w:tcPr>
            <w:tcW w:w="2729" w:type="dxa"/>
            <w:gridSpan w:val="3"/>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119</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*5</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废气流速</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m/s</w:t>
            </w:r>
          </w:p>
        </w:tc>
        <w:tc>
          <w:tcPr>
            <w:tcW w:w="124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14.1</w:t>
            </w:r>
          </w:p>
        </w:tc>
        <w:tc>
          <w:tcPr>
            <w:tcW w:w="1132"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13.4</w:t>
            </w:r>
          </w:p>
        </w:tc>
        <w:tc>
          <w:tcPr>
            <w:tcW w:w="1597" w:type="dxa"/>
            <w:gridSpan w:val="2"/>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13.1</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*6</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实测废气流量</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m</w:t>
            </w:r>
            <w:r>
              <w:rPr>
                <w:rFonts w:eastAsia="宋体"/>
                <w:sz w:val="18"/>
                <w:szCs w:val="18"/>
                <w:vertAlign w:val="superscript"/>
              </w:rPr>
              <w:t>3</w:t>
            </w:r>
            <w:r>
              <w:rPr>
                <w:rFonts w:eastAsia="宋体"/>
                <w:sz w:val="18"/>
                <w:szCs w:val="18"/>
              </w:rPr>
              <w:t>/h</w:t>
            </w:r>
          </w:p>
        </w:tc>
        <w:tc>
          <w:tcPr>
            <w:tcW w:w="124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2.55</w:t>
            </w:r>
            <w:r>
              <w:rPr>
                <w:rFonts w:eastAsia="宋体"/>
                <w:bCs/>
                <w:kern w:val="0"/>
                <w:sz w:val="18"/>
                <w:szCs w:val="18"/>
              </w:rPr>
              <w:t>×10</w:t>
            </w:r>
            <w:r>
              <w:rPr>
                <w:rFonts w:hint="eastAsia" w:eastAsia="宋体"/>
                <w:bCs/>
                <w:kern w:val="0"/>
                <w:sz w:val="18"/>
                <w:szCs w:val="18"/>
                <w:vertAlign w:val="superscript"/>
              </w:rPr>
              <w:t>4</w:t>
            </w:r>
          </w:p>
        </w:tc>
        <w:tc>
          <w:tcPr>
            <w:tcW w:w="1132"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2.42</w:t>
            </w:r>
            <w:r>
              <w:rPr>
                <w:rFonts w:eastAsia="宋体"/>
                <w:bCs/>
                <w:kern w:val="0"/>
                <w:sz w:val="18"/>
                <w:szCs w:val="18"/>
              </w:rPr>
              <w:t>×10</w:t>
            </w:r>
            <w:r>
              <w:rPr>
                <w:rFonts w:hint="eastAsia" w:eastAsia="宋体"/>
                <w:bCs/>
                <w:kern w:val="0"/>
                <w:sz w:val="18"/>
                <w:szCs w:val="18"/>
                <w:vertAlign w:val="superscript"/>
              </w:rPr>
              <w:t>4</w:t>
            </w:r>
          </w:p>
        </w:tc>
        <w:tc>
          <w:tcPr>
            <w:tcW w:w="1597" w:type="dxa"/>
            <w:gridSpan w:val="2"/>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2.37</w:t>
            </w:r>
            <w:r>
              <w:rPr>
                <w:rFonts w:eastAsia="宋体"/>
                <w:bCs/>
                <w:kern w:val="0"/>
                <w:sz w:val="18"/>
                <w:szCs w:val="18"/>
              </w:rPr>
              <w:t>×10</w:t>
            </w:r>
            <w:r>
              <w:rPr>
                <w:rFonts w:hint="eastAsia" w:eastAsia="宋体"/>
                <w:bCs/>
                <w:kern w:val="0"/>
                <w:sz w:val="18"/>
                <w:szCs w:val="18"/>
                <w:vertAlign w:val="superscript"/>
              </w:rPr>
              <w:t>4</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*7</w:t>
            </w:r>
          </w:p>
        </w:tc>
        <w:tc>
          <w:tcPr>
            <w:tcW w:w="2073"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标干态废气流量</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N.d.m</w:t>
            </w:r>
            <w:r>
              <w:rPr>
                <w:rFonts w:eastAsia="宋体"/>
                <w:sz w:val="18"/>
                <w:szCs w:val="18"/>
                <w:vertAlign w:val="superscript"/>
              </w:rPr>
              <w:t>3</w:t>
            </w:r>
            <w:r>
              <w:rPr>
                <w:rFonts w:eastAsia="宋体"/>
                <w:sz w:val="18"/>
                <w:szCs w:val="18"/>
              </w:rPr>
              <w:t>/h</w:t>
            </w:r>
          </w:p>
        </w:tc>
        <w:tc>
          <w:tcPr>
            <w:tcW w:w="124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1.64</w:t>
            </w:r>
            <w:r>
              <w:rPr>
                <w:rFonts w:eastAsia="宋体"/>
                <w:bCs/>
                <w:kern w:val="0"/>
                <w:sz w:val="18"/>
                <w:szCs w:val="18"/>
              </w:rPr>
              <w:t>×10</w:t>
            </w:r>
            <w:r>
              <w:rPr>
                <w:rFonts w:hint="eastAsia" w:eastAsia="宋体"/>
                <w:bCs/>
                <w:kern w:val="0"/>
                <w:sz w:val="18"/>
                <w:szCs w:val="18"/>
                <w:vertAlign w:val="superscript"/>
              </w:rPr>
              <w:t>4</w:t>
            </w:r>
          </w:p>
        </w:tc>
        <w:tc>
          <w:tcPr>
            <w:tcW w:w="1132"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1.64</w:t>
            </w:r>
            <w:r>
              <w:rPr>
                <w:rFonts w:eastAsia="宋体"/>
                <w:bCs/>
                <w:kern w:val="0"/>
                <w:sz w:val="18"/>
                <w:szCs w:val="18"/>
              </w:rPr>
              <w:t>×10</w:t>
            </w:r>
            <w:r>
              <w:rPr>
                <w:rFonts w:hint="eastAsia" w:eastAsia="宋体"/>
                <w:bCs/>
                <w:kern w:val="0"/>
                <w:sz w:val="18"/>
                <w:szCs w:val="18"/>
                <w:vertAlign w:val="superscript"/>
              </w:rPr>
              <w:t>4</w:t>
            </w:r>
          </w:p>
        </w:tc>
        <w:tc>
          <w:tcPr>
            <w:tcW w:w="1597" w:type="dxa"/>
            <w:gridSpan w:val="2"/>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1.61</w:t>
            </w:r>
            <w:r>
              <w:rPr>
                <w:rFonts w:eastAsia="宋体"/>
                <w:bCs/>
                <w:kern w:val="0"/>
                <w:sz w:val="18"/>
                <w:szCs w:val="18"/>
              </w:rPr>
              <w:t>×10</w:t>
            </w:r>
            <w:r>
              <w:rPr>
                <w:rFonts w:hint="eastAsia" w:eastAsia="宋体"/>
                <w:bCs/>
                <w:kern w:val="0"/>
                <w:sz w:val="18"/>
                <w:szCs w:val="18"/>
                <w:vertAlign w:val="superscript"/>
              </w:rPr>
              <w:t>4</w:t>
            </w:r>
          </w:p>
        </w:tc>
        <w:tc>
          <w:tcPr>
            <w:tcW w:w="694"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c>
          <w:tcPr>
            <w:tcW w:w="649" w:type="dxa"/>
            <w:vAlign w:val="center"/>
          </w:tcPr>
          <w:p>
            <w:pPr>
              <w:spacing w:line="240" w:lineRule="exact"/>
              <w:ind w:left="-141" w:leftChars="-50" w:right="-141" w:rightChars="-50"/>
              <w:jc w:val="center"/>
              <w:rPr>
                <w:rFonts w:eastAsia="宋体"/>
                <w:bCs/>
                <w:kern w:val="0"/>
                <w:sz w:val="18"/>
                <w:szCs w:val="18"/>
              </w:rPr>
            </w:pPr>
            <w:r>
              <w:rPr>
                <w:rFonts w:hint="eastAsia" w:eastAsia="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8</w:t>
            </w:r>
          </w:p>
        </w:tc>
        <w:tc>
          <w:tcPr>
            <w:tcW w:w="2073" w:type="dxa"/>
            <w:vAlign w:val="center"/>
          </w:tcPr>
          <w:p>
            <w:pPr>
              <w:widowControl/>
              <w:adjustRightInd w:val="0"/>
              <w:snapToGrid w:val="0"/>
              <w:spacing w:line="240" w:lineRule="exact"/>
              <w:ind w:left="-141" w:leftChars="-50" w:right="-141" w:rightChars="-50"/>
              <w:jc w:val="center"/>
              <w:rPr>
                <w:rFonts w:eastAsia="宋体"/>
                <w:kern w:val="0"/>
                <w:sz w:val="18"/>
                <w:szCs w:val="18"/>
              </w:rPr>
            </w:pPr>
            <w:r>
              <w:rPr>
                <w:rFonts w:hint="eastAsia" w:eastAsia="宋体"/>
                <w:sz w:val="18"/>
                <w:szCs w:val="18"/>
              </w:rPr>
              <w:t>氟化物</w:t>
            </w:r>
            <w:r>
              <w:rPr>
                <w:rFonts w:eastAsia="宋体"/>
                <w:sz w:val="18"/>
                <w:szCs w:val="18"/>
              </w:rPr>
              <w:t>排放浓度</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mg/m</w:t>
            </w:r>
            <w:r>
              <w:rPr>
                <w:rFonts w:eastAsia="宋体"/>
                <w:sz w:val="18"/>
                <w:szCs w:val="18"/>
                <w:vertAlign w:val="superscript"/>
              </w:rPr>
              <w:t>3</w:t>
            </w:r>
          </w:p>
        </w:tc>
        <w:tc>
          <w:tcPr>
            <w:tcW w:w="1244" w:type="dxa"/>
            <w:vAlign w:val="center"/>
          </w:tcPr>
          <w:p>
            <w:pPr>
              <w:ind w:left="-141" w:leftChars="-50" w:right="-141" w:rightChars="-50"/>
              <w:jc w:val="center"/>
              <w:rPr>
                <w:rFonts w:eastAsia="宋体"/>
                <w:kern w:val="0"/>
                <w:sz w:val="18"/>
                <w:szCs w:val="18"/>
              </w:rPr>
            </w:pPr>
            <w:r>
              <w:rPr>
                <w:rFonts w:hint="eastAsia" w:eastAsia="宋体"/>
                <w:kern w:val="0"/>
                <w:sz w:val="18"/>
                <w:szCs w:val="18"/>
              </w:rPr>
              <w:t>0.432</w:t>
            </w:r>
          </w:p>
        </w:tc>
        <w:tc>
          <w:tcPr>
            <w:tcW w:w="1132" w:type="dxa"/>
            <w:vAlign w:val="center"/>
          </w:tcPr>
          <w:p>
            <w:pPr>
              <w:ind w:left="-141" w:leftChars="-50" w:right="-141" w:rightChars="-50"/>
              <w:jc w:val="center"/>
              <w:rPr>
                <w:rFonts w:eastAsia="宋体"/>
                <w:kern w:val="0"/>
                <w:sz w:val="18"/>
                <w:szCs w:val="18"/>
              </w:rPr>
            </w:pPr>
            <w:r>
              <w:rPr>
                <w:rFonts w:hint="eastAsia" w:eastAsia="宋体"/>
                <w:kern w:val="0"/>
                <w:sz w:val="18"/>
                <w:szCs w:val="18"/>
              </w:rPr>
              <w:t>2.78</w:t>
            </w:r>
          </w:p>
        </w:tc>
        <w:tc>
          <w:tcPr>
            <w:tcW w:w="901" w:type="dxa"/>
            <w:vAlign w:val="center"/>
          </w:tcPr>
          <w:p>
            <w:pPr>
              <w:ind w:left="-141" w:leftChars="-50" w:right="-141" w:rightChars="-50"/>
              <w:jc w:val="center"/>
              <w:rPr>
                <w:rFonts w:eastAsia="宋体"/>
                <w:kern w:val="0"/>
                <w:sz w:val="18"/>
                <w:szCs w:val="18"/>
              </w:rPr>
            </w:pPr>
            <w:r>
              <w:rPr>
                <w:rFonts w:hint="eastAsia" w:eastAsia="宋体"/>
                <w:kern w:val="0"/>
                <w:sz w:val="18"/>
                <w:szCs w:val="18"/>
              </w:rPr>
              <w:t>4.29</w:t>
            </w:r>
          </w:p>
        </w:tc>
        <w:tc>
          <w:tcPr>
            <w:tcW w:w="696" w:type="dxa"/>
            <w:vAlign w:val="center"/>
          </w:tcPr>
          <w:p>
            <w:pPr>
              <w:ind w:left="-141" w:leftChars="-50" w:right="-141" w:rightChars="-50"/>
              <w:jc w:val="center"/>
              <w:rPr>
                <w:rFonts w:eastAsia="宋体"/>
                <w:kern w:val="0"/>
                <w:sz w:val="18"/>
                <w:szCs w:val="18"/>
              </w:rPr>
            </w:pPr>
            <w:r>
              <w:rPr>
                <w:rFonts w:hint="eastAsia" w:eastAsia="宋体"/>
                <w:kern w:val="0"/>
                <w:sz w:val="18"/>
                <w:szCs w:val="18"/>
              </w:rPr>
              <w:t>3.93</w:t>
            </w:r>
          </w:p>
        </w:tc>
        <w:tc>
          <w:tcPr>
            <w:tcW w:w="694" w:type="dxa"/>
            <w:vAlign w:val="center"/>
          </w:tcPr>
          <w:p>
            <w:pPr>
              <w:ind w:left="-141" w:leftChars="-50" w:right="-141" w:rightChars="-50"/>
              <w:jc w:val="center"/>
              <w:rPr>
                <w:rFonts w:eastAsia="宋体"/>
                <w:kern w:val="0"/>
                <w:sz w:val="18"/>
                <w:szCs w:val="18"/>
              </w:rPr>
            </w:pPr>
            <w:r>
              <w:rPr>
                <w:rFonts w:hint="eastAsia" w:eastAsia="宋体"/>
                <w:kern w:val="0"/>
                <w:sz w:val="18"/>
                <w:szCs w:val="18"/>
              </w:rPr>
              <w:t>≤6</w:t>
            </w:r>
          </w:p>
        </w:tc>
        <w:tc>
          <w:tcPr>
            <w:tcW w:w="649" w:type="dxa"/>
            <w:vAlign w:val="center"/>
          </w:tcPr>
          <w:p>
            <w:pPr>
              <w:ind w:left="-141" w:leftChars="-50" w:right="-141" w:rightChars="-50"/>
              <w:jc w:val="center"/>
              <w:rPr>
                <w:rFonts w:eastAsia="宋体"/>
                <w:kern w:val="0"/>
                <w:sz w:val="18"/>
                <w:szCs w:val="18"/>
              </w:rPr>
            </w:pPr>
            <w:r>
              <w:rPr>
                <w:rFonts w:hint="eastAsia" w:eastAsia="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9</w:t>
            </w:r>
          </w:p>
        </w:tc>
        <w:tc>
          <w:tcPr>
            <w:tcW w:w="2073" w:type="dxa"/>
            <w:vAlign w:val="center"/>
          </w:tcPr>
          <w:p>
            <w:pPr>
              <w:widowControl/>
              <w:adjustRightInd w:val="0"/>
              <w:snapToGrid w:val="0"/>
              <w:spacing w:line="240" w:lineRule="exact"/>
              <w:ind w:left="-141" w:leftChars="-50" w:right="-141" w:rightChars="-50"/>
              <w:jc w:val="center"/>
              <w:rPr>
                <w:rFonts w:eastAsia="宋体"/>
                <w:kern w:val="0"/>
                <w:sz w:val="18"/>
                <w:szCs w:val="18"/>
              </w:rPr>
            </w:pPr>
            <w:r>
              <w:rPr>
                <w:rFonts w:hint="eastAsia" w:eastAsia="宋体"/>
                <w:sz w:val="18"/>
                <w:szCs w:val="18"/>
              </w:rPr>
              <w:t>氟化物</w:t>
            </w:r>
            <w:r>
              <w:rPr>
                <w:rFonts w:eastAsia="宋体"/>
                <w:sz w:val="18"/>
                <w:szCs w:val="18"/>
              </w:rPr>
              <w:t>排放速率</w:t>
            </w:r>
          </w:p>
        </w:tc>
        <w:tc>
          <w:tcPr>
            <w:tcW w:w="836"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kg/h</w:t>
            </w:r>
          </w:p>
        </w:tc>
        <w:tc>
          <w:tcPr>
            <w:tcW w:w="1244" w:type="dxa"/>
            <w:vAlign w:val="center"/>
          </w:tcPr>
          <w:p>
            <w:pPr>
              <w:ind w:left="-141" w:leftChars="-50" w:right="-141" w:rightChars="-50"/>
              <w:jc w:val="center"/>
              <w:rPr>
                <w:rFonts w:eastAsia="宋体"/>
                <w:kern w:val="0"/>
                <w:sz w:val="18"/>
                <w:szCs w:val="18"/>
              </w:rPr>
            </w:pPr>
            <w:r>
              <w:rPr>
                <w:rFonts w:hint="eastAsia" w:eastAsia="宋体"/>
                <w:kern w:val="0"/>
                <w:sz w:val="18"/>
                <w:szCs w:val="18"/>
              </w:rPr>
              <w:t>0.00708</w:t>
            </w:r>
          </w:p>
        </w:tc>
        <w:tc>
          <w:tcPr>
            <w:tcW w:w="1132" w:type="dxa"/>
            <w:vAlign w:val="center"/>
          </w:tcPr>
          <w:p>
            <w:pPr>
              <w:ind w:left="-141" w:leftChars="-50" w:right="-141" w:rightChars="-50"/>
              <w:jc w:val="center"/>
              <w:rPr>
                <w:rFonts w:eastAsia="宋体"/>
                <w:kern w:val="0"/>
                <w:sz w:val="18"/>
                <w:szCs w:val="18"/>
              </w:rPr>
            </w:pPr>
            <w:r>
              <w:rPr>
                <w:rFonts w:hint="eastAsia" w:eastAsia="宋体"/>
                <w:kern w:val="0"/>
                <w:sz w:val="18"/>
                <w:szCs w:val="18"/>
              </w:rPr>
              <w:t>0.0456</w:t>
            </w:r>
          </w:p>
        </w:tc>
        <w:tc>
          <w:tcPr>
            <w:tcW w:w="901" w:type="dxa"/>
            <w:vAlign w:val="center"/>
          </w:tcPr>
          <w:p>
            <w:pPr>
              <w:ind w:left="-141" w:leftChars="-50" w:right="-141" w:rightChars="-50"/>
              <w:jc w:val="center"/>
              <w:rPr>
                <w:rFonts w:eastAsia="宋体"/>
                <w:kern w:val="0"/>
                <w:sz w:val="18"/>
                <w:szCs w:val="18"/>
              </w:rPr>
            </w:pPr>
            <w:r>
              <w:rPr>
                <w:rFonts w:hint="eastAsia" w:eastAsia="宋体"/>
                <w:kern w:val="0"/>
                <w:sz w:val="18"/>
                <w:szCs w:val="18"/>
              </w:rPr>
              <w:t>0.0691</w:t>
            </w:r>
          </w:p>
        </w:tc>
        <w:tc>
          <w:tcPr>
            <w:tcW w:w="696" w:type="dxa"/>
            <w:vAlign w:val="center"/>
          </w:tcPr>
          <w:p>
            <w:pPr>
              <w:ind w:left="-141" w:leftChars="-50" w:right="-141" w:rightChars="-50"/>
              <w:jc w:val="center"/>
              <w:rPr>
                <w:rFonts w:eastAsia="宋体"/>
                <w:kern w:val="0"/>
                <w:sz w:val="18"/>
                <w:szCs w:val="18"/>
              </w:rPr>
            </w:pPr>
            <w:r>
              <w:rPr>
                <w:rFonts w:hint="eastAsia" w:eastAsia="宋体"/>
                <w:kern w:val="0"/>
                <w:sz w:val="18"/>
                <w:szCs w:val="18"/>
              </w:rPr>
              <w:t>0.0633</w:t>
            </w:r>
          </w:p>
        </w:tc>
        <w:tc>
          <w:tcPr>
            <w:tcW w:w="694" w:type="dxa"/>
            <w:vAlign w:val="center"/>
          </w:tcPr>
          <w:p>
            <w:pPr>
              <w:ind w:left="-141" w:leftChars="-50" w:right="-141" w:rightChars="-50"/>
              <w:jc w:val="center"/>
              <w:rPr>
                <w:rFonts w:eastAsia="宋体"/>
                <w:kern w:val="0"/>
                <w:sz w:val="18"/>
                <w:szCs w:val="18"/>
              </w:rPr>
            </w:pPr>
            <w:r>
              <w:rPr>
                <w:rFonts w:hint="eastAsia" w:eastAsia="宋体"/>
                <w:kern w:val="0"/>
                <w:sz w:val="18"/>
                <w:szCs w:val="18"/>
              </w:rPr>
              <w:t>/</w:t>
            </w:r>
          </w:p>
        </w:tc>
        <w:tc>
          <w:tcPr>
            <w:tcW w:w="649" w:type="dxa"/>
            <w:vAlign w:val="center"/>
          </w:tcPr>
          <w:p>
            <w:pPr>
              <w:ind w:left="-141" w:leftChars="-50" w:right="-141" w:rightChars="-50"/>
              <w:jc w:val="center"/>
              <w:rPr>
                <w:rFonts w:eastAsia="宋体"/>
                <w:kern w:val="0"/>
                <w:sz w:val="18"/>
                <w:szCs w:val="18"/>
              </w:rPr>
            </w:pPr>
            <w:r>
              <w:rPr>
                <w:rFonts w:hint="eastAsia" w:eastAsia="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sz w:val="18"/>
                <w:szCs w:val="18"/>
              </w:rPr>
            </w:pPr>
            <w:r>
              <w:rPr>
                <w:rFonts w:eastAsia="宋体"/>
                <w:sz w:val="18"/>
                <w:szCs w:val="18"/>
              </w:rPr>
              <w:t>10</w:t>
            </w:r>
          </w:p>
        </w:tc>
        <w:tc>
          <w:tcPr>
            <w:tcW w:w="2073" w:type="dxa"/>
            <w:vAlign w:val="center"/>
          </w:tcPr>
          <w:p>
            <w:pPr>
              <w:widowControl/>
              <w:adjustRightInd w:val="0"/>
              <w:snapToGrid w:val="0"/>
              <w:spacing w:line="240" w:lineRule="exact"/>
              <w:ind w:left="-141" w:leftChars="-50" w:right="-141"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氮氧化物排放浓度</w:t>
            </w:r>
          </w:p>
        </w:tc>
        <w:tc>
          <w:tcPr>
            <w:tcW w:w="836" w:type="dxa"/>
            <w:vAlign w:val="center"/>
          </w:tcPr>
          <w:p>
            <w:pPr>
              <w:widowControl/>
              <w:spacing w:line="240" w:lineRule="exact"/>
              <w:ind w:left="-141" w:leftChars="-50" w:right="-141" w:rightChars="-50"/>
              <w:jc w:val="center"/>
              <w:rPr>
                <w:rFonts w:eastAsia="宋体"/>
                <w:bCs/>
                <w:kern w:val="0"/>
                <w:sz w:val="18"/>
                <w:szCs w:val="18"/>
              </w:rPr>
            </w:pPr>
            <w:r>
              <w:rPr>
                <w:rFonts w:eastAsia="宋体"/>
                <w:sz w:val="18"/>
                <w:szCs w:val="18"/>
              </w:rPr>
              <w:t>mg/m</w:t>
            </w:r>
            <w:r>
              <w:rPr>
                <w:rFonts w:eastAsia="宋体"/>
                <w:sz w:val="18"/>
                <w:szCs w:val="18"/>
                <w:vertAlign w:val="superscript"/>
              </w:rPr>
              <w:t>3</w:t>
            </w:r>
          </w:p>
        </w:tc>
        <w:tc>
          <w:tcPr>
            <w:tcW w:w="1244"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0.183</w:t>
            </w:r>
          </w:p>
        </w:tc>
        <w:tc>
          <w:tcPr>
            <w:tcW w:w="1132"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12.7</w:t>
            </w:r>
          </w:p>
        </w:tc>
        <w:tc>
          <w:tcPr>
            <w:tcW w:w="901"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12.6</w:t>
            </w:r>
          </w:p>
        </w:tc>
        <w:tc>
          <w:tcPr>
            <w:tcW w:w="696"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12.3</w:t>
            </w:r>
          </w:p>
        </w:tc>
        <w:tc>
          <w:tcPr>
            <w:tcW w:w="694"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≤150</w:t>
            </w:r>
          </w:p>
        </w:tc>
        <w:tc>
          <w:tcPr>
            <w:tcW w:w="649"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521" w:type="dxa"/>
            <w:vAlign w:val="center"/>
          </w:tcPr>
          <w:p>
            <w:pPr>
              <w:widowControl/>
              <w:spacing w:line="240" w:lineRule="exact"/>
              <w:ind w:left="-141" w:leftChars="-50" w:right="-141" w:rightChars="-50"/>
              <w:jc w:val="center"/>
              <w:rPr>
                <w:rFonts w:eastAsia="宋体"/>
                <w:sz w:val="18"/>
                <w:szCs w:val="18"/>
              </w:rPr>
            </w:pPr>
            <w:r>
              <w:rPr>
                <w:rFonts w:eastAsia="宋体"/>
                <w:sz w:val="18"/>
                <w:szCs w:val="18"/>
              </w:rPr>
              <w:t>11</w:t>
            </w:r>
          </w:p>
        </w:tc>
        <w:tc>
          <w:tcPr>
            <w:tcW w:w="2073" w:type="dxa"/>
            <w:vAlign w:val="center"/>
          </w:tcPr>
          <w:p>
            <w:pPr>
              <w:widowControl/>
              <w:adjustRightInd w:val="0"/>
              <w:snapToGrid w:val="0"/>
              <w:spacing w:line="240" w:lineRule="exact"/>
              <w:ind w:left="-141" w:leftChars="-50" w:right="-141"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氮氧化物排放速率</w:t>
            </w:r>
          </w:p>
        </w:tc>
        <w:tc>
          <w:tcPr>
            <w:tcW w:w="836" w:type="dxa"/>
            <w:vAlign w:val="center"/>
          </w:tcPr>
          <w:p>
            <w:pPr>
              <w:widowControl/>
              <w:spacing w:line="240" w:lineRule="exact"/>
              <w:ind w:left="-141" w:leftChars="-50" w:right="-141" w:rightChars="-50"/>
              <w:jc w:val="center"/>
              <w:rPr>
                <w:rFonts w:eastAsia="宋体"/>
                <w:bCs/>
                <w:kern w:val="0"/>
                <w:sz w:val="18"/>
                <w:szCs w:val="18"/>
                <w:lang w:val="zh-CN"/>
              </w:rPr>
            </w:pPr>
            <w:r>
              <w:rPr>
                <w:rFonts w:eastAsia="宋体"/>
                <w:sz w:val="18"/>
                <w:szCs w:val="18"/>
              </w:rPr>
              <w:t>kg/h</w:t>
            </w:r>
          </w:p>
        </w:tc>
        <w:tc>
          <w:tcPr>
            <w:tcW w:w="1244"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0.003</w:t>
            </w:r>
          </w:p>
        </w:tc>
        <w:tc>
          <w:tcPr>
            <w:tcW w:w="1132"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0.208</w:t>
            </w:r>
          </w:p>
        </w:tc>
        <w:tc>
          <w:tcPr>
            <w:tcW w:w="901"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0.203</w:t>
            </w:r>
          </w:p>
        </w:tc>
        <w:tc>
          <w:tcPr>
            <w:tcW w:w="696" w:type="dxa"/>
            <w:vAlign w:val="center"/>
          </w:tcPr>
          <w:p>
            <w:pPr>
              <w:ind w:left="-141" w:leftChars="-50" w:right="-141" w:rightChars="-50"/>
              <w:jc w:val="center"/>
              <w:rPr>
                <w:rFonts w:eastAsia="宋体"/>
                <w:bCs/>
                <w:kern w:val="0"/>
                <w:sz w:val="18"/>
                <w:szCs w:val="18"/>
              </w:rPr>
            </w:pPr>
            <w:r>
              <w:rPr>
                <w:rFonts w:hint="eastAsia" w:eastAsia="宋体"/>
                <w:bCs/>
                <w:kern w:val="0"/>
                <w:sz w:val="18"/>
                <w:szCs w:val="18"/>
              </w:rPr>
              <w:t>0.198</w:t>
            </w:r>
          </w:p>
        </w:tc>
        <w:tc>
          <w:tcPr>
            <w:tcW w:w="694" w:type="dxa"/>
            <w:vAlign w:val="center"/>
          </w:tcPr>
          <w:p>
            <w:pPr>
              <w:ind w:left="-141" w:leftChars="-50" w:right="-141" w:rightChars="-50"/>
              <w:jc w:val="center"/>
              <w:rPr>
                <w:rFonts w:eastAsia="宋体"/>
                <w:bCs/>
                <w:kern w:val="0"/>
                <w:sz w:val="18"/>
                <w:szCs w:val="18"/>
              </w:rPr>
            </w:pPr>
            <w:r>
              <w:rPr>
                <w:rFonts w:hint="eastAsia" w:eastAsia="宋体"/>
                <w:kern w:val="0"/>
                <w:sz w:val="18"/>
                <w:szCs w:val="18"/>
              </w:rPr>
              <w:t>/</w:t>
            </w:r>
          </w:p>
        </w:tc>
        <w:tc>
          <w:tcPr>
            <w:tcW w:w="649" w:type="dxa"/>
            <w:vAlign w:val="center"/>
          </w:tcPr>
          <w:p>
            <w:pPr>
              <w:ind w:left="-141" w:leftChars="-50" w:right="-141" w:rightChars="-50"/>
              <w:jc w:val="center"/>
              <w:rPr>
                <w:rFonts w:eastAsia="宋体"/>
                <w:bCs/>
                <w:kern w:val="0"/>
                <w:sz w:val="18"/>
                <w:szCs w:val="18"/>
              </w:rPr>
            </w:pPr>
            <w:r>
              <w:rPr>
                <w:rFonts w:hint="eastAsia" w:eastAsia="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746" w:type="dxa"/>
            <w:gridSpan w:val="9"/>
            <w:vAlign w:val="center"/>
          </w:tcPr>
          <w:p>
            <w:pPr>
              <w:widowControl/>
              <w:spacing w:line="240" w:lineRule="exact"/>
              <w:jc w:val="left"/>
              <w:rPr>
                <w:rFonts w:eastAsia="宋体"/>
                <w:bCs/>
                <w:kern w:val="0"/>
                <w:sz w:val="18"/>
                <w:szCs w:val="18"/>
              </w:rPr>
            </w:pPr>
            <w:r>
              <w:rPr>
                <w:rFonts w:eastAsia="宋体"/>
                <w:bCs/>
                <w:kern w:val="0"/>
                <w:sz w:val="18"/>
                <w:szCs w:val="18"/>
              </w:rPr>
              <w:t>注：</w:t>
            </w:r>
            <w:r>
              <w:rPr>
                <w:rFonts w:eastAsia="宋体"/>
                <w:bCs/>
                <w:kern w:val="0"/>
                <w:sz w:val="18"/>
                <w:szCs w:val="18"/>
                <w:lang w:val="zh-CN"/>
              </w:rPr>
              <w:t xml:space="preserve">有*为现场测试值 </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2#酸洗线硫酸雾净化装置排气筒DA007出口监测结果详见表3-</w:t>
      </w:r>
      <w:r>
        <w:rPr>
          <w:rFonts w:ascii="Times New Roman" w:hAnsi="Times New Roman" w:cs="Times New Roman"/>
          <w:spacing w:val="0"/>
        </w:rPr>
        <w:t>24</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2#酸洗线硫酸雾废气排放口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537"/>
        <w:gridCol w:w="987"/>
        <w:gridCol w:w="1267"/>
        <w:gridCol w:w="1237"/>
        <w:gridCol w:w="1090"/>
        <w:gridCol w:w="998"/>
        <w:gridCol w:w="674"/>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kern w:val="0"/>
                <w:sz w:val="21"/>
                <w:szCs w:val="21"/>
              </w:rPr>
            </w:pPr>
            <w:r>
              <w:rPr>
                <w:rFonts w:eastAsia="宋体"/>
                <w:sz w:val="21"/>
                <w:szCs w:val="21"/>
              </w:rPr>
              <w:t>序号</w:t>
            </w:r>
          </w:p>
        </w:tc>
        <w:tc>
          <w:tcPr>
            <w:tcW w:w="1537" w:type="dxa"/>
            <w:vAlign w:val="center"/>
          </w:tcPr>
          <w:p>
            <w:pPr>
              <w:widowControl/>
              <w:spacing w:line="300" w:lineRule="exact"/>
              <w:jc w:val="center"/>
              <w:rPr>
                <w:rFonts w:eastAsia="宋体"/>
                <w:kern w:val="0"/>
                <w:sz w:val="21"/>
                <w:szCs w:val="21"/>
              </w:rPr>
            </w:pPr>
            <w:r>
              <w:rPr>
                <w:rFonts w:eastAsia="宋体"/>
                <w:sz w:val="21"/>
                <w:szCs w:val="21"/>
              </w:rPr>
              <w:t>项目</w:t>
            </w:r>
          </w:p>
        </w:tc>
        <w:tc>
          <w:tcPr>
            <w:tcW w:w="987" w:type="dxa"/>
            <w:vAlign w:val="center"/>
          </w:tcPr>
          <w:p>
            <w:pPr>
              <w:widowControl/>
              <w:spacing w:line="300" w:lineRule="exact"/>
              <w:jc w:val="center"/>
              <w:rPr>
                <w:rFonts w:eastAsia="宋体"/>
                <w:kern w:val="0"/>
                <w:sz w:val="21"/>
                <w:szCs w:val="21"/>
              </w:rPr>
            </w:pPr>
            <w:r>
              <w:rPr>
                <w:rFonts w:eastAsia="宋体"/>
                <w:sz w:val="21"/>
                <w:szCs w:val="21"/>
              </w:rPr>
              <w:t>单位</w:t>
            </w:r>
          </w:p>
        </w:tc>
        <w:tc>
          <w:tcPr>
            <w:tcW w:w="4592" w:type="dxa"/>
            <w:gridSpan w:val="4"/>
            <w:vAlign w:val="center"/>
          </w:tcPr>
          <w:p>
            <w:pPr>
              <w:widowControl/>
              <w:spacing w:line="300" w:lineRule="exact"/>
              <w:jc w:val="center"/>
              <w:rPr>
                <w:rFonts w:eastAsia="宋体"/>
                <w:kern w:val="0"/>
                <w:sz w:val="21"/>
                <w:szCs w:val="21"/>
              </w:rPr>
            </w:pPr>
            <w:r>
              <w:rPr>
                <w:rFonts w:eastAsia="宋体"/>
                <w:sz w:val="21"/>
                <w:szCs w:val="21"/>
              </w:rPr>
              <w:t>检测结果</w:t>
            </w:r>
          </w:p>
        </w:tc>
        <w:tc>
          <w:tcPr>
            <w:tcW w:w="674" w:type="dxa"/>
            <w:vAlign w:val="center"/>
          </w:tcPr>
          <w:p>
            <w:pPr>
              <w:widowControl/>
              <w:spacing w:line="300" w:lineRule="exact"/>
              <w:ind w:left="-141" w:leftChars="-50" w:right="-141" w:rightChars="-50"/>
              <w:jc w:val="center"/>
              <w:rPr>
                <w:rFonts w:eastAsia="宋体"/>
                <w:kern w:val="0"/>
                <w:sz w:val="21"/>
                <w:szCs w:val="21"/>
              </w:rPr>
            </w:pPr>
            <w:r>
              <w:rPr>
                <w:rFonts w:hint="eastAsia" w:eastAsia="宋体"/>
                <w:kern w:val="0"/>
                <w:sz w:val="21"/>
                <w:szCs w:val="21"/>
              </w:rPr>
              <w:t>标准值</w:t>
            </w:r>
          </w:p>
        </w:tc>
        <w:tc>
          <w:tcPr>
            <w:tcW w:w="581" w:type="dxa"/>
            <w:vAlign w:val="center"/>
          </w:tcPr>
          <w:p>
            <w:pPr>
              <w:widowControl/>
              <w:spacing w:line="300" w:lineRule="exact"/>
              <w:ind w:left="-141" w:leftChars="-50" w:right="-141" w:rightChars="-50"/>
              <w:jc w:val="center"/>
              <w:rPr>
                <w:rFonts w:eastAsia="宋体"/>
                <w:kern w:val="0"/>
                <w:sz w:val="21"/>
                <w:szCs w:val="21"/>
              </w:rPr>
            </w:pPr>
            <w:r>
              <w:rPr>
                <w:rFonts w:hint="eastAsia" w:eastAsia="宋体"/>
                <w:kern w:val="0"/>
                <w:sz w:val="21"/>
                <w:szCs w:val="21"/>
              </w:rPr>
              <w:t>是否</w:t>
            </w:r>
          </w:p>
          <w:p>
            <w:pPr>
              <w:widowControl/>
              <w:spacing w:line="300" w:lineRule="exact"/>
              <w:ind w:left="-141" w:leftChars="-50" w:right="-141" w:rightChars="-50"/>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sz w:val="21"/>
                <w:szCs w:val="21"/>
              </w:rPr>
            </w:pPr>
            <w:r>
              <w:rPr>
                <w:rFonts w:eastAsia="宋体"/>
                <w:sz w:val="21"/>
                <w:szCs w:val="21"/>
              </w:rPr>
              <w:t>1</w:t>
            </w:r>
          </w:p>
        </w:tc>
        <w:tc>
          <w:tcPr>
            <w:tcW w:w="1537" w:type="dxa"/>
            <w:vAlign w:val="center"/>
          </w:tcPr>
          <w:p>
            <w:pPr>
              <w:widowControl/>
              <w:spacing w:line="300" w:lineRule="exact"/>
              <w:jc w:val="center"/>
              <w:rPr>
                <w:rFonts w:eastAsia="宋体"/>
                <w:sz w:val="21"/>
                <w:szCs w:val="21"/>
              </w:rPr>
            </w:pPr>
            <w:r>
              <w:rPr>
                <w:rFonts w:hint="eastAsia" w:eastAsia="宋体"/>
                <w:sz w:val="21"/>
                <w:szCs w:val="21"/>
              </w:rPr>
              <w:t>净化设施</w:t>
            </w:r>
          </w:p>
        </w:tc>
        <w:tc>
          <w:tcPr>
            <w:tcW w:w="987" w:type="dxa"/>
            <w:vAlign w:val="center"/>
          </w:tcPr>
          <w:p>
            <w:pPr>
              <w:widowControl/>
              <w:spacing w:line="300" w:lineRule="exact"/>
              <w:jc w:val="center"/>
              <w:rPr>
                <w:rFonts w:eastAsia="宋体"/>
                <w:sz w:val="21"/>
                <w:szCs w:val="21"/>
              </w:rPr>
            </w:pPr>
            <w:r>
              <w:rPr>
                <w:rFonts w:hint="eastAsia" w:eastAsia="宋体"/>
                <w:sz w:val="21"/>
                <w:szCs w:val="21"/>
              </w:rPr>
              <w:t>/</w:t>
            </w:r>
          </w:p>
        </w:tc>
        <w:tc>
          <w:tcPr>
            <w:tcW w:w="4592" w:type="dxa"/>
            <w:gridSpan w:val="4"/>
            <w:vAlign w:val="center"/>
          </w:tcPr>
          <w:p>
            <w:pPr>
              <w:widowControl/>
              <w:spacing w:line="300" w:lineRule="exact"/>
              <w:jc w:val="center"/>
              <w:rPr>
                <w:rFonts w:eastAsia="宋体"/>
                <w:sz w:val="21"/>
                <w:szCs w:val="21"/>
              </w:rPr>
            </w:pPr>
            <w:r>
              <w:rPr>
                <w:rFonts w:hint="eastAsia" w:eastAsia="宋体"/>
                <w:sz w:val="21"/>
                <w:szCs w:val="21"/>
              </w:rPr>
              <w:t>喷淋</w:t>
            </w:r>
          </w:p>
        </w:tc>
        <w:tc>
          <w:tcPr>
            <w:tcW w:w="674" w:type="dxa"/>
            <w:vAlign w:val="center"/>
          </w:tcPr>
          <w:p>
            <w:pPr>
              <w:widowControl/>
              <w:spacing w:line="300" w:lineRule="exact"/>
              <w:ind w:left="-141" w:leftChars="-50" w:right="-141" w:rightChars="-50"/>
              <w:jc w:val="center"/>
              <w:rPr>
                <w:rFonts w:eastAsia="宋体"/>
                <w:sz w:val="21"/>
                <w:szCs w:val="21"/>
              </w:rPr>
            </w:pPr>
            <w:r>
              <w:rPr>
                <w:rFonts w:hint="eastAsia" w:eastAsia="宋体"/>
                <w:sz w:val="21"/>
                <w:szCs w:val="21"/>
              </w:rPr>
              <w:t>/</w:t>
            </w:r>
          </w:p>
        </w:tc>
        <w:tc>
          <w:tcPr>
            <w:tcW w:w="581" w:type="dxa"/>
            <w:vAlign w:val="center"/>
          </w:tcPr>
          <w:p>
            <w:pPr>
              <w:widowControl/>
              <w:spacing w:line="300" w:lineRule="exact"/>
              <w:jc w:val="center"/>
              <w:rPr>
                <w:rFonts w:eastAsia="宋体"/>
                <w:sz w:val="21"/>
                <w:szCs w:val="21"/>
              </w:rPr>
            </w:pP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2</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测试地点</w:t>
            </w:r>
          </w:p>
        </w:tc>
        <w:tc>
          <w:tcPr>
            <w:tcW w:w="987" w:type="dxa"/>
            <w:vAlign w:val="center"/>
          </w:tcPr>
          <w:p>
            <w:pPr>
              <w:widowControl/>
              <w:spacing w:line="300" w:lineRule="exact"/>
              <w:jc w:val="center"/>
              <w:rPr>
                <w:rFonts w:eastAsia="宋体"/>
                <w:bCs/>
                <w:kern w:val="0"/>
                <w:sz w:val="21"/>
                <w:szCs w:val="21"/>
                <w:lang w:val="zh-CN"/>
              </w:rPr>
            </w:pPr>
            <w:r>
              <w:rPr>
                <w:rFonts w:eastAsia="宋体"/>
                <w:sz w:val="21"/>
                <w:szCs w:val="21"/>
              </w:rPr>
              <w:t>/</w:t>
            </w:r>
          </w:p>
        </w:tc>
        <w:tc>
          <w:tcPr>
            <w:tcW w:w="4592" w:type="dxa"/>
            <w:gridSpan w:val="4"/>
            <w:vAlign w:val="center"/>
          </w:tcPr>
          <w:p>
            <w:pPr>
              <w:widowControl/>
              <w:spacing w:line="300" w:lineRule="exact"/>
              <w:jc w:val="center"/>
              <w:rPr>
                <w:rFonts w:eastAsia="宋体"/>
                <w:bCs/>
                <w:kern w:val="0"/>
                <w:sz w:val="21"/>
                <w:szCs w:val="21"/>
              </w:rPr>
            </w:pPr>
            <w:r>
              <w:rPr>
                <w:rFonts w:hint="eastAsia" w:eastAsia="宋体"/>
                <w:bCs/>
                <w:kern w:val="0"/>
                <w:sz w:val="21"/>
                <w:szCs w:val="21"/>
              </w:rPr>
              <w:t>2#酸洗线硫酸雾</w:t>
            </w:r>
            <w:r>
              <w:rPr>
                <w:rFonts w:eastAsia="宋体"/>
                <w:bCs/>
                <w:kern w:val="0"/>
                <w:sz w:val="21"/>
                <w:szCs w:val="21"/>
              </w:rPr>
              <w:t>废气排放口</w:t>
            </w:r>
            <w:r>
              <w:rPr>
                <w:rFonts w:hint="eastAsia" w:eastAsia="宋体"/>
                <w:bCs/>
                <w:kern w:val="0"/>
                <w:sz w:val="21"/>
                <w:szCs w:val="21"/>
              </w:rPr>
              <w:t>DA007</w:t>
            </w:r>
          </w:p>
        </w:tc>
        <w:tc>
          <w:tcPr>
            <w:tcW w:w="674" w:type="dxa"/>
            <w:vAlign w:val="center"/>
          </w:tcPr>
          <w:p>
            <w:pPr>
              <w:widowControl/>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3</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测试时间</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w:t>
            </w:r>
          </w:p>
        </w:tc>
        <w:tc>
          <w:tcPr>
            <w:tcW w:w="1267" w:type="dxa"/>
            <w:vAlign w:val="center"/>
          </w:tcPr>
          <w:p>
            <w:pPr>
              <w:spacing w:line="300" w:lineRule="exact"/>
              <w:jc w:val="center"/>
              <w:rPr>
                <w:rFonts w:eastAsia="宋体"/>
                <w:bCs/>
                <w:kern w:val="0"/>
                <w:sz w:val="21"/>
                <w:szCs w:val="21"/>
              </w:rPr>
            </w:pPr>
            <w:r>
              <w:rPr>
                <w:rFonts w:hint="eastAsia" w:eastAsia="宋体"/>
                <w:bCs/>
                <w:kern w:val="0"/>
                <w:sz w:val="21"/>
                <w:szCs w:val="21"/>
              </w:rPr>
              <w:t>2018.9.19</w:t>
            </w:r>
          </w:p>
        </w:tc>
        <w:tc>
          <w:tcPr>
            <w:tcW w:w="3325" w:type="dxa"/>
            <w:gridSpan w:val="3"/>
            <w:vAlign w:val="center"/>
          </w:tcPr>
          <w:p>
            <w:pPr>
              <w:spacing w:line="300" w:lineRule="exact"/>
              <w:jc w:val="center"/>
              <w:rPr>
                <w:rFonts w:eastAsia="宋体"/>
                <w:bCs/>
                <w:kern w:val="0"/>
                <w:sz w:val="21"/>
                <w:szCs w:val="21"/>
              </w:rPr>
            </w:pPr>
            <w:r>
              <w:rPr>
                <w:rFonts w:hint="eastAsia" w:eastAsia="宋体"/>
                <w:bCs/>
                <w:kern w:val="0"/>
                <w:sz w:val="21"/>
                <w:szCs w:val="21"/>
              </w:rPr>
              <w:t>2018.11.3</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4</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排气筒高度</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m</w:t>
            </w:r>
          </w:p>
        </w:tc>
        <w:tc>
          <w:tcPr>
            <w:tcW w:w="4592" w:type="dxa"/>
            <w:gridSpan w:val="4"/>
            <w:vAlign w:val="center"/>
          </w:tcPr>
          <w:p>
            <w:pPr>
              <w:spacing w:line="300" w:lineRule="exact"/>
              <w:jc w:val="center"/>
              <w:rPr>
                <w:rFonts w:eastAsia="宋体"/>
                <w:bCs/>
                <w:kern w:val="0"/>
                <w:sz w:val="21"/>
                <w:szCs w:val="21"/>
              </w:rPr>
            </w:pPr>
            <w:r>
              <w:rPr>
                <w:rFonts w:hint="eastAsia" w:eastAsia="宋体"/>
                <w:bCs/>
                <w:kern w:val="0"/>
                <w:sz w:val="21"/>
                <w:szCs w:val="21"/>
              </w:rPr>
              <w:t>20</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*5</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废气温度</w:t>
            </w:r>
          </w:p>
        </w:tc>
        <w:tc>
          <w:tcPr>
            <w:tcW w:w="987" w:type="dxa"/>
            <w:vAlign w:val="center"/>
          </w:tcPr>
          <w:p>
            <w:pPr>
              <w:widowControl/>
              <w:spacing w:line="300" w:lineRule="exact"/>
              <w:jc w:val="center"/>
              <w:rPr>
                <w:rFonts w:eastAsia="宋体"/>
                <w:bCs/>
                <w:kern w:val="0"/>
                <w:sz w:val="21"/>
                <w:szCs w:val="21"/>
              </w:rPr>
            </w:pPr>
            <w:r>
              <w:rPr>
                <w:rFonts w:hint="eastAsia" w:ascii="宋体" w:hAnsi="宋体" w:eastAsia="宋体" w:cs="宋体"/>
                <w:sz w:val="21"/>
                <w:szCs w:val="21"/>
              </w:rPr>
              <w:t>℃</w:t>
            </w:r>
          </w:p>
        </w:tc>
        <w:tc>
          <w:tcPr>
            <w:tcW w:w="1267" w:type="dxa"/>
            <w:vAlign w:val="center"/>
          </w:tcPr>
          <w:p>
            <w:pPr>
              <w:spacing w:line="300" w:lineRule="exact"/>
              <w:jc w:val="center"/>
              <w:rPr>
                <w:rFonts w:eastAsia="宋体"/>
                <w:bCs/>
                <w:kern w:val="0"/>
                <w:sz w:val="21"/>
                <w:szCs w:val="21"/>
              </w:rPr>
            </w:pPr>
            <w:r>
              <w:rPr>
                <w:rFonts w:hint="eastAsia" w:eastAsia="宋体"/>
                <w:bCs/>
                <w:kern w:val="0"/>
                <w:sz w:val="21"/>
                <w:szCs w:val="21"/>
              </w:rPr>
              <w:t>38</w:t>
            </w:r>
          </w:p>
        </w:tc>
        <w:tc>
          <w:tcPr>
            <w:tcW w:w="3325" w:type="dxa"/>
            <w:gridSpan w:val="3"/>
            <w:vAlign w:val="center"/>
          </w:tcPr>
          <w:p>
            <w:pPr>
              <w:spacing w:line="300" w:lineRule="exact"/>
              <w:jc w:val="center"/>
              <w:rPr>
                <w:rFonts w:eastAsia="宋体"/>
                <w:bCs/>
                <w:kern w:val="0"/>
                <w:sz w:val="21"/>
                <w:szCs w:val="21"/>
              </w:rPr>
            </w:pPr>
            <w:r>
              <w:rPr>
                <w:rFonts w:hint="eastAsia" w:eastAsia="宋体"/>
                <w:bCs/>
                <w:kern w:val="0"/>
                <w:sz w:val="21"/>
                <w:szCs w:val="21"/>
              </w:rPr>
              <w:t>18</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*6</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废气流速</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m/s</w:t>
            </w:r>
          </w:p>
        </w:tc>
        <w:tc>
          <w:tcPr>
            <w:tcW w:w="1267" w:type="dxa"/>
            <w:vAlign w:val="center"/>
          </w:tcPr>
          <w:p>
            <w:pPr>
              <w:spacing w:line="300" w:lineRule="exact"/>
              <w:jc w:val="center"/>
              <w:rPr>
                <w:rFonts w:eastAsia="宋体"/>
                <w:bCs/>
                <w:kern w:val="0"/>
                <w:sz w:val="21"/>
                <w:szCs w:val="21"/>
              </w:rPr>
            </w:pPr>
            <w:r>
              <w:rPr>
                <w:rFonts w:hint="eastAsia" w:eastAsia="宋体"/>
                <w:bCs/>
                <w:kern w:val="0"/>
                <w:sz w:val="21"/>
                <w:szCs w:val="21"/>
              </w:rPr>
              <w:t>1.9</w:t>
            </w:r>
          </w:p>
        </w:tc>
        <w:tc>
          <w:tcPr>
            <w:tcW w:w="1237" w:type="dxa"/>
            <w:vAlign w:val="center"/>
          </w:tcPr>
          <w:p>
            <w:pPr>
              <w:spacing w:line="300" w:lineRule="exact"/>
              <w:jc w:val="center"/>
              <w:rPr>
                <w:rFonts w:eastAsia="宋体"/>
                <w:bCs/>
                <w:kern w:val="0"/>
                <w:sz w:val="21"/>
                <w:szCs w:val="21"/>
              </w:rPr>
            </w:pPr>
            <w:r>
              <w:rPr>
                <w:rFonts w:hint="eastAsia" w:eastAsia="宋体"/>
                <w:bCs/>
                <w:kern w:val="0"/>
                <w:sz w:val="21"/>
                <w:szCs w:val="21"/>
              </w:rPr>
              <w:t>1.4</w:t>
            </w:r>
          </w:p>
        </w:tc>
        <w:tc>
          <w:tcPr>
            <w:tcW w:w="1090" w:type="dxa"/>
            <w:vAlign w:val="center"/>
          </w:tcPr>
          <w:p>
            <w:pPr>
              <w:spacing w:line="300" w:lineRule="exact"/>
              <w:jc w:val="center"/>
              <w:rPr>
                <w:rFonts w:eastAsia="宋体"/>
                <w:bCs/>
                <w:kern w:val="0"/>
                <w:sz w:val="21"/>
                <w:szCs w:val="21"/>
              </w:rPr>
            </w:pPr>
            <w:r>
              <w:rPr>
                <w:rFonts w:hint="eastAsia" w:eastAsia="宋体"/>
                <w:bCs/>
                <w:kern w:val="0"/>
                <w:sz w:val="21"/>
                <w:szCs w:val="21"/>
              </w:rPr>
              <w:t>1.7</w:t>
            </w:r>
          </w:p>
        </w:tc>
        <w:tc>
          <w:tcPr>
            <w:tcW w:w="998" w:type="dxa"/>
            <w:vAlign w:val="center"/>
          </w:tcPr>
          <w:p>
            <w:pPr>
              <w:spacing w:line="300" w:lineRule="exact"/>
              <w:jc w:val="center"/>
              <w:rPr>
                <w:rFonts w:eastAsia="宋体"/>
                <w:bCs/>
                <w:kern w:val="0"/>
                <w:sz w:val="21"/>
                <w:szCs w:val="21"/>
              </w:rPr>
            </w:pPr>
            <w:r>
              <w:rPr>
                <w:rFonts w:hint="eastAsia" w:eastAsia="宋体"/>
                <w:bCs/>
                <w:kern w:val="0"/>
                <w:sz w:val="21"/>
                <w:szCs w:val="21"/>
              </w:rPr>
              <w:t>1.9</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*7</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实测废气流量</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267" w:type="dxa"/>
            <w:vAlign w:val="center"/>
          </w:tcPr>
          <w:p>
            <w:pPr>
              <w:spacing w:line="300" w:lineRule="exact"/>
              <w:jc w:val="center"/>
              <w:rPr>
                <w:rFonts w:eastAsia="宋体"/>
                <w:bCs/>
                <w:kern w:val="0"/>
                <w:sz w:val="21"/>
                <w:szCs w:val="21"/>
              </w:rPr>
            </w:pPr>
            <w:r>
              <w:rPr>
                <w:rFonts w:hint="eastAsia" w:eastAsia="宋体"/>
                <w:bCs/>
                <w:kern w:val="0"/>
                <w:sz w:val="21"/>
                <w:szCs w:val="21"/>
              </w:rPr>
              <w:t>3.42</w:t>
            </w:r>
            <w:r>
              <w:rPr>
                <w:rFonts w:eastAsia="宋体"/>
                <w:bCs/>
                <w:kern w:val="0"/>
                <w:sz w:val="21"/>
                <w:szCs w:val="21"/>
              </w:rPr>
              <w:t>×10</w:t>
            </w:r>
            <w:r>
              <w:rPr>
                <w:rFonts w:hint="eastAsia" w:eastAsia="宋体"/>
                <w:bCs/>
                <w:kern w:val="0"/>
                <w:sz w:val="21"/>
                <w:szCs w:val="21"/>
                <w:vertAlign w:val="superscript"/>
              </w:rPr>
              <w:t>3</w:t>
            </w:r>
          </w:p>
        </w:tc>
        <w:tc>
          <w:tcPr>
            <w:tcW w:w="1237" w:type="dxa"/>
            <w:vAlign w:val="center"/>
          </w:tcPr>
          <w:p>
            <w:pPr>
              <w:spacing w:line="300" w:lineRule="exact"/>
              <w:jc w:val="center"/>
              <w:rPr>
                <w:rFonts w:eastAsia="宋体"/>
                <w:bCs/>
                <w:kern w:val="0"/>
                <w:sz w:val="21"/>
                <w:szCs w:val="21"/>
              </w:rPr>
            </w:pPr>
            <w:r>
              <w:rPr>
                <w:rFonts w:hint="eastAsia" w:eastAsia="宋体"/>
                <w:bCs/>
                <w:kern w:val="0"/>
                <w:sz w:val="21"/>
                <w:szCs w:val="21"/>
              </w:rPr>
              <w:t>2.53</w:t>
            </w:r>
            <w:r>
              <w:rPr>
                <w:rFonts w:eastAsia="宋体"/>
                <w:bCs/>
                <w:kern w:val="0"/>
                <w:sz w:val="21"/>
                <w:szCs w:val="21"/>
              </w:rPr>
              <w:t>×10</w:t>
            </w:r>
            <w:r>
              <w:rPr>
                <w:rFonts w:hint="eastAsia" w:eastAsia="宋体"/>
                <w:bCs/>
                <w:kern w:val="0"/>
                <w:sz w:val="21"/>
                <w:szCs w:val="21"/>
                <w:vertAlign w:val="superscript"/>
              </w:rPr>
              <w:t>3</w:t>
            </w:r>
          </w:p>
        </w:tc>
        <w:tc>
          <w:tcPr>
            <w:tcW w:w="1090" w:type="dxa"/>
            <w:vAlign w:val="center"/>
          </w:tcPr>
          <w:p>
            <w:pPr>
              <w:spacing w:line="300" w:lineRule="exact"/>
              <w:jc w:val="center"/>
              <w:rPr>
                <w:rFonts w:eastAsia="宋体"/>
                <w:bCs/>
                <w:kern w:val="0"/>
                <w:sz w:val="21"/>
                <w:szCs w:val="21"/>
              </w:rPr>
            </w:pPr>
            <w:r>
              <w:rPr>
                <w:rFonts w:hint="eastAsia" w:eastAsia="宋体"/>
                <w:bCs/>
                <w:kern w:val="0"/>
                <w:sz w:val="21"/>
                <w:szCs w:val="21"/>
              </w:rPr>
              <w:t>30.8</w:t>
            </w:r>
            <w:r>
              <w:rPr>
                <w:rFonts w:eastAsia="宋体"/>
                <w:bCs/>
                <w:kern w:val="0"/>
                <w:sz w:val="21"/>
                <w:szCs w:val="21"/>
              </w:rPr>
              <w:t>×10</w:t>
            </w:r>
            <w:r>
              <w:rPr>
                <w:rFonts w:hint="eastAsia" w:eastAsia="宋体"/>
                <w:bCs/>
                <w:kern w:val="0"/>
                <w:sz w:val="21"/>
                <w:szCs w:val="21"/>
                <w:vertAlign w:val="superscript"/>
              </w:rPr>
              <w:t>3</w:t>
            </w:r>
          </w:p>
        </w:tc>
        <w:tc>
          <w:tcPr>
            <w:tcW w:w="998" w:type="dxa"/>
            <w:vAlign w:val="center"/>
          </w:tcPr>
          <w:p>
            <w:pPr>
              <w:spacing w:line="300" w:lineRule="exact"/>
              <w:jc w:val="center"/>
              <w:rPr>
                <w:rFonts w:eastAsia="宋体"/>
                <w:bCs/>
                <w:kern w:val="0"/>
                <w:sz w:val="21"/>
                <w:szCs w:val="21"/>
              </w:rPr>
            </w:pPr>
            <w:r>
              <w:rPr>
                <w:rFonts w:hint="eastAsia" w:eastAsia="宋体"/>
                <w:bCs/>
                <w:kern w:val="0"/>
                <w:sz w:val="21"/>
                <w:szCs w:val="21"/>
              </w:rPr>
              <w:t>3.45</w:t>
            </w:r>
            <w:r>
              <w:rPr>
                <w:rFonts w:eastAsia="宋体"/>
                <w:bCs/>
                <w:kern w:val="0"/>
                <w:sz w:val="21"/>
                <w:szCs w:val="21"/>
              </w:rPr>
              <w:t>×10</w:t>
            </w:r>
            <w:r>
              <w:rPr>
                <w:rFonts w:hint="eastAsia" w:eastAsia="宋体"/>
                <w:bCs/>
                <w:kern w:val="0"/>
                <w:sz w:val="21"/>
                <w:szCs w:val="21"/>
                <w:vertAlign w:val="superscript"/>
              </w:rPr>
              <w:t>3</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8</w:t>
            </w:r>
          </w:p>
        </w:tc>
        <w:tc>
          <w:tcPr>
            <w:tcW w:w="1537" w:type="dxa"/>
            <w:vAlign w:val="center"/>
          </w:tcPr>
          <w:p>
            <w:pPr>
              <w:widowControl/>
              <w:spacing w:line="300" w:lineRule="exact"/>
              <w:jc w:val="center"/>
              <w:rPr>
                <w:rFonts w:eastAsia="宋体"/>
                <w:bCs/>
                <w:kern w:val="0"/>
                <w:sz w:val="21"/>
                <w:szCs w:val="21"/>
              </w:rPr>
            </w:pPr>
            <w:r>
              <w:rPr>
                <w:rFonts w:eastAsia="宋体"/>
                <w:sz w:val="21"/>
                <w:szCs w:val="21"/>
              </w:rPr>
              <w:t>标干态废气流量</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1267" w:type="dxa"/>
            <w:vAlign w:val="center"/>
          </w:tcPr>
          <w:p>
            <w:pPr>
              <w:spacing w:line="300" w:lineRule="exact"/>
              <w:jc w:val="center"/>
              <w:rPr>
                <w:rFonts w:eastAsia="宋体"/>
                <w:bCs/>
                <w:kern w:val="0"/>
                <w:sz w:val="21"/>
                <w:szCs w:val="21"/>
              </w:rPr>
            </w:pPr>
            <w:r>
              <w:rPr>
                <w:rFonts w:hint="eastAsia" w:eastAsia="宋体"/>
                <w:bCs/>
                <w:kern w:val="0"/>
                <w:sz w:val="21"/>
                <w:szCs w:val="21"/>
              </w:rPr>
              <w:t>2.84</w:t>
            </w:r>
            <w:r>
              <w:rPr>
                <w:rFonts w:eastAsia="宋体"/>
                <w:bCs/>
                <w:kern w:val="0"/>
                <w:sz w:val="21"/>
                <w:szCs w:val="21"/>
              </w:rPr>
              <w:t>×10</w:t>
            </w:r>
            <w:r>
              <w:rPr>
                <w:rFonts w:hint="eastAsia" w:eastAsia="宋体"/>
                <w:bCs/>
                <w:kern w:val="0"/>
                <w:sz w:val="21"/>
                <w:szCs w:val="21"/>
                <w:vertAlign w:val="superscript"/>
              </w:rPr>
              <w:t>3</w:t>
            </w:r>
          </w:p>
        </w:tc>
        <w:tc>
          <w:tcPr>
            <w:tcW w:w="1237" w:type="dxa"/>
            <w:vAlign w:val="center"/>
          </w:tcPr>
          <w:p>
            <w:pPr>
              <w:spacing w:line="300" w:lineRule="exact"/>
              <w:jc w:val="center"/>
              <w:rPr>
                <w:rFonts w:eastAsia="宋体"/>
                <w:bCs/>
                <w:kern w:val="0"/>
                <w:sz w:val="21"/>
                <w:szCs w:val="21"/>
              </w:rPr>
            </w:pPr>
            <w:r>
              <w:rPr>
                <w:rFonts w:hint="eastAsia" w:eastAsia="宋体"/>
                <w:bCs/>
                <w:kern w:val="0"/>
                <w:sz w:val="21"/>
                <w:szCs w:val="21"/>
              </w:rPr>
              <w:t>2.14</w:t>
            </w:r>
            <w:r>
              <w:rPr>
                <w:rFonts w:eastAsia="宋体"/>
                <w:bCs/>
                <w:kern w:val="0"/>
                <w:sz w:val="21"/>
                <w:szCs w:val="21"/>
              </w:rPr>
              <w:t>×10</w:t>
            </w:r>
            <w:r>
              <w:rPr>
                <w:rFonts w:hint="eastAsia" w:eastAsia="宋体"/>
                <w:bCs/>
                <w:kern w:val="0"/>
                <w:sz w:val="21"/>
                <w:szCs w:val="21"/>
                <w:vertAlign w:val="superscript"/>
              </w:rPr>
              <w:t>4</w:t>
            </w:r>
          </w:p>
        </w:tc>
        <w:tc>
          <w:tcPr>
            <w:tcW w:w="1090" w:type="dxa"/>
            <w:vAlign w:val="center"/>
          </w:tcPr>
          <w:p>
            <w:pPr>
              <w:spacing w:line="300" w:lineRule="exact"/>
              <w:jc w:val="center"/>
              <w:rPr>
                <w:rFonts w:eastAsia="宋体"/>
                <w:bCs/>
                <w:kern w:val="0"/>
                <w:sz w:val="21"/>
                <w:szCs w:val="21"/>
              </w:rPr>
            </w:pPr>
            <w:r>
              <w:rPr>
                <w:rFonts w:hint="eastAsia" w:eastAsia="宋体"/>
                <w:bCs/>
                <w:kern w:val="0"/>
                <w:sz w:val="21"/>
                <w:szCs w:val="21"/>
              </w:rPr>
              <w:t>2.60</w:t>
            </w:r>
            <w:r>
              <w:rPr>
                <w:rFonts w:eastAsia="宋体"/>
                <w:bCs/>
                <w:kern w:val="0"/>
                <w:sz w:val="21"/>
                <w:szCs w:val="21"/>
              </w:rPr>
              <w:t>×10</w:t>
            </w:r>
            <w:r>
              <w:rPr>
                <w:rFonts w:hint="eastAsia" w:eastAsia="宋体"/>
                <w:bCs/>
                <w:kern w:val="0"/>
                <w:sz w:val="21"/>
                <w:szCs w:val="21"/>
                <w:vertAlign w:val="superscript"/>
              </w:rPr>
              <w:t>3</w:t>
            </w:r>
          </w:p>
        </w:tc>
        <w:tc>
          <w:tcPr>
            <w:tcW w:w="998" w:type="dxa"/>
            <w:vAlign w:val="center"/>
          </w:tcPr>
          <w:p>
            <w:pPr>
              <w:spacing w:line="300" w:lineRule="exact"/>
              <w:jc w:val="center"/>
              <w:rPr>
                <w:rFonts w:eastAsia="宋体"/>
                <w:bCs/>
                <w:kern w:val="0"/>
                <w:sz w:val="21"/>
                <w:szCs w:val="21"/>
              </w:rPr>
            </w:pPr>
            <w:r>
              <w:rPr>
                <w:rFonts w:hint="eastAsia" w:eastAsia="宋体"/>
                <w:bCs/>
                <w:kern w:val="0"/>
                <w:sz w:val="21"/>
                <w:szCs w:val="21"/>
              </w:rPr>
              <w:t>2.92</w:t>
            </w:r>
            <w:r>
              <w:rPr>
                <w:rFonts w:eastAsia="宋体"/>
                <w:bCs/>
                <w:kern w:val="0"/>
                <w:sz w:val="21"/>
                <w:szCs w:val="21"/>
              </w:rPr>
              <w:t>×10</w:t>
            </w:r>
            <w:r>
              <w:rPr>
                <w:rFonts w:hint="eastAsia" w:eastAsia="宋体"/>
                <w:bCs/>
                <w:kern w:val="0"/>
                <w:sz w:val="21"/>
                <w:szCs w:val="21"/>
                <w:vertAlign w:val="superscript"/>
              </w:rPr>
              <w:t>3</w:t>
            </w:r>
          </w:p>
        </w:tc>
        <w:tc>
          <w:tcPr>
            <w:tcW w:w="674"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5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lang w:val="zh-CN"/>
              </w:rPr>
            </w:pPr>
            <w:r>
              <w:rPr>
                <w:rFonts w:eastAsia="宋体"/>
                <w:sz w:val="21"/>
                <w:szCs w:val="21"/>
              </w:rPr>
              <w:t>9</w:t>
            </w:r>
          </w:p>
        </w:tc>
        <w:tc>
          <w:tcPr>
            <w:tcW w:w="1537" w:type="dxa"/>
            <w:vAlign w:val="center"/>
          </w:tcPr>
          <w:p>
            <w:pPr>
              <w:widowControl/>
              <w:adjustRightInd w:val="0"/>
              <w:snapToGrid w:val="0"/>
              <w:spacing w:line="300" w:lineRule="exact"/>
              <w:jc w:val="center"/>
              <w:rPr>
                <w:rFonts w:eastAsia="宋体"/>
                <w:kern w:val="0"/>
                <w:sz w:val="21"/>
                <w:szCs w:val="21"/>
              </w:rPr>
            </w:pPr>
            <w:r>
              <w:rPr>
                <w:rFonts w:hint="eastAsia" w:eastAsia="宋体"/>
                <w:sz w:val="21"/>
                <w:szCs w:val="21"/>
              </w:rPr>
              <w:t>硫酸雾</w:t>
            </w:r>
            <w:r>
              <w:rPr>
                <w:rFonts w:eastAsia="宋体"/>
                <w:sz w:val="21"/>
                <w:szCs w:val="21"/>
              </w:rPr>
              <w:t>排放浓度</w:t>
            </w:r>
          </w:p>
        </w:tc>
        <w:tc>
          <w:tcPr>
            <w:tcW w:w="987"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267" w:type="dxa"/>
            <w:vAlign w:val="center"/>
          </w:tcPr>
          <w:p>
            <w:pPr>
              <w:spacing w:line="300" w:lineRule="exact"/>
              <w:jc w:val="center"/>
              <w:rPr>
                <w:rFonts w:eastAsia="宋体"/>
                <w:kern w:val="0"/>
                <w:sz w:val="21"/>
                <w:szCs w:val="21"/>
              </w:rPr>
            </w:pPr>
            <w:r>
              <w:rPr>
                <w:rFonts w:hint="eastAsia" w:eastAsia="宋体"/>
                <w:kern w:val="0"/>
                <w:sz w:val="21"/>
                <w:szCs w:val="21"/>
              </w:rPr>
              <w:t>0.711</w:t>
            </w:r>
          </w:p>
        </w:tc>
        <w:tc>
          <w:tcPr>
            <w:tcW w:w="1237" w:type="dxa"/>
            <w:vAlign w:val="center"/>
          </w:tcPr>
          <w:p>
            <w:pPr>
              <w:spacing w:line="300" w:lineRule="exact"/>
              <w:jc w:val="center"/>
              <w:rPr>
                <w:rFonts w:eastAsia="宋体"/>
                <w:kern w:val="0"/>
                <w:sz w:val="21"/>
                <w:szCs w:val="21"/>
              </w:rPr>
            </w:pPr>
            <w:r>
              <w:rPr>
                <w:rFonts w:hint="eastAsia" w:eastAsia="宋体"/>
                <w:kern w:val="0"/>
                <w:sz w:val="21"/>
                <w:szCs w:val="21"/>
              </w:rPr>
              <w:t>5.93</w:t>
            </w:r>
          </w:p>
        </w:tc>
        <w:tc>
          <w:tcPr>
            <w:tcW w:w="1090" w:type="dxa"/>
            <w:vAlign w:val="center"/>
          </w:tcPr>
          <w:p>
            <w:pPr>
              <w:spacing w:line="300" w:lineRule="exact"/>
              <w:jc w:val="center"/>
              <w:rPr>
                <w:rFonts w:eastAsia="宋体"/>
                <w:kern w:val="0"/>
                <w:sz w:val="21"/>
                <w:szCs w:val="21"/>
              </w:rPr>
            </w:pPr>
            <w:r>
              <w:rPr>
                <w:rFonts w:hint="eastAsia" w:eastAsia="宋体"/>
                <w:kern w:val="0"/>
                <w:sz w:val="21"/>
                <w:szCs w:val="21"/>
              </w:rPr>
              <w:t>4.87</w:t>
            </w:r>
          </w:p>
        </w:tc>
        <w:tc>
          <w:tcPr>
            <w:tcW w:w="998" w:type="dxa"/>
            <w:vAlign w:val="center"/>
          </w:tcPr>
          <w:p>
            <w:pPr>
              <w:spacing w:line="300" w:lineRule="exact"/>
              <w:jc w:val="center"/>
              <w:rPr>
                <w:rFonts w:eastAsia="宋体"/>
                <w:kern w:val="0"/>
                <w:sz w:val="21"/>
                <w:szCs w:val="21"/>
              </w:rPr>
            </w:pPr>
            <w:r>
              <w:rPr>
                <w:rFonts w:hint="eastAsia" w:eastAsia="宋体"/>
                <w:kern w:val="0"/>
                <w:sz w:val="21"/>
                <w:szCs w:val="21"/>
              </w:rPr>
              <w:t>4.90</w:t>
            </w:r>
          </w:p>
        </w:tc>
        <w:tc>
          <w:tcPr>
            <w:tcW w:w="674" w:type="dxa"/>
            <w:vAlign w:val="center"/>
          </w:tcPr>
          <w:p>
            <w:pPr>
              <w:spacing w:line="300" w:lineRule="exact"/>
              <w:ind w:left="-141" w:leftChars="-50" w:right="-141" w:rightChars="-50"/>
              <w:jc w:val="center"/>
              <w:rPr>
                <w:rFonts w:eastAsia="宋体"/>
                <w:kern w:val="0"/>
                <w:sz w:val="21"/>
                <w:szCs w:val="21"/>
              </w:rPr>
            </w:pPr>
            <w:r>
              <w:rPr>
                <w:rFonts w:hint="eastAsia" w:eastAsia="宋体"/>
                <w:kern w:val="0"/>
                <w:sz w:val="21"/>
                <w:szCs w:val="21"/>
              </w:rPr>
              <w:t>≤10</w:t>
            </w:r>
          </w:p>
        </w:tc>
        <w:tc>
          <w:tcPr>
            <w:tcW w:w="581" w:type="dxa"/>
            <w:vAlign w:val="center"/>
          </w:tcPr>
          <w:p>
            <w:pPr>
              <w:spacing w:line="300" w:lineRule="exact"/>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30" w:type="dxa"/>
            <w:vAlign w:val="center"/>
          </w:tcPr>
          <w:p>
            <w:pPr>
              <w:widowControl/>
              <w:spacing w:line="300" w:lineRule="exact"/>
              <w:jc w:val="center"/>
              <w:rPr>
                <w:rFonts w:eastAsia="宋体"/>
                <w:bCs/>
                <w:kern w:val="0"/>
                <w:sz w:val="21"/>
                <w:szCs w:val="21"/>
              </w:rPr>
            </w:pPr>
            <w:r>
              <w:rPr>
                <w:rFonts w:hint="eastAsia" w:eastAsia="宋体"/>
                <w:bCs/>
                <w:kern w:val="0"/>
                <w:sz w:val="21"/>
                <w:szCs w:val="21"/>
              </w:rPr>
              <w:t>10</w:t>
            </w:r>
          </w:p>
        </w:tc>
        <w:tc>
          <w:tcPr>
            <w:tcW w:w="1537" w:type="dxa"/>
            <w:vAlign w:val="center"/>
          </w:tcPr>
          <w:p>
            <w:pPr>
              <w:widowControl/>
              <w:adjustRightInd w:val="0"/>
              <w:snapToGrid w:val="0"/>
              <w:spacing w:line="300" w:lineRule="exact"/>
              <w:jc w:val="center"/>
              <w:rPr>
                <w:rFonts w:eastAsia="宋体"/>
                <w:kern w:val="0"/>
                <w:sz w:val="21"/>
                <w:szCs w:val="21"/>
              </w:rPr>
            </w:pPr>
            <w:r>
              <w:rPr>
                <w:rFonts w:hint="eastAsia" w:eastAsia="宋体"/>
                <w:sz w:val="21"/>
                <w:szCs w:val="21"/>
              </w:rPr>
              <w:t>硫酸雾</w:t>
            </w:r>
            <w:r>
              <w:rPr>
                <w:rFonts w:eastAsia="宋体"/>
                <w:sz w:val="21"/>
                <w:szCs w:val="21"/>
              </w:rPr>
              <w:t>排放速率</w:t>
            </w:r>
          </w:p>
        </w:tc>
        <w:tc>
          <w:tcPr>
            <w:tcW w:w="987"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267" w:type="dxa"/>
            <w:vAlign w:val="center"/>
          </w:tcPr>
          <w:p>
            <w:pPr>
              <w:spacing w:line="300" w:lineRule="exact"/>
              <w:jc w:val="center"/>
              <w:rPr>
                <w:rFonts w:eastAsia="宋体"/>
                <w:kern w:val="0"/>
                <w:sz w:val="21"/>
                <w:szCs w:val="21"/>
              </w:rPr>
            </w:pPr>
            <w:r>
              <w:rPr>
                <w:rFonts w:hint="eastAsia" w:eastAsia="宋体"/>
                <w:kern w:val="0"/>
                <w:sz w:val="21"/>
                <w:szCs w:val="21"/>
              </w:rPr>
              <w:t>0.00202</w:t>
            </w:r>
          </w:p>
        </w:tc>
        <w:tc>
          <w:tcPr>
            <w:tcW w:w="1237" w:type="dxa"/>
            <w:vAlign w:val="center"/>
          </w:tcPr>
          <w:p>
            <w:pPr>
              <w:spacing w:line="300" w:lineRule="exact"/>
              <w:jc w:val="center"/>
              <w:rPr>
                <w:rFonts w:eastAsia="宋体"/>
                <w:kern w:val="0"/>
                <w:sz w:val="21"/>
                <w:szCs w:val="21"/>
              </w:rPr>
            </w:pPr>
            <w:r>
              <w:rPr>
                <w:rFonts w:hint="eastAsia" w:eastAsia="宋体"/>
                <w:kern w:val="0"/>
                <w:sz w:val="21"/>
                <w:szCs w:val="21"/>
              </w:rPr>
              <w:t>0.0127</w:t>
            </w:r>
          </w:p>
        </w:tc>
        <w:tc>
          <w:tcPr>
            <w:tcW w:w="1090" w:type="dxa"/>
            <w:vAlign w:val="center"/>
          </w:tcPr>
          <w:p>
            <w:pPr>
              <w:spacing w:line="300" w:lineRule="exact"/>
              <w:jc w:val="center"/>
              <w:rPr>
                <w:rFonts w:eastAsia="宋体"/>
                <w:kern w:val="0"/>
                <w:sz w:val="21"/>
                <w:szCs w:val="21"/>
              </w:rPr>
            </w:pPr>
            <w:r>
              <w:rPr>
                <w:rFonts w:hint="eastAsia" w:eastAsia="宋体"/>
                <w:kern w:val="0"/>
                <w:sz w:val="21"/>
                <w:szCs w:val="21"/>
              </w:rPr>
              <w:t>0.0127</w:t>
            </w:r>
          </w:p>
        </w:tc>
        <w:tc>
          <w:tcPr>
            <w:tcW w:w="998" w:type="dxa"/>
            <w:vAlign w:val="center"/>
          </w:tcPr>
          <w:p>
            <w:pPr>
              <w:spacing w:line="300" w:lineRule="exact"/>
              <w:jc w:val="center"/>
              <w:rPr>
                <w:rFonts w:eastAsia="宋体"/>
                <w:kern w:val="0"/>
                <w:sz w:val="21"/>
                <w:szCs w:val="21"/>
              </w:rPr>
            </w:pPr>
            <w:r>
              <w:rPr>
                <w:rFonts w:hint="eastAsia" w:eastAsia="宋体"/>
                <w:kern w:val="0"/>
                <w:sz w:val="21"/>
                <w:szCs w:val="21"/>
              </w:rPr>
              <w:t>0.0143</w:t>
            </w:r>
          </w:p>
        </w:tc>
        <w:tc>
          <w:tcPr>
            <w:tcW w:w="674" w:type="dxa"/>
            <w:vAlign w:val="center"/>
          </w:tcPr>
          <w:p>
            <w:pPr>
              <w:spacing w:line="300" w:lineRule="exact"/>
              <w:ind w:left="-141" w:leftChars="-50" w:right="-141" w:rightChars="-50"/>
              <w:jc w:val="center"/>
              <w:rPr>
                <w:rFonts w:eastAsia="宋体"/>
                <w:kern w:val="0"/>
                <w:sz w:val="21"/>
                <w:szCs w:val="21"/>
              </w:rPr>
            </w:pPr>
            <w:r>
              <w:rPr>
                <w:rFonts w:hint="eastAsia" w:eastAsia="宋体"/>
                <w:kern w:val="0"/>
                <w:sz w:val="21"/>
                <w:szCs w:val="21"/>
              </w:rPr>
              <w:t>/</w:t>
            </w:r>
          </w:p>
        </w:tc>
        <w:tc>
          <w:tcPr>
            <w:tcW w:w="581" w:type="dxa"/>
            <w:vAlign w:val="center"/>
          </w:tcPr>
          <w:p>
            <w:pPr>
              <w:spacing w:line="300" w:lineRule="exact"/>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9"/>
            <w:vAlign w:val="center"/>
          </w:tcPr>
          <w:p>
            <w:pPr>
              <w:widowControl/>
              <w:spacing w:line="30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 xml:space="preserve">有*为现场测试值 </w:t>
            </w:r>
          </w:p>
        </w:tc>
      </w:tr>
    </w:tbl>
    <w:p>
      <w:pPr>
        <w:pStyle w:val="4"/>
        <w:spacing w:line="480" w:lineRule="exact"/>
        <w:rPr>
          <w:rFonts w:ascii="Times New Roman" w:hAnsi="Times New Roman" w:cs="Times New Roman"/>
          <w:spacing w:val="0"/>
        </w:rPr>
      </w:pPr>
      <w:r>
        <w:rPr>
          <w:rFonts w:hint="eastAsia" w:ascii="Times New Roman" w:hAnsi="Times New Roman" w:cs="Times New Roman"/>
          <w:spacing w:val="0"/>
        </w:rPr>
        <w:t>由表3-</w:t>
      </w:r>
      <w:r>
        <w:rPr>
          <w:rFonts w:ascii="Times New Roman" w:hAnsi="Times New Roman" w:cs="Times New Roman"/>
          <w:spacing w:val="0"/>
        </w:rPr>
        <w:t>22</w:t>
      </w:r>
      <w:r>
        <w:rPr>
          <w:rFonts w:hint="eastAsia" w:ascii="宋体" w:hAnsi="宋体" w:cs="Times New Roman"/>
          <w:spacing w:val="0"/>
        </w:rPr>
        <w:t>～</w:t>
      </w:r>
      <w:r>
        <w:rPr>
          <w:rFonts w:hint="eastAsia" w:ascii="Times New Roman" w:hAnsi="Times New Roman" w:cs="Times New Roman"/>
          <w:spacing w:val="0"/>
        </w:rPr>
        <w:t>3-</w:t>
      </w:r>
      <w:r>
        <w:rPr>
          <w:rFonts w:ascii="Times New Roman" w:hAnsi="Times New Roman" w:cs="Times New Roman"/>
          <w:spacing w:val="0"/>
        </w:rPr>
        <w:t>24</w:t>
      </w:r>
      <w:r>
        <w:rPr>
          <w:rFonts w:hint="eastAsia" w:ascii="Times New Roman" w:hAnsi="Times New Roman" w:cs="Times New Roman"/>
          <w:spacing w:val="0"/>
        </w:rPr>
        <w:t>可知，酸洗废气排放均能满足《轧钢工业大气污染物排放标准》(GB28665-2012)表3中酸洗机组相关的特别排放限值要求，但是废气</w:t>
      </w:r>
      <w:r>
        <w:rPr>
          <w:rFonts w:ascii="Times New Roman" w:hAnsi="Times New Roman" w:cs="Times New Roman"/>
          <w:spacing w:val="0"/>
        </w:rPr>
        <w:t>排放浓度波动较大，</w:t>
      </w:r>
      <w:r>
        <w:rPr>
          <w:rFonts w:hint="eastAsia" w:ascii="Times New Roman" w:hAnsi="Times New Roman" w:cs="Times New Roman"/>
          <w:spacing w:val="0"/>
        </w:rPr>
        <w:t>特别</w:t>
      </w:r>
      <w:r>
        <w:rPr>
          <w:rFonts w:ascii="Times New Roman" w:hAnsi="Times New Roman" w:cs="Times New Roman"/>
          <w:spacing w:val="0"/>
        </w:rPr>
        <w:t>是</w:t>
      </w:r>
      <w:r>
        <w:rPr>
          <w:rFonts w:hint="eastAsia" w:ascii="Times New Roman" w:hAnsi="Times New Roman" w:cs="Times New Roman"/>
          <w:spacing w:val="0"/>
        </w:rPr>
        <w:t>DA006、DA008排气筒</w:t>
      </w:r>
      <w:r>
        <w:rPr>
          <w:rFonts w:ascii="Times New Roman" w:hAnsi="Times New Roman" w:cs="Times New Roman"/>
          <w:spacing w:val="0"/>
        </w:rPr>
        <w:t>出口废气，企业应加强酸洗</w:t>
      </w:r>
      <w:r>
        <w:rPr>
          <w:rFonts w:hint="eastAsia" w:ascii="Times New Roman" w:hAnsi="Times New Roman" w:cs="Times New Roman"/>
          <w:spacing w:val="0"/>
        </w:rPr>
        <w:t>废气各</w:t>
      </w:r>
      <w:r>
        <w:rPr>
          <w:rFonts w:ascii="Times New Roman" w:hAnsi="Times New Roman" w:cs="Times New Roman"/>
          <w:spacing w:val="0"/>
        </w:rPr>
        <w:t>治理措施的运行管理，确保废气稳定达标排放</w:t>
      </w:r>
      <w:r>
        <w:rPr>
          <w:rFonts w:hint="eastAsia" w:ascii="Times New Roman" w:hAnsi="Times New Roman" w:cs="Times New Roman"/>
          <w:spacing w:val="0"/>
        </w:rPr>
        <w:t>。</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⑤锅炉废气</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锅炉废气排放口DA009监测结果详见表3-2</w:t>
      </w:r>
      <w:r>
        <w:rPr>
          <w:rFonts w:ascii="Times New Roman" w:hAnsi="Times New Roman" w:cs="Times New Roman"/>
          <w:spacing w:val="0"/>
        </w:rPr>
        <w:t>5</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锅炉废气排放口</w:t>
      </w:r>
      <w:r>
        <w:rPr>
          <w:rFonts w:hint="eastAsia" w:ascii="Times New Roman" w:hAnsi="Times New Roman"/>
        </w:rPr>
        <w:t>检测结果</w:t>
      </w:r>
    </w:p>
    <w:tbl>
      <w:tblPr>
        <w:tblStyle w:val="87"/>
        <w:tblpPr w:leftFromText="181" w:rightFromText="181" w:vertAnchor="text" w:tblpXSpec="center" w:tblpY="1"/>
        <w:tblOverlap w:val="never"/>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936"/>
        <w:gridCol w:w="1232"/>
        <w:gridCol w:w="1281"/>
        <w:gridCol w:w="1510"/>
        <w:gridCol w:w="1035"/>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kern w:val="0"/>
                <w:sz w:val="21"/>
                <w:szCs w:val="21"/>
              </w:rPr>
            </w:pPr>
            <w:r>
              <w:rPr>
                <w:rFonts w:eastAsia="宋体"/>
                <w:sz w:val="21"/>
                <w:szCs w:val="21"/>
              </w:rPr>
              <w:t>序号</w:t>
            </w:r>
          </w:p>
        </w:tc>
        <w:tc>
          <w:tcPr>
            <w:tcW w:w="1936" w:type="dxa"/>
            <w:vAlign w:val="center"/>
          </w:tcPr>
          <w:p>
            <w:pPr>
              <w:widowControl/>
              <w:spacing w:line="300" w:lineRule="exact"/>
              <w:jc w:val="center"/>
              <w:rPr>
                <w:rFonts w:eastAsia="宋体"/>
                <w:kern w:val="0"/>
                <w:sz w:val="21"/>
                <w:szCs w:val="21"/>
              </w:rPr>
            </w:pPr>
            <w:r>
              <w:rPr>
                <w:rFonts w:eastAsia="宋体"/>
                <w:sz w:val="21"/>
                <w:szCs w:val="21"/>
              </w:rPr>
              <w:t>项目</w:t>
            </w:r>
          </w:p>
        </w:tc>
        <w:tc>
          <w:tcPr>
            <w:tcW w:w="1232" w:type="dxa"/>
            <w:vAlign w:val="center"/>
          </w:tcPr>
          <w:p>
            <w:pPr>
              <w:widowControl/>
              <w:spacing w:line="300" w:lineRule="exact"/>
              <w:jc w:val="center"/>
              <w:rPr>
                <w:rFonts w:eastAsia="宋体"/>
                <w:kern w:val="0"/>
                <w:sz w:val="21"/>
                <w:szCs w:val="21"/>
              </w:rPr>
            </w:pPr>
            <w:r>
              <w:rPr>
                <w:rFonts w:eastAsia="宋体"/>
                <w:sz w:val="21"/>
                <w:szCs w:val="21"/>
              </w:rPr>
              <w:t>单位</w:t>
            </w:r>
          </w:p>
        </w:tc>
        <w:tc>
          <w:tcPr>
            <w:tcW w:w="2791" w:type="dxa"/>
            <w:gridSpan w:val="2"/>
            <w:vAlign w:val="center"/>
          </w:tcPr>
          <w:p>
            <w:pPr>
              <w:widowControl/>
              <w:spacing w:line="300" w:lineRule="exact"/>
              <w:jc w:val="center"/>
              <w:rPr>
                <w:rFonts w:eastAsia="宋体"/>
                <w:kern w:val="0"/>
                <w:sz w:val="21"/>
                <w:szCs w:val="21"/>
              </w:rPr>
            </w:pPr>
            <w:r>
              <w:rPr>
                <w:rFonts w:eastAsia="宋体"/>
                <w:sz w:val="21"/>
                <w:szCs w:val="21"/>
              </w:rPr>
              <w:t>检测结果</w:t>
            </w:r>
          </w:p>
        </w:tc>
        <w:tc>
          <w:tcPr>
            <w:tcW w:w="1035" w:type="dxa"/>
            <w:vAlign w:val="center"/>
          </w:tcPr>
          <w:p>
            <w:pPr>
              <w:widowControl/>
              <w:spacing w:line="300" w:lineRule="exact"/>
              <w:jc w:val="center"/>
              <w:rPr>
                <w:rFonts w:eastAsia="宋体"/>
                <w:kern w:val="0"/>
                <w:sz w:val="21"/>
                <w:szCs w:val="21"/>
              </w:rPr>
            </w:pPr>
            <w:r>
              <w:rPr>
                <w:rFonts w:hint="eastAsia" w:eastAsia="宋体"/>
                <w:kern w:val="0"/>
                <w:sz w:val="21"/>
                <w:szCs w:val="21"/>
              </w:rPr>
              <w:t>标准值</w:t>
            </w:r>
          </w:p>
        </w:tc>
        <w:tc>
          <w:tcPr>
            <w:tcW w:w="1149" w:type="dxa"/>
            <w:vAlign w:val="center"/>
          </w:tcPr>
          <w:p>
            <w:pPr>
              <w:widowControl/>
              <w:spacing w:line="300" w:lineRule="exact"/>
              <w:jc w:val="center"/>
              <w:rPr>
                <w:rFonts w:eastAsia="宋体"/>
                <w:kern w:val="0"/>
                <w:sz w:val="21"/>
                <w:szCs w:val="21"/>
              </w:rPr>
            </w:pPr>
            <w:r>
              <w:rPr>
                <w:rFonts w:hint="eastAsia" w:eastAsia="宋体"/>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1</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测试地点</w:t>
            </w:r>
          </w:p>
        </w:tc>
        <w:tc>
          <w:tcPr>
            <w:tcW w:w="1232" w:type="dxa"/>
            <w:vAlign w:val="center"/>
          </w:tcPr>
          <w:p>
            <w:pPr>
              <w:widowControl/>
              <w:spacing w:line="300" w:lineRule="exact"/>
              <w:jc w:val="center"/>
              <w:rPr>
                <w:rFonts w:eastAsia="宋体"/>
                <w:bCs/>
                <w:kern w:val="0"/>
                <w:sz w:val="21"/>
                <w:szCs w:val="21"/>
                <w:lang w:val="zh-CN"/>
              </w:rPr>
            </w:pPr>
            <w:r>
              <w:rPr>
                <w:rFonts w:eastAsia="宋体"/>
                <w:sz w:val="21"/>
                <w:szCs w:val="21"/>
              </w:rPr>
              <w:t>/</w:t>
            </w:r>
          </w:p>
        </w:tc>
        <w:tc>
          <w:tcPr>
            <w:tcW w:w="2791" w:type="dxa"/>
            <w:gridSpan w:val="2"/>
            <w:vAlign w:val="center"/>
          </w:tcPr>
          <w:p>
            <w:pPr>
              <w:widowControl/>
              <w:spacing w:line="300" w:lineRule="exact"/>
              <w:jc w:val="center"/>
              <w:rPr>
                <w:rFonts w:eastAsia="宋体"/>
                <w:bCs/>
                <w:kern w:val="0"/>
                <w:sz w:val="21"/>
                <w:szCs w:val="21"/>
              </w:rPr>
            </w:pPr>
            <w:r>
              <w:rPr>
                <w:rFonts w:hint="eastAsia" w:eastAsia="宋体"/>
                <w:kern w:val="0"/>
                <w:sz w:val="21"/>
                <w:szCs w:val="21"/>
              </w:rPr>
              <w:t>锅炉废气排放口DA009</w:t>
            </w:r>
          </w:p>
        </w:tc>
        <w:tc>
          <w:tcPr>
            <w:tcW w:w="1035"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2</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测试时间</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2018.9.19</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2018.12.12</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3</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排气筒高度</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w:t>
            </w:r>
          </w:p>
        </w:tc>
        <w:tc>
          <w:tcPr>
            <w:tcW w:w="2791" w:type="dxa"/>
            <w:gridSpan w:val="2"/>
            <w:vAlign w:val="center"/>
          </w:tcPr>
          <w:p>
            <w:pPr>
              <w:spacing w:line="300" w:lineRule="exact"/>
              <w:jc w:val="center"/>
              <w:rPr>
                <w:rFonts w:eastAsia="宋体"/>
                <w:bCs/>
                <w:kern w:val="0"/>
                <w:sz w:val="21"/>
                <w:szCs w:val="21"/>
              </w:rPr>
            </w:pPr>
            <w:r>
              <w:rPr>
                <w:rFonts w:hint="eastAsia" w:eastAsia="宋体"/>
                <w:bCs/>
                <w:kern w:val="0"/>
                <w:sz w:val="21"/>
                <w:szCs w:val="21"/>
              </w:rPr>
              <w:t>20</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4</w:t>
            </w:r>
          </w:p>
        </w:tc>
        <w:tc>
          <w:tcPr>
            <w:tcW w:w="1936" w:type="dxa"/>
            <w:vAlign w:val="center"/>
          </w:tcPr>
          <w:p>
            <w:pPr>
              <w:widowControl/>
              <w:spacing w:line="300" w:lineRule="exact"/>
              <w:jc w:val="center"/>
              <w:rPr>
                <w:rFonts w:eastAsia="宋体"/>
                <w:bCs/>
                <w:kern w:val="0"/>
                <w:sz w:val="21"/>
                <w:szCs w:val="21"/>
              </w:rPr>
            </w:pPr>
            <w:r>
              <w:rPr>
                <w:rFonts w:hint="eastAsia" w:eastAsia="宋体"/>
                <w:bCs/>
                <w:kern w:val="0"/>
                <w:sz w:val="21"/>
                <w:szCs w:val="21"/>
              </w:rPr>
              <w:t>测试工况</w:t>
            </w:r>
          </w:p>
        </w:tc>
        <w:tc>
          <w:tcPr>
            <w:tcW w:w="1232" w:type="dxa"/>
            <w:vAlign w:val="center"/>
          </w:tcPr>
          <w:p>
            <w:pPr>
              <w:widowControl/>
              <w:spacing w:line="300" w:lineRule="exact"/>
              <w:jc w:val="center"/>
              <w:rPr>
                <w:rFonts w:eastAsia="宋体"/>
                <w:bCs/>
                <w:kern w:val="0"/>
                <w:sz w:val="21"/>
                <w:szCs w:val="21"/>
              </w:rPr>
            </w:pPr>
            <w:r>
              <w:rPr>
                <w:rFonts w:hint="eastAsia" w:eastAsia="宋体"/>
                <w:bCs/>
                <w:kern w:val="0"/>
                <w:sz w:val="21"/>
                <w:szCs w:val="21"/>
              </w:rPr>
              <w:t>/</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510" w:type="dxa"/>
            <w:vAlign w:val="center"/>
          </w:tcPr>
          <w:p>
            <w:pPr>
              <w:spacing w:line="300" w:lineRule="exact"/>
              <w:jc w:val="center"/>
              <w:rPr>
                <w:rFonts w:eastAsia="宋体"/>
                <w:bCs/>
                <w:kern w:val="0"/>
                <w:sz w:val="21"/>
                <w:szCs w:val="21"/>
              </w:rPr>
            </w:pP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hint="eastAsia" w:eastAsia="宋体"/>
                <w:sz w:val="21"/>
                <w:szCs w:val="21"/>
              </w:rPr>
              <w:t>5</w:t>
            </w:r>
          </w:p>
        </w:tc>
        <w:tc>
          <w:tcPr>
            <w:tcW w:w="1936" w:type="dxa"/>
            <w:vAlign w:val="center"/>
          </w:tcPr>
          <w:p>
            <w:pPr>
              <w:widowControl/>
              <w:spacing w:line="300" w:lineRule="exact"/>
              <w:jc w:val="center"/>
              <w:rPr>
                <w:rFonts w:eastAsia="宋体"/>
                <w:sz w:val="21"/>
                <w:szCs w:val="21"/>
              </w:rPr>
            </w:pPr>
            <w:r>
              <w:rPr>
                <w:rFonts w:eastAsia="宋体"/>
                <w:sz w:val="21"/>
                <w:szCs w:val="21"/>
              </w:rPr>
              <w:t>废气温度</w:t>
            </w:r>
          </w:p>
        </w:tc>
        <w:tc>
          <w:tcPr>
            <w:tcW w:w="1232" w:type="dxa"/>
            <w:vAlign w:val="center"/>
          </w:tcPr>
          <w:p>
            <w:pPr>
              <w:widowControl/>
              <w:spacing w:line="300" w:lineRule="exact"/>
              <w:jc w:val="center"/>
              <w:rPr>
                <w:rFonts w:ascii="宋体" w:hAnsi="宋体" w:eastAsia="宋体" w:cs="宋体"/>
                <w:sz w:val="21"/>
                <w:szCs w:val="21"/>
              </w:rPr>
            </w:pPr>
            <w:r>
              <w:rPr>
                <w:rFonts w:hint="eastAsia" w:ascii="宋体" w:hAnsi="宋体" w:eastAsia="宋体" w:cs="宋体"/>
                <w:sz w:val="21"/>
                <w:szCs w:val="21"/>
              </w:rPr>
              <w:t>℃</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123</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137</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w:t>
            </w:r>
            <w:r>
              <w:rPr>
                <w:rFonts w:hint="eastAsia" w:eastAsia="宋体"/>
                <w:sz w:val="21"/>
                <w:szCs w:val="21"/>
              </w:rPr>
              <w:t>6</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废气流速</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m/s</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2.6</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5.1</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w:t>
            </w:r>
            <w:r>
              <w:rPr>
                <w:rFonts w:hint="eastAsia" w:eastAsia="宋体"/>
                <w:sz w:val="21"/>
                <w:szCs w:val="21"/>
              </w:rPr>
              <w:t>7</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实测废气流量</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w:t>
            </w:r>
            <w:r>
              <w:rPr>
                <w:rFonts w:eastAsia="宋体"/>
                <w:sz w:val="21"/>
                <w:szCs w:val="21"/>
                <w:vertAlign w:val="superscript"/>
              </w:rPr>
              <w:t>3</w:t>
            </w:r>
            <w:r>
              <w:rPr>
                <w:rFonts w:eastAsia="宋体"/>
                <w:sz w:val="21"/>
                <w:szCs w:val="21"/>
              </w:rPr>
              <w:t>/h</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1.48</w:t>
            </w:r>
            <w:r>
              <w:rPr>
                <w:rFonts w:eastAsia="宋体"/>
                <w:bCs/>
                <w:kern w:val="0"/>
                <w:sz w:val="21"/>
                <w:szCs w:val="21"/>
              </w:rPr>
              <w:t>×10</w:t>
            </w:r>
            <w:r>
              <w:rPr>
                <w:rFonts w:hint="eastAsia" w:eastAsia="宋体"/>
                <w:bCs/>
                <w:kern w:val="0"/>
                <w:sz w:val="21"/>
                <w:szCs w:val="21"/>
                <w:vertAlign w:val="superscript"/>
              </w:rPr>
              <w:t>3</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2.90</w:t>
            </w:r>
            <w:r>
              <w:rPr>
                <w:rFonts w:eastAsia="宋体"/>
                <w:bCs/>
                <w:kern w:val="0"/>
                <w:sz w:val="21"/>
                <w:szCs w:val="21"/>
              </w:rPr>
              <w:t>×10</w:t>
            </w:r>
            <w:r>
              <w:rPr>
                <w:rFonts w:hint="eastAsia" w:eastAsia="宋体"/>
                <w:bCs/>
                <w:kern w:val="0"/>
                <w:sz w:val="21"/>
                <w:szCs w:val="21"/>
                <w:vertAlign w:val="superscript"/>
              </w:rPr>
              <w:t>3</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eastAsia="宋体"/>
                <w:sz w:val="21"/>
                <w:szCs w:val="21"/>
              </w:rPr>
              <w:t>*</w:t>
            </w:r>
            <w:r>
              <w:rPr>
                <w:rFonts w:hint="eastAsia" w:eastAsia="宋体"/>
                <w:sz w:val="21"/>
                <w:szCs w:val="21"/>
              </w:rPr>
              <w:t>8</w:t>
            </w:r>
          </w:p>
        </w:tc>
        <w:tc>
          <w:tcPr>
            <w:tcW w:w="1936" w:type="dxa"/>
            <w:vAlign w:val="center"/>
          </w:tcPr>
          <w:p>
            <w:pPr>
              <w:widowControl/>
              <w:spacing w:line="300" w:lineRule="exact"/>
              <w:jc w:val="center"/>
              <w:rPr>
                <w:rFonts w:eastAsia="宋体"/>
                <w:bCs/>
                <w:kern w:val="0"/>
                <w:sz w:val="21"/>
                <w:szCs w:val="21"/>
              </w:rPr>
            </w:pPr>
            <w:r>
              <w:rPr>
                <w:rFonts w:eastAsia="宋体"/>
                <w:sz w:val="21"/>
                <w:szCs w:val="21"/>
              </w:rPr>
              <w:t>标干态废气流量</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N.d.m</w:t>
            </w:r>
            <w:r>
              <w:rPr>
                <w:rFonts w:eastAsia="宋体"/>
                <w:sz w:val="21"/>
                <w:szCs w:val="21"/>
                <w:vertAlign w:val="superscript"/>
              </w:rPr>
              <w:t>3</w:t>
            </w:r>
            <w:r>
              <w:rPr>
                <w:rFonts w:eastAsia="宋体"/>
                <w:sz w:val="21"/>
                <w:szCs w:val="21"/>
              </w:rPr>
              <w:t>/h</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937</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1.83</w:t>
            </w:r>
            <w:r>
              <w:rPr>
                <w:rFonts w:eastAsia="宋体"/>
                <w:bCs/>
                <w:kern w:val="0"/>
                <w:sz w:val="21"/>
                <w:szCs w:val="21"/>
              </w:rPr>
              <w:t>×10</w:t>
            </w:r>
            <w:r>
              <w:rPr>
                <w:rFonts w:hint="eastAsia" w:eastAsia="宋体"/>
                <w:bCs/>
                <w:kern w:val="0"/>
                <w:sz w:val="21"/>
                <w:szCs w:val="21"/>
                <w:vertAlign w:val="superscript"/>
              </w:rPr>
              <w:t>3</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lang w:val="zh-CN"/>
              </w:rPr>
            </w:pPr>
            <w:r>
              <w:rPr>
                <w:rFonts w:hint="eastAsia" w:eastAsia="宋体"/>
                <w:sz w:val="21"/>
                <w:szCs w:val="21"/>
              </w:rPr>
              <w:t>9</w:t>
            </w:r>
          </w:p>
        </w:tc>
        <w:tc>
          <w:tcPr>
            <w:tcW w:w="1936"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颗粒物排放浓度</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281" w:type="dxa"/>
            <w:vAlign w:val="center"/>
          </w:tcPr>
          <w:p>
            <w:pPr>
              <w:spacing w:line="300" w:lineRule="exact"/>
              <w:jc w:val="center"/>
              <w:rPr>
                <w:rFonts w:eastAsia="宋体"/>
                <w:kern w:val="0"/>
                <w:sz w:val="21"/>
                <w:szCs w:val="21"/>
              </w:rPr>
            </w:pPr>
            <w:r>
              <w:rPr>
                <w:rFonts w:hint="eastAsia" w:eastAsia="宋体"/>
                <w:kern w:val="0"/>
                <w:sz w:val="21"/>
                <w:szCs w:val="21"/>
              </w:rPr>
              <w:t>/</w:t>
            </w:r>
          </w:p>
        </w:tc>
        <w:tc>
          <w:tcPr>
            <w:tcW w:w="1510" w:type="dxa"/>
            <w:vAlign w:val="center"/>
          </w:tcPr>
          <w:p>
            <w:pPr>
              <w:spacing w:line="300" w:lineRule="exact"/>
              <w:jc w:val="center"/>
              <w:rPr>
                <w:rFonts w:eastAsia="宋体"/>
                <w:kern w:val="0"/>
                <w:sz w:val="21"/>
                <w:szCs w:val="21"/>
              </w:rPr>
            </w:pPr>
            <w:r>
              <w:rPr>
                <w:rFonts w:hint="eastAsia" w:eastAsia="宋体"/>
                <w:kern w:val="0"/>
                <w:sz w:val="21"/>
                <w:szCs w:val="21"/>
              </w:rPr>
              <w:t>1.9</w:t>
            </w:r>
          </w:p>
        </w:tc>
        <w:tc>
          <w:tcPr>
            <w:tcW w:w="1035" w:type="dxa"/>
            <w:vAlign w:val="center"/>
          </w:tcPr>
          <w:p>
            <w:pPr>
              <w:spacing w:line="300" w:lineRule="exact"/>
              <w:jc w:val="center"/>
              <w:rPr>
                <w:rFonts w:eastAsia="宋体"/>
                <w:kern w:val="0"/>
                <w:sz w:val="21"/>
                <w:szCs w:val="21"/>
              </w:rPr>
            </w:pPr>
            <w:r>
              <w:rPr>
                <w:rFonts w:hint="eastAsia" w:eastAsia="宋体"/>
                <w:kern w:val="0"/>
                <w:sz w:val="21"/>
                <w:szCs w:val="21"/>
              </w:rPr>
              <w:t>≤20</w:t>
            </w:r>
          </w:p>
        </w:tc>
        <w:tc>
          <w:tcPr>
            <w:tcW w:w="1149" w:type="dxa"/>
            <w:vAlign w:val="center"/>
          </w:tcPr>
          <w:p>
            <w:pPr>
              <w:spacing w:line="300" w:lineRule="exact"/>
              <w:jc w:val="center"/>
              <w:rPr>
                <w:rFonts w:eastAsia="宋体"/>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bCs/>
                <w:kern w:val="0"/>
                <w:sz w:val="21"/>
                <w:szCs w:val="21"/>
              </w:rPr>
            </w:pPr>
            <w:r>
              <w:rPr>
                <w:rFonts w:eastAsia="宋体"/>
                <w:sz w:val="21"/>
                <w:szCs w:val="21"/>
              </w:rPr>
              <w:t>10</w:t>
            </w:r>
          </w:p>
        </w:tc>
        <w:tc>
          <w:tcPr>
            <w:tcW w:w="1936" w:type="dxa"/>
            <w:vAlign w:val="center"/>
          </w:tcPr>
          <w:p>
            <w:pPr>
              <w:widowControl/>
              <w:adjustRightInd w:val="0"/>
              <w:snapToGrid w:val="0"/>
              <w:spacing w:line="300" w:lineRule="exact"/>
              <w:jc w:val="center"/>
              <w:rPr>
                <w:rFonts w:eastAsia="宋体"/>
                <w:kern w:val="0"/>
                <w:sz w:val="21"/>
                <w:szCs w:val="21"/>
              </w:rPr>
            </w:pPr>
            <w:r>
              <w:rPr>
                <w:rFonts w:eastAsia="宋体"/>
                <w:sz w:val="21"/>
                <w:szCs w:val="21"/>
              </w:rPr>
              <w:t>颗粒物排放速率</w:t>
            </w:r>
          </w:p>
        </w:tc>
        <w:tc>
          <w:tcPr>
            <w:tcW w:w="1232"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281" w:type="dxa"/>
            <w:vAlign w:val="center"/>
          </w:tcPr>
          <w:p>
            <w:pPr>
              <w:spacing w:line="300" w:lineRule="exact"/>
              <w:jc w:val="center"/>
              <w:rPr>
                <w:rFonts w:eastAsia="宋体"/>
                <w:kern w:val="0"/>
                <w:sz w:val="21"/>
                <w:szCs w:val="21"/>
              </w:rPr>
            </w:pPr>
            <w:r>
              <w:rPr>
                <w:rFonts w:hint="eastAsia" w:eastAsia="宋体"/>
                <w:kern w:val="0"/>
                <w:sz w:val="21"/>
                <w:szCs w:val="21"/>
              </w:rPr>
              <w:t>0.00552</w:t>
            </w:r>
          </w:p>
        </w:tc>
        <w:tc>
          <w:tcPr>
            <w:tcW w:w="1510" w:type="dxa"/>
            <w:vAlign w:val="center"/>
          </w:tcPr>
          <w:p>
            <w:pPr>
              <w:spacing w:line="300" w:lineRule="exact"/>
              <w:jc w:val="center"/>
              <w:rPr>
                <w:rFonts w:eastAsia="宋体"/>
                <w:kern w:val="0"/>
                <w:sz w:val="21"/>
                <w:szCs w:val="21"/>
              </w:rPr>
            </w:pPr>
            <w:r>
              <w:rPr>
                <w:rFonts w:hint="eastAsia" w:eastAsia="宋体"/>
                <w:kern w:val="0"/>
                <w:sz w:val="21"/>
                <w:szCs w:val="21"/>
              </w:rPr>
              <w:t>0.00311</w:t>
            </w:r>
          </w:p>
        </w:tc>
        <w:tc>
          <w:tcPr>
            <w:tcW w:w="1035" w:type="dxa"/>
            <w:vAlign w:val="center"/>
          </w:tcPr>
          <w:p>
            <w:pPr>
              <w:spacing w:line="300" w:lineRule="exact"/>
              <w:jc w:val="center"/>
              <w:rPr>
                <w:rFonts w:eastAsia="宋体"/>
                <w:kern w:val="0"/>
                <w:sz w:val="21"/>
                <w:szCs w:val="21"/>
              </w:rPr>
            </w:pPr>
            <w:r>
              <w:rPr>
                <w:rFonts w:hint="eastAsia" w:eastAsia="宋体"/>
                <w:kern w:val="0"/>
                <w:sz w:val="21"/>
                <w:szCs w:val="21"/>
              </w:rPr>
              <w:t>/</w:t>
            </w:r>
          </w:p>
        </w:tc>
        <w:tc>
          <w:tcPr>
            <w:tcW w:w="1149" w:type="dxa"/>
            <w:vAlign w:val="center"/>
          </w:tcPr>
          <w:p>
            <w:pPr>
              <w:spacing w:line="300" w:lineRule="exact"/>
              <w:jc w:val="center"/>
              <w:rPr>
                <w:rFonts w:eastAsia="宋体"/>
                <w:kern w:val="0"/>
                <w:sz w:val="21"/>
                <w:szCs w:val="21"/>
              </w:rPr>
            </w:pPr>
            <w:r>
              <w:rPr>
                <w:rFonts w:hint="eastAsia" w:eastAsia="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eastAsia="宋体"/>
                <w:sz w:val="21"/>
                <w:szCs w:val="21"/>
              </w:rPr>
              <w:t>11</w:t>
            </w:r>
          </w:p>
        </w:tc>
        <w:tc>
          <w:tcPr>
            <w:tcW w:w="1936"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氮氧化物排放浓度</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118</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123</w:t>
            </w:r>
          </w:p>
        </w:tc>
        <w:tc>
          <w:tcPr>
            <w:tcW w:w="1035" w:type="dxa"/>
            <w:vAlign w:val="center"/>
          </w:tcPr>
          <w:p>
            <w:pPr>
              <w:spacing w:line="300" w:lineRule="exact"/>
              <w:ind w:left="-141" w:leftChars="-50" w:right="-141" w:rightChars="-50"/>
              <w:jc w:val="center"/>
              <w:rPr>
                <w:rFonts w:eastAsia="宋体"/>
                <w:bCs/>
                <w:kern w:val="0"/>
                <w:sz w:val="21"/>
                <w:szCs w:val="21"/>
              </w:rPr>
            </w:pPr>
            <w:r>
              <w:rPr>
                <w:rFonts w:hint="eastAsia" w:eastAsia="宋体"/>
                <w:kern w:val="0"/>
                <w:sz w:val="21"/>
                <w:szCs w:val="21"/>
              </w:rPr>
              <w:t>≤150</w:t>
            </w:r>
          </w:p>
        </w:tc>
        <w:tc>
          <w:tcPr>
            <w:tcW w:w="1149" w:type="dxa"/>
            <w:vAlign w:val="center"/>
          </w:tcPr>
          <w:p>
            <w:pPr>
              <w:spacing w:line="300" w:lineRule="exact"/>
              <w:jc w:val="center"/>
              <w:rPr>
                <w:rFonts w:eastAsia="宋体"/>
                <w:bCs/>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eastAsia="宋体"/>
                <w:sz w:val="21"/>
                <w:szCs w:val="21"/>
              </w:rPr>
              <w:t>12</w:t>
            </w:r>
          </w:p>
        </w:tc>
        <w:tc>
          <w:tcPr>
            <w:tcW w:w="1936"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氮氧化物排放速率</w:t>
            </w:r>
          </w:p>
        </w:tc>
        <w:tc>
          <w:tcPr>
            <w:tcW w:w="1232"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0.103</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0.239</w:t>
            </w:r>
          </w:p>
        </w:tc>
        <w:tc>
          <w:tcPr>
            <w:tcW w:w="1035" w:type="dxa"/>
            <w:vAlign w:val="center"/>
          </w:tcPr>
          <w:p>
            <w:pPr>
              <w:spacing w:line="300" w:lineRule="exact"/>
              <w:ind w:left="-141" w:leftChars="-50" w:right="-141" w:rightChars="-50"/>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eastAsia="宋体"/>
                <w:sz w:val="21"/>
                <w:szCs w:val="21"/>
              </w:rPr>
              <w:t>13</w:t>
            </w:r>
          </w:p>
        </w:tc>
        <w:tc>
          <w:tcPr>
            <w:tcW w:w="1936"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二氧化硫排放浓度</w:t>
            </w:r>
          </w:p>
        </w:tc>
        <w:tc>
          <w:tcPr>
            <w:tcW w:w="1232" w:type="dxa"/>
            <w:vAlign w:val="center"/>
          </w:tcPr>
          <w:p>
            <w:pPr>
              <w:widowControl/>
              <w:spacing w:line="300" w:lineRule="exact"/>
              <w:jc w:val="center"/>
              <w:rPr>
                <w:rFonts w:eastAsia="宋体"/>
                <w:bCs/>
                <w:kern w:val="0"/>
                <w:sz w:val="21"/>
                <w:szCs w:val="21"/>
              </w:rPr>
            </w:pPr>
            <w:r>
              <w:rPr>
                <w:rFonts w:eastAsia="宋体"/>
                <w:sz w:val="21"/>
                <w:szCs w:val="21"/>
              </w:rPr>
              <w:t>mg/m</w:t>
            </w:r>
            <w:r>
              <w:rPr>
                <w:rFonts w:eastAsia="宋体"/>
                <w:sz w:val="21"/>
                <w:szCs w:val="21"/>
                <w:vertAlign w:val="superscript"/>
              </w:rPr>
              <w:t>3</w:t>
            </w:r>
          </w:p>
        </w:tc>
        <w:tc>
          <w:tcPr>
            <w:tcW w:w="1281" w:type="dxa"/>
            <w:vAlign w:val="center"/>
          </w:tcPr>
          <w:p>
            <w:pPr>
              <w:spacing w:line="300" w:lineRule="exact"/>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1510" w:type="dxa"/>
            <w:vAlign w:val="center"/>
          </w:tcPr>
          <w:p>
            <w:pPr>
              <w:spacing w:line="300" w:lineRule="exact"/>
              <w:jc w:val="center"/>
              <w:rPr>
                <w:rFonts w:eastAsia="宋体"/>
                <w:bCs/>
                <w:kern w:val="0"/>
                <w:sz w:val="21"/>
                <w:szCs w:val="21"/>
              </w:rPr>
            </w:pPr>
            <w:r>
              <w:rPr>
                <w:rFonts w:eastAsia="宋体"/>
                <w:bCs/>
                <w:kern w:val="0"/>
                <w:sz w:val="21"/>
                <w:szCs w:val="21"/>
              </w:rPr>
              <w:t>＜</w:t>
            </w:r>
            <w:r>
              <w:rPr>
                <w:rFonts w:hint="eastAsia" w:eastAsia="宋体"/>
                <w:bCs/>
                <w:kern w:val="0"/>
                <w:sz w:val="21"/>
                <w:szCs w:val="21"/>
              </w:rPr>
              <w:t>3</w:t>
            </w:r>
          </w:p>
        </w:tc>
        <w:tc>
          <w:tcPr>
            <w:tcW w:w="1035" w:type="dxa"/>
            <w:vAlign w:val="center"/>
          </w:tcPr>
          <w:p>
            <w:pPr>
              <w:spacing w:line="300" w:lineRule="exact"/>
              <w:jc w:val="center"/>
              <w:rPr>
                <w:rFonts w:eastAsia="宋体"/>
                <w:bCs/>
                <w:kern w:val="0"/>
                <w:sz w:val="21"/>
                <w:szCs w:val="21"/>
              </w:rPr>
            </w:pPr>
            <w:r>
              <w:rPr>
                <w:rFonts w:hint="eastAsia" w:eastAsia="宋体"/>
                <w:kern w:val="0"/>
                <w:sz w:val="21"/>
                <w:szCs w:val="21"/>
              </w:rPr>
              <w:t>≤50</w:t>
            </w:r>
          </w:p>
        </w:tc>
        <w:tc>
          <w:tcPr>
            <w:tcW w:w="1149" w:type="dxa"/>
            <w:vAlign w:val="center"/>
          </w:tcPr>
          <w:p>
            <w:pPr>
              <w:spacing w:line="300" w:lineRule="exact"/>
              <w:jc w:val="center"/>
              <w:rPr>
                <w:rFonts w:eastAsia="宋体"/>
                <w:bCs/>
                <w:kern w:val="0"/>
                <w:sz w:val="21"/>
                <w:szCs w:val="21"/>
              </w:rPr>
            </w:pPr>
            <w:r>
              <w:rPr>
                <w:rFonts w:hint="eastAsia" w:eastAsia="宋体"/>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eastAsia="宋体"/>
                <w:sz w:val="21"/>
                <w:szCs w:val="21"/>
              </w:rPr>
              <w:t>14</w:t>
            </w:r>
          </w:p>
        </w:tc>
        <w:tc>
          <w:tcPr>
            <w:tcW w:w="1936"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二氧化硫排放速率</w:t>
            </w:r>
          </w:p>
        </w:tc>
        <w:tc>
          <w:tcPr>
            <w:tcW w:w="1232" w:type="dxa"/>
            <w:vAlign w:val="center"/>
          </w:tcPr>
          <w:p>
            <w:pPr>
              <w:widowControl/>
              <w:spacing w:line="300" w:lineRule="exact"/>
              <w:jc w:val="center"/>
              <w:rPr>
                <w:rFonts w:eastAsia="宋体"/>
                <w:bCs/>
                <w:kern w:val="0"/>
                <w:sz w:val="21"/>
                <w:szCs w:val="21"/>
                <w:lang w:val="zh-CN"/>
              </w:rPr>
            </w:pPr>
            <w:r>
              <w:rPr>
                <w:rFonts w:eastAsia="宋体"/>
                <w:sz w:val="21"/>
                <w:szCs w:val="21"/>
              </w:rPr>
              <w:t>kg/h</w:t>
            </w:r>
          </w:p>
        </w:tc>
        <w:tc>
          <w:tcPr>
            <w:tcW w:w="1281" w:type="dxa"/>
            <w:vAlign w:val="center"/>
          </w:tcPr>
          <w:p>
            <w:pPr>
              <w:spacing w:line="300" w:lineRule="exact"/>
              <w:jc w:val="center"/>
              <w:rPr>
                <w:rFonts w:eastAsia="宋体"/>
                <w:bCs/>
                <w:kern w:val="0"/>
                <w:sz w:val="21"/>
                <w:szCs w:val="21"/>
              </w:rPr>
            </w:pPr>
            <w:r>
              <w:rPr>
                <w:rFonts w:eastAsia="宋体"/>
                <w:bCs/>
                <w:kern w:val="0"/>
                <w:sz w:val="21"/>
                <w:szCs w:val="21"/>
              </w:rPr>
              <w:t>＜</w:t>
            </w:r>
            <w:r>
              <w:rPr>
                <w:rFonts w:hint="eastAsia" w:eastAsia="宋体"/>
                <w:bCs/>
                <w:kern w:val="0"/>
                <w:sz w:val="21"/>
                <w:szCs w:val="21"/>
              </w:rPr>
              <w:t>0.00281</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0.00322</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58" w:type="dxa"/>
            <w:vAlign w:val="center"/>
          </w:tcPr>
          <w:p>
            <w:pPr>
              <w:widowControl/>
              <w:spacing w:line="300" w:lineRule="exact"/>
              <w:jc w:val="center"/>
              <w:rPr>
                <w:rFonts w:eastAsia="宋体"/>
                <w:sz w:val="21"/>
                <w:szCs w:val="21"/>
              </w:rPr>
            </w:pPr>
            <w:r>
              <w:rPr>
                <w:rFonts w:hint="eastAsia" w:eastAsia="宋体"/>
                <w:sz w:val="21"/>
                <w:szCs w:val="21"/>
              </w:rPr>
              <w:t>15</w:t>
            </w:r>
          </w:p>
        </w:tc>
        <w:tc>
          <w:tcPr>
            <w:tcW w:w="1936" w:type="dxa"/>
            <w:vAlign w:val="center"/>
          </w:tcPr>
          <w:p>
            <w:pPr>
              <w:widowControl/>
              <w:adjustRightInd w:val="0"/>
              <w:snapToGrid w:val="0"/>
              <w:spacing w:line="30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林格曼黑度</w:t>
            </w:r>
          </w:p>
        </w:tc>
        <w:tc>
          <w:tcPr>
            <w:tcW w:w="1232" w:type="dxa"/>
            <w:vAlign w:val="center"/>
          </w:tcPr>
          <w:p>
            <w:pPr>
              <w:widowControl/>
              <w:spacing w:line="300" w:lineRule="exact"/>
              <w:jc w:val="center"/>
              <w:rPr>
                <w:rFonts w:eastAsia="宋体"/>
                <w:sz w:val="21"/>
                <w:szCs w:val="21"/>
              </w:rPr>
            </w:pPr>
            <w:r>
              <w:rPr>
                <w:rFonts w:hint="eastAsia" w:eastAsia="宋体"/>
                <w:sz w:val="21"/>
                <w:szCs w:val="21"/>
              </w:rPr>
              <w:t>/</w:t>
            </w:r>
          </w:p>
        </w:tc>
        <w:tc>
          <w:tcPr>
            <w:tcW w:w="1281" w:type="dxa"/>
            <w:vAlign w:val="center"/>
          </w:tcPr>
          <w:p>
            <w:pPr>
              <w:spacing w:line="300" w:lineRule="exact"/>
              <w:jc w:val="center"/>
              <w:rPr>
                <w:rFonts w:eastAsia="宋体"/>
                <w:bCs/>
                <w:kern w:val="0"/>
                <w:sz w:val="21"/>
                <w:szCs w:val="21"/>
              </w:rPr>
            </w:pPr>
            <w:r>
              <w:rPr>
                <w:rFonts w:hint="eastAsia" w:eastAsia="宋体"/>
                <w:bCs/>
                <w:kern w:val="0"/>
                <w:sz w:val="21"/>
                <w:szCs w:val="21"/>
              </w:rPr>
              <w:t>＜1</w:t>
            </w:r>
          </w:p>
        </w:tc>
        <w:tc>
          <w:tcPr>
            <w:tcW w:w="1510" w:type="dxa"/>
            <w:vAlign w:val="center"/>
          </w:tcPr>
          <w:p>
            <w:pPr>
              <w:spacing w:line="300" w:lineRule="exact"/>
              <w:jc w:val="center"/>
              <w:rPr>
                <w:rFonts w:eastAsia="宋体"/>
                <w:bCs/>
                <w:kern w:val="0"/>
                <w:sz w:val="21"/>
                <w:szCs w:val="21"/>
              </w:rPr>
            </w:pPr>
            <w:r>
              <w:rPr>
                <w:rFonts w:hint="eastAsia" w:eastAsia="宋体"/>
                <w:bCs/>
                <w:kern w:val="0"/>
                <w:sz w:val="21"/>
                <w:szCs w:val="21"/>
              </w:rPr>
              <w:t>＜1</w:t>
            </w:r>
          </w:p>
        </w:tc>
        <w:tc>
          <w:tcPr>
            <w:tcW w:w="1035" w:type="dxa"/>
            <w:vAlign w:val="center"/>
          </w:tcPr>
          <w:p>
            <w:pPr>
              <w:spacing w:line="300" w:lineRule="exact"/>
              <w:jc w:val="center"/>
              <w:rPr>
                <w:rFonts w:eastAsia="宋体"/>
                <w:bCs/>
                <w:kern w:val="0"/>
                <w:sz w:val="21"/>
                <w:szCs w:val="21"/>
              </w:rPr>
            </w:pPr>
            <w:r>
              <w:rPr>
                <w:rFonts w:hint="eastAsia" w:eastAsia="宋体"/>
                <w:bCs/>
                <w:kern w:val="0"/>
                <w:sz w:val="21"/>
                <w:szCs w:val="21"/>
              </w:rPr>
              <w:t>＜1</w:t>
            </w:r>
          </w:p>
        </w:tc>
        <w:tc>
          <w:tcPr>
            <w:tcW w:w="1149" w:type="dxa"/>
            <w:vAlign w:val="center"/>
          </w:tcPr>
          <w:p>
            <w:pPr>
              <w:spacing w:line="300" w:lineRule="exact"/>
              <w:jc w:val="center"/>
              <w:rPr>
                <w:rFonts w:eastAsia="宋体"/>
                <w:bCs/>
                <w:kern w:val="0"/>
                <w:sz w:val="21"/>
                <w:szCs w:val="21"/>
              </w:rPr>
            </w:pPr>
            <w:r>
              <w:rPr>
                <w:rFonts w:hint="eastAsia" w:eastAsia="宋体"/>
                <w:bCs/>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8801" w:type="dxa"/>
            <w:gridSpan w:val="7"/>
            <w:vAlign w:val="center"/>
          </w:tcPr>
          <w:p>
            <w:pPr>
              <w:widowControl/>
              <w:spacing w:line="300" w:lineRule="exact"/>
              <w:jc w:val="left"/>
              <w:rPr>
                <w:rFonts w:eastAsia="宋体"/>
                <w:bCs/>
                <w:kern w:val="0"/>
                <w:sz w:val="21"/>
                <w:szCs w:val="21"/>
              </w:rPr>
            </w:pPr>
            <w:r>
              <w:rPr>
                <w:rFonts w:eastAsia="宋体"/>
                <w:bCs/>
                <w:kern w:val="0"/>
                <w:sz w:val="21"/>
                <w:szCs w:val="21"/>
              </w:rPr>
              <w:t>注：</w:t>
            </w:r>
            <w:r>
              <w:rPr>
                <w:rFonts w:eastAsia="宋体"/>
                <w:bCs/>
                <w:kern w:val="0"/>
                <w:sz w:val="21"/>
                <w:szCs w:val="21"/>
                <w:lang w:val="zh-CN"/>
              </w:rPr>
              <w:t>有*为现场测试值</w:t>
            </w:r>
          </w:p>
        </w:tc>
      </w:tr>
    </w:tbl>
    <w:p>
      <w:pPr>
        <w:pStyle w:val="4"/>
        <w:rPr>
          <w:rFonts w:ascii="Times New Roman" w:hAnsi="Times New Roman" w:cs="Times New Roman" w:eastAsiaTheme="minorEastAsia"/>
          <w:spacing w:val="0"/>
          <w:szCs w:val="24"/>
        </w:rPr>
      </w:pPr>
      <w:r>
        <w:rPr>
          <w:rFonts w:hint="eastAsia" w:ascii="Times New Roman" w:hAnsi="Times New Roman" w:cs="Times New Roman"/>
          <w:spacing w:val="0"/>
        </w:rPr>
        <w:t>由表3-2</w:t>
      </w:r>
      <w:r>
        <w:rPr>
          <w:rFonts w:ascii="Times New Roman" w:hAnsi="Times New Roman" w:cs="Times New Roman"/>
          <w:spacing w:val="0"/>
        </w:rPr>
        <w:t>5</w:t>
      </w:r>
      <w:r>
        <w:rPr>
          <w:rFonts w:hint="eastAsia" w:ascii="Times New Roman" w:hAnsi="Times New Roman" w:cs="Times New Roman"/>
          <w:spacing w:val="0"/>
        </w:rPr>
        <w:t>可知，企业锅炉废气能够达到</w:t>
      </w:r>
      <w:r>
        <w:rPr>
          <w:rFonts w:ascii="Times New Roman" w:hAnsi="Times New Roman" w:cs="Times New Roman"/>
          <w:spacing w:val="0"/>
        </w:rPr>
        <w:t>《锅炉大气污染物排放标准》(GB13271-2014)中燃气锅炉的大气污染物</w:t>
      </w:r>
      <w:r>
        <w:rPr>
          <w:rFonts w:ascii="Times New Roman" w:hAnsi="Times New Roman" w:cs="Times New Roman" w:eastAsiaTheme="minorEastAsia"/>
          <w:spacing w:val="0"/>
          <w:szCs w:val="24"/>
        </w:rPr>
        <w:t>特别排放限值</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但未达到</w:t>
      </w:r>
      <w:r>
        <w:rPr>
          <w:rFonts w:hint="eastAsia" w:ascii="Times New Roman" w:hAnsi="Times New Roman" w:cs="Times New Roman" w:eastAsiaTheme="minorEastAsia"/>
          <w:spacing w:val="0"/>
          <w:szCs w:val="24"/>
        </w:rPr>
        <w:t>湖政办发明</w:t>
      </w:r>
      <w:r>
        <w:rPr>
          <w:rFonts w:ascii="Times New Roman" w:hAnsi="Times New Roman" w:cs="Times New Roman" w:eastAsiaTheme="minorEastAsia"/>
          <w:spacing w:val="0"/>
          <w:szCs w:val="24"/>
        </w:rPr>
        <w:t>电[2018]162文中</w:t>
      </w:r>
      <w:r>
        <w:rPr>
          <w:rFonts w:ascii="Times New Roman" w:hAnsi="Times New Roman" w:cs="Times New Roman" w:eastAsiaTheme="minorEastAsia"/>
          <w:szCs w:val="24"/>
        </w:rPr>
        <w:t>NOx</w:t>
      </w:r>
      <w:r>
        <w:rPr>
          <w:rFonts w:ascii="Times New Roman" w:hAnsi="Times New Roman" w:cs="Times New Roman" w:eastAsiaTheme="minorEastAsia"/>
          <w:spacing w:val="0"/>
          <w:szCs w:val="24"/>
        </w:rPr>
        <w:t>排放浓度不高于50mg/m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的要求，</w:t>
      </w:r>
      <w:r>
        <w:rPr>
          <w:rFonts w:hint="eastAsia" w:ascii="Times New Roman" w:hAnsi="Times New Roman" w:cs="Times New Roman" w:eastAsiaTheme="minorEastAsia"/>
          <w:spacing w:val="0"/>
          <w:szCs w:val="24"/>
        </w:rPr>
        <w:t>需要在2019年12月</w:t>
      </w:r>
      <w:r>
        <w:rPr>
          <w:rFonts w:ascii="Times New Roman" w:hAnsi="Times New Roman" w:cs="Times New Roman" w:eastAsiaTheme="minorEastAsia"/>
          <w:spacing w:val="0"/>
          <w:szCs w:val="24"/>
        </w:rPr>
        <w:t>底</w:t>
      </w:r>
      <w:r>
        <w:rPr>
          <w:rFonts w:hint="eastAsia" w:ascii="Times New Roman" w:hAnsi="Times New Roman" w:cs="Times New Roman" w:eastAsiaTheme="minorEastAsia"/>
          <w:spacing w:val="0"/>
          <w:szCs w:val="24"/>
        </w:rPr>
        <w:t>完成</w:t>
      </w:r>
      <w:r>
        <w:rPr>
          <w:rFonts w:ascii="Times New Roman" w:hAnsi="Times New Roman" w:cs="Times New Roman" w:eastAsiaTheme="minorEastAsia"/>
          <w:spacing w:val="0"/>
          <w:szCs w:val="24"/>
        </w:rPr>
        <w:t>低氮燃烧技术改造</w:t>
      </w:r>
      <w:r>
        <w:rPr>
          <w:rFonts w:ascii="Times New Roman" w:hAnsi="Times New Roman" w:cs="Times New Roman" w:eastAsiaTheme="minorEastAsia"/>
          <w:b/>
          <w:spacing w:val="0"/>
          <w:szCs w:val="24"/>
        </w:rPr>
        <w:t>。</w:t>
      </w:r>
    </w:p>
    <w:p>
      <w:pPr>
        <w:pStyle w:val="4"/>
        <w:rPr>
          <w:rFonts w:ascii="Times New Roman" w:hAnsi="Times New Roman" w:cs="Times New Roman"/>
          <w:spacing w:val="0"/>
        </w:rPr>
      </w:pPr>
      <w:r>
        <w:rPr>
          <w:rFonts w:hint="eastAsia" w:ascii="Times New Roman" w:hAnsi="Times New Roman" w:cs="Times New Roman"/>
          <w:spacing w:val="0"/>
        </w:rPr>
        <w:t>⑦有组织废气排放量核算</w:t>
      </w:r>
    </w:p>
    <w:p>
      <w:pPr>
        <w:pStyle w:val="4"/>
        <w:rPr>
          <w:rFonts w:ascii="Times New Roman" w:hAnsi="Times New Roman" w:cs="Times New Roman"/>
          <w:spacing w:val="0"/>
        </w:rPr>
        <w:sectPr>
          <w:pgSz w:w="11907" w:h="16840"/>
          <w:pgMar w:top="1531" w:right="1406" w:bottom="1531" w:left="1406" w:header="964" w:footer="851" w:gutter="284"/>
          <w:pgNumType w:fmt="numberInDash"/>
          <w:cols w:space="720" w:num="1"/>
          <w:docGrid w:type="linesAndChars" w:linePitch="421" w:charSpace="640"/>
        </w:sectPr>
      </w:pPr>
      <w:r>
        <w:rPr>
          <w:rFonts w:hint="eastAsia" w:ascii="Times New Roman" w:hAnsi="Times New Roman" w:cs="Times New Roman"/>
          <w:spacing w:val="0"/>
        </w:rPr>
        <w:t>本环评根据收集的监测报告，选取平均排放速率对企业现有工程有组织废气污染源污染物进行核算，核算结果见表3-2</w:t>
      </w:r>
      <w:r>
        <w:rPr>
          <w:rFonts w:ascii="Times New Roman" w:hAnsi="Times New Roman" w:cs="Times New Roman"/>
          <w:spacing w:val="0"/>
        </w:rPr>
        <w:t>6</w:t>
      </w:r>
      <w:r>
        <w:rPr>
          <w:rFonts w:hint="eastAsia" w:ascii="Times New Roman" w:hAnsi="Times New Roman" w:cs="Times New Roman"/>
          <w:spacing w:val="0"/>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企业现有工程主要有组织废气污染物核算一览表</w:t>
      </w:r>
    </w:p>
    <w:tbl>
      <w:tblPr>
        <w:tblStyle w:val="88"/>
        <w:tblW w:w="142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585"/>
        <w:gridCol w:w="1037"/>
        <w:gridCol w:w="1070"/>
        <w:gridCol w:w="1050"/>
        <w:gridCol w:w="1056"/>
        <w:gridCol w:w="762"/>
        <w:gridCol w:w="908"/>
        <w:gridCol w:w="1192"/>
        <w:gridCol w:w="1100"/>
        <w:gridCol w:w="719"/>
        <w:gridCol w:w="904"/>
        <w:gridCol w:w="655"/>
        <w:gridCol w:w="1063"/>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分厂或车间</w:t>
            </w:r>
          </w:p>
        </w:tc>
        <w:tc>
          <w:tcPr>
            <w:tcW w:w="58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序号</w:t>
            </w:r>
          </w:p>
        </w:tc>
        <w:tc>
          <w:tcPr>
            <w:tcW w:w="1037"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污染源名称</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污染因子</w:t>
            </w:r>
          </w:p>
        </w:tc>
        <w:tc>
          <w:tcPr>
            <w:tcW w:w="105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治理措施</w:t>
            </w:r>
          </w:p>
        </w:tc>
        <w:tc>
          <w:tcPr>
            <w:tcW w:w="1056"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平均排气量(Nm</w:t>
            </w:r>
            <w:r>
              <w:rPr>
                <w:rFonts w:ascii="Times New Roman" w:hAnsi="Times New Roman" w:cs="Times New Roman"/>
                <w:spacing w:val="0"/>
                <w:sz w:val="18"/>
                <w:szCs w:val="18"/>
                <w:vertAlign w:val="superscript"/>
                <w:lang w:val="zh-CN"/>
              </w:rPr>
              <w:t>3</w:t>
            </w:r>
            <w:r>
              <w:rPr>
                <w:rFonts w:ascii="Times New Roman" w:hAnsi="Times New Roman" w:cs="Times New Roman"/>
                <w:spacing w:val="0"/>
                <w:sz w:val="18"/>
                <w:szCs w:val="18"/>
                <w:lang w:val="zh-CN"/>
              </w:rPr>
              <w:t>/h)</w:t>
            </w:r>
          </w:p>
        </w:tc>
        <w:tc>
          <w:tcPr>
            <w:tcW w:w="762"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烟囱高度(m)</w:t>
            </w:r>
          </w:p>
        </w:tc>
        <w:tc>
          <w:tcPr>
            <w:tcW w:w="908"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烟囱内径(m)</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最大出口浓度(mg/m</w:t>
            </w:r>
            <w:r>
              <w:rPr>
                <w:rFonts w:ascii="Times New Roman" w:hAnsi="Times New Roman" w:cs="Times New Roman"/>
                <w:spacing w:val="0"/>
                <w:sz w:val="18"/>
                <w:szCs w:val="18"/>
                <w:vertAlign w:val="superscript"/>
                <w:lang w:val="zh-CN"/>
              </w:rPr>
              <w:t>3</w:t>
            </w:r>
            <w:r>
              <w:rPr>
                <w:rFonts w:ascii="Times New Roman" w:hAnsi="Times New Roman" w:cs="Times New Roman"/>
                <w:spacing w:val="0"/>
                <w:sz w:val="18"/>
                <w:szCs w:val="18"/>
                <w:lang w:val="zh-CN"/>
              </w:rPr>
              <w:t>)</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执行标准(mg/m</w:t>
            </w:r>
            <w:r>
              <w:rPr>
                <w:rFonts w:ascii="Times New Roman" w:hAnsi="Times New Roman" w:cs="Times New Roman"/>
                <w:spacing w:val="0"/>
                <w:sz w:val="18"/>
                <w:szCs w:val="18"/>
                <w:vertAlign w:val="superscript"/>
                <w:lang w:val="zh-CN"/>
              </w:rPr>
              <w:t>3</w:t>
            </w:r>
            <w:r>
              <w:rPr>
                <w:rFonts w:ascii="Times New Roman" w:hAnsi="Times New Roman" w:cs="Times New Roman"/>
                <w:spacing w:val="0"/>
                <w:sz w:val="18"/>
                <w:szCs w:val="18"/>
                <w:lang w:val="zh-CN"/>
              </w:rPr>
              <w:t>)</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达标分析</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平均排放速率(kg/h)</w:t>
            </w:r>
          </w:p>
        </w:tc>
        <w:tc>
          <w:tcPr>
            <w:tcW w:w="65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2018</w:t>
            </w:r>
            <w:r>
              <w:rPr>
                <w:rFonts w:ascii="Times New Roman" w:hAnsi="Times New Roman" w:cs="Times New Roman"/>
                <w:spacing w:val="0"/>
                <w:sz w:val="18"/>
                <w:szCs w:val="18"/>
                <w:lang w:val="zh-CN"/>
              </w:rPr>
              <w:t>年工作时间(h)</w:t>
            </w:r>
          </w:p>
        </w:tc>
        <w:tc>
          <w:tcPr>
            <w:tcW w:w="1063"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2018</w:t>
            </w:r>
            <w:r>
              <w:rPr>
                <w:rFonts w:ascii="Times New Roman" w:hAnsi="Times New Roman" w:cs="Times New Roman"/>
                <w:spacing w:val="0"/>
                <w:sz w:val="18"/>
                <w:szCs w:val="18"/>
                <w:lang w:val="zh-CN"/>
              </w:rPr>
              <w:t>年排放量(t/a)</w:t>
            </w:r>
          </w:p>
        </w:tc>
        <w:tc>
          <w:tcPr>
            <w:tcW w:w="1118"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炼钢一厂</w:t>
            </w: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炼钢废气</w:t>
            </w:r>
            <w:r>
              <w:rPr>
                <w:rFonts w:hint="eastAsia" w:ascii="Times New Roman" w:hAnsi="Times New Roman" w:cs="Times New Roman"/>
                <w:spacing w:val="0"/>
                <w:sz w:val="18"/>
                <w:szCs w:val="18"/>
                <w:lang w:val="zh-CN"/>
              </w:rPr>
              <w:t>DA001</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布袋除尘</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bCs/>
                <w:kern w:val="0"/>
                <w:sz w:val="18"/>
                <w:szCs w:val="18"/>
              </w:rPr>
              <w:t>7.44×10</w:t>
            </w:r>
            <w:r>
              <w:rPr>
                <w:rFonts w:ascii="Times New Roman" w:hAnsi="Times New Roman" w:cs="Times New Roman"/>
                <w:bCs/>
                <w:kern w:val="0"/>
                <w:sz w:val="18"/>
                <w:szCs w:val="18"/>
                <w:vertAlign w:val="superscript"/>
              </w:rPr>
              <w:t>5</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7</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4.5</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2.433</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4800</w:t>
            </w:r>
          </w:p>
        </w:tc>
        <w:tc>
          <w:tcPr>
            <w:tcW w:w="1063" w:type="dxa"/>
            <w:shd w:val="clear" w:color="auto" w:fill="auto"/>
            <w:vAlign w:val="center"/>
          </w:tcPr>
          <w:p>
            <w:pPr>
              <w:spacing w:line="300" w:lineRule="exact"/>
              <w:jc w:val="center"/>
              <w:rPr>
                <w:rFonts w:eastAsia="宋体"/>
                <w:sz w:val="18"/>
                <w:szCs w:val="18"/>
              </w:rPr>
            </w:pPr>
            <w:r>
              <w:rPr>
                <w:sz w:val="18"/>
                <w:szCs w:val="18"/>
              </w:rPr>
              <w:t>11.678</w:t>
            </w:r>
          </w:p>
        </w:tc>
        <w:tc>
          <w:tcPr>
            <w:tcW w:w="1118" w:type="dxa"/>
            <w:shd w:val="clear" w:color="auto" w:fill="auto"/>
            <w:vAlign w:val="center"/>
          </w:tcPr>
          <w:p>
            <w:pPr>
              <w:spacing w:line="300" w:lineRule="exact"/>
              <w:jc w:val="center"/>
              <w:rPr>
                <w:sz w:val="18"/>
                <w:szCs w:val="18"/>
                <w:lang w:val="zh-CN"/>
              </w:rPr>
            </w:pPr>
            <w:r>
              <w:rPr>
                <w:rFonts w:hint="eastAsia"/>
                <w:sz w:val="18"/>
                <w:szCs w:val="18"/>
              </w:rPr>
              <w:t>16.219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氟化物</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2.23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1.98</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9.504</w:t>
            </w:r>
          </w:p>
        </w:tc>
        <w:tc>
          <w:tcPr>
            <w:tcW w:w="1118" w:type="dxa"/>
            <w:shd w:val="clear" w:color="auto" w:fill="auto"/>
            <w:vAlign w:val="center"/>
          </w:tcPr>
          <w:p>
            <w:pPr>
              <w:spacing w:line="300" w:lineRule="exact"/>
              <w:jc w:val="center"/>
              <w:rPr>
                <w:sz w:val="18"/>
                <w:szCs w:val="18"/>
                <w:lang w:val="zh-CN"/>
              </w:rPr>
            </w:pPr>
            <w:r>
              <w:rPr>
                <w:rFonts w:hint="eastAsia"/>
                <w:sz w:val="18"/>
                <w:szCs w:val="18"/>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1.33</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6.384</w:t>
            </w:r>
          </w:p>
        </w:tc>
        <w:tc>
          <w:tcPr>
            <w:tcW w:w="1118" w:type="dxa"/>
            <w:shd w:val="clear" w:color="auto" w:fill="auto"/>
            <w:vAlign w:val="center"/>
          </w:tcPr>
          <w:p>
            <w:pPr>
              <w:spacing w:line="300" w:lineRule="exact"/>
              <w:jc w:val="center"/>
              <w:rPr>
                <w:sz w:val="18"/>
                <w:szCs w:val="18"/>
                <w:lang w:val="zh-CN"/>
              </w:rPr>
            </w:pPr>
            <w:r>
              <w:rPr>
                <w:rFonts w:hint="eastAsia"/>
                <w:sz w:val="18"/>
                <w:szCs w:val="18"/>
              </w:rPr>
              <w:t>8.867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二噁英ng-TEQ/m</w:t>
            </w:r>
            <w:r>
              <w:rPr>
                <w:rFonts w:ascii="Times New Roman" w:hAnsi="Times New Roman" w:cs="Times New Roman"/>
                <w:spacing w:val="0"/>
                <w:sz w:val="18"/>
                <w:szCs w:val="18"/>
                <w:vertAlign w:val="superscript"/>
                <w:lang w:val="zh-CN"/>
              </w:rPr>
              <w:t>3</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0.45</w:t>
            </w:r>
          </w:p>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r>
              <w:rPr>
                <w:rFonts w:ascii="Times New Roman" w:hAnsi="Times New Roman" w:cs="Times New Roman"/>
                <w:spacing w:val="0"/>
                <w:sz w:val="18"/>
                <w:szCs w:val="18"/>
                <w:lang w:val="zh-CN"/>
              </w:rPr>
              <w:t>ngTEQ/m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vAlign w:val="center"/>
          </w:tcPr>
          <w:p>
            <w:pPr>
              <w:spacing w:line="300" w:lineRule="exact"/>
              <w:jc w:val="center"/>
              <w:rPr>
                <w:rFonts w:eastAsia="宋体"/>
                <w:sz w:val="18"/>
                <w:szCs w:val="18"/>
              </w:rPr>
            </w:pPr>
            <w:r>
              <w:rPr>
                <w:sz w:val="18"/>
                <w:szCs w:val="18"/>
                <w:lang w:val="zh-CN"/>
              </w:rPr>
              <w:t>/</w:t>
            </w:r>
          </w:p>
        </w:tc>
        <w:tc>
          <w:tcPr>
            <w:tcW w:w="1118" w:type="dxa"/>
            <w:vAlign w:val="center"/>
          </w:tcPr>
          <w:p>
            <w:pPr>
              <w:spacing w:line="300" w:lineRule="exact"/>
              <w:jc w:val="center"/>
              <w:rPr>
                <w:sz w:val="18"/>
                <w:szCs w:val="18"/>
                <w:lang w:val="zh-CN"/>
              </w:rPr>
            </w:pPr>
            <w:r>
              <w:rPr>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w:t>
            </w:r>
          </w:p>
        </w:tc>
        <w:tc>
          <w:tcPr>
            <w:tcW w:w="1037"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修磨废气</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颗粒物</w:t>
            </w:r>
          </w:p>
        </w:tc>
        <w:tc>
          <w:tcPr>
            <w:tcW w:w="105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布袋除尘</w:t>
            </w:r>
          </w:p>
        </w:tc>
        <w:tc>
          <w:tcPr>
            <w:tcW w:w="1056"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6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908"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0.068</w:t>
            </w:r>
            <w:r>
              <w:rPr>
                <w:rFonts w:ascii="Times New Roman" w:hAnsi="Times New Roman" w:cs="Times New Roman"/>
                <w:spacing w:val="0"/>
                <w:sz w:val="18"/>
                <w:szCs w:val="18"/>
                <w:lang w:val="zh-CN"/>
              </w:rPr>
              <w:t>2</w:t>
            </w:r>
            <w:r>
              <w:rPr>
                <w:rFonts w:hint="eastAsia"/>
                <w:sz w:val="18"/>
                <w:szCs w:val="18"/>
                <w:vertAlign w:val="superscript"/>
                <w:lang w:val="zh-CN"/>
              </w:rPr>
              <w:t>①</w:t>
            </w:r>
          </w:p>
        </w:tc>
        <w:tc>
          <w:tcPr>
            <w:tcW w:w="65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3600</w:t>
            </w:r>
          </w:p>
        </w:tc>
        <w:tc>
          <w:tcPr>
            <w:tcW w:w="1063" w:type="dxa"/>
            <w:shd w:val="clear" w:color="auto" w:fill="auto"/>
            <w:vAlign w:val="center"/>
          </w:tcPr>
          <w:p>
            <w:pPr>
              <w:spacing w:line="300" w:lineRule="exact"/>
              <w:jc w:val="center"/>
              <w:rPr>
                <w:sz w:val="18"/>
                <w:szCs w:val="18"/>
                <w:lang w:val="zh-CN"/>
              </w:rPr>
            </w:pPr>
            <w:r>
              <w:rPr>
                <w:sz w:val="18"/>
                <w:szCs w:val="18"/>
              </w:rPr>
              <w:t>0.246</w:t>
            </w:r>
          </w:p>
        </w:tc>
        <w:tc>
          <w:tcPr>
            <w:tcW w:w="1118" w:type="dxa"/>
            <w:shd w:val="clear" w:color="auto" w:fill="auto"/>
            <w:vAlign w:val="center"/>
          </w:tcPr>
          <w:p>
            <w:pPr>
              <w:spacing w:line="300" w:lineRule="exact"/>
              <w:jc w:val="center"/>
              <w:rPr>
                <w:sz w:val="18"/>
                <w:szCs w:val="18"/>
                <w:lang w:val="zh-CN"/>
              </w:rPr>
            </w:pPr>
            <w:r>
              <w:rPr>
                <w:rFonts w:hint="eastAsia"/>
                <w:sz w:val="18"/>
                <w:szCs w:val="18"/>
              </w:rPr>
              <w:t>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炼钢二厂</w:t>
            </w: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炼钢废气</w:t>
            </w:r>
            <w:r>
              <w:rPr>
                <w:rFonts w:hint="eastAsia" w:ascii="Times New Roman" w:hAnsi="Times New Roman" w:cs="Times New Roman"/>
                <w:spacing w:val="0"/>
                <w:sz w:val="18"/>
                <w:szCs w:val="18"/>
                <w:lang w:val="zh-CN"/>
              </w:rPr>
              <w:t>DA002</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布袋除尘</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bCs/>
                <w:kern w:val="0"/>
                <w:sz w:val="18"/>
                <w:szCs w:val="18"/>
              </w:rPr>
              <w:t>8.17×10</w:t>
            </w:r>
            <w:r>
              <w:rPr>
                <w:rFonts w:ascii="Times New Roman" w:hAnsi="Times New Roman" w:cs="Times New Roman"/>
                <w:bCs/>
                <w:kern w:val="0"/>
                <w:sz w:val="18"/>
                <w:szCs w:val="18"/>
                <w:vertAlign w:val="superscript"/>
              </w:rPr>
              <w:t>5</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2.7</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1.37</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6500</w:t>
            </w:r>
          </w:p>
        </w:tc>
        <w:tc>
          <w:tcPr>
            <w:tcW w:w="1063" w:type="dxa"/>
            <w:shd w:val="clear" w:color="auto" w:fill="auto"/>
            <w:vAlign w:val="center"/>
          </w:tcPr>
          <w:p>
            <w:pPr>
              <w:spacing w:line="300" w:lineRule="exact"/>
              <w:jc w:val="center"/>
              <w:rPr>
                <w:rFonts w:eastAsia="宋体"/>
                <w:sz w:val="18"/>
                <w:szCs w:val="18"/>
              </w:rPr>
            </w:pPr>
            <w:r>
              <w:rPr>
                <w:sz w:val="18"/>
                <w:szCs w:val="18"/>
              </w:rPr>
              <w:t>8.905</w:t>
            </w:r>
          </w:p>
        </w:tc>
        <w:tc>
          <w:tcPr>
            <w:tcW w:w="1118" w:type="dxa"/>
            <w:shd w:val="clear" w:color="auto" w:fill="auto"/>
            <w:vAlign w:val="center"/>
          </w:tcPr>
          <w:p>
            <w:pPr>
              <w:spacing w:line="300" w:lineRule="exact"/>
              <w:jc w:val="center"/>
              <w:rPr>
                <w:sz w:val="18"/>
                <w:szCs w:val="18"/>
                <w:lang w:val="zh-CN"/>
              </w:rPr>
            </w:pPr>
            <w:r>
              <w:rPr>
                <w:rFonts w:hint="eastAsia"/>
                <w:sz w:val="18"/>
                <w:szCs w:val="18"/>
              </w:rPr>
              <w:t>9.939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氟化物</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0.362</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0.215</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1.398</w:t>
            </w:r>
          </w:p>
        </w:tc>
        <w:tc>
          <w:tcPr>
            <w:tcW w:w="1118" w:type="dxa"/>
            <w:shd w:val="clear" w:color="auto" w:fill="auto"/>
            <w:vAlign w:val="center"/>
          </w:tcPr>
          <w:p>
            <w:pPr>
              <w:spacing w:line="300" w:lineRule="exact"/>
              <w:jc w:val="center"/>
              <w:rPr>
                <w:sz w:val="18"/>
                <w:szCs w:val="18"/>
                <w:lang w:val="zh-CN"/>
              </w:rPr>
            </w:pPr>
            <w:r>
              <w:rPr>
                <w:rFonts w:hint="eastAsia"/>
                <w:sz w:val="18"/>
                <w:szCs w:val="18"/>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0.89</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5.785</w:t>
            </w:r>
          </w:p>
        </w:tc>
        <w:tc>
          <w:tcPr>
            <w:tcW w:w="1118" w:type="dxa"/>
            <w:shd w:val="clear" w:color="auto" w:fill="auto"/>
            <w:vAlign w:val="center"/>
          </w:tcPr>
          <w:p>
            <w:pPr>
              <w:spacing w:line="300" w:lineRule="exact"/>
              <w:jc w:val="center"/>
              <w:rPr>
                <w:sz w:val="18"/>
                <w:szCs w:val="18"/>
                <w:lang w:val="zh-CN"/>
              </w:rPr>
            </w:pPr>
            <w:r>
              <w:rPr>
                <w:rFonts w:hint="eastAsia"/>
                <w:sz w:val="18"/>
                <w:szCs w:val="18"/>
              </w:rPr>
              <w:t>6.456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二噁英ng-TEQ/m</w:t>
            </w:r>
            <w:r>
              <w:rPr>
                <w:rFonts w:ascii="Times New Roman" w:hAnsi="Times New Roman" w:cs="Times New Roman"/>
                <w:spacing w:val="0"/>
                <w:sz w:val="18"/>
                <w:szCs w:val="18"/>
                <w:vertAlign w:val="superscript"/>
                <w:lang w:val="zh-CN"/>
              </w:rPr>
              <w:t>3</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0.26</w:t>
            </w:r>
          </w:p>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r>
              <w:rPr>
                <w:rFonts w:ascii="Times New Roman" w:hAnsi="Times New Roman" w:cs="Times New Roman"/>
                <w:spacing w:val="0"/>
                <w:sz w:val="18"/>
                <w:szCs w:val="18"/>
                <w:lang w:val="zh-CN"/>
              </w:rPr>
              <w:t>ngTEQ/m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vAlign w:val="center"/>
          </w:tcPr>
          <w:p>
            <w:pPr>
              <w:spacing w:line="300" w:lineRule="exact"/>
              <w:jc w:val="center"/>
              <w:rPr>
                <w:rFonts w:eastAsia="宋体"/>
                <w:sz w:val="18"/>
                <w:szCs w:val="18"/>
              </w:rPr>
            </w:pPr>
            <w:r>
              <w:rPr>
                <w:rFonts w:eastAsia="宋体"/>
                <w:sz w:val="18"/>
                <w:szCs w:val="18"/>
              </w:rPr>
              <w:t>/</w:t>
            </w:r>
          </w:p>
        </w:tc>
        <w:tc>
          <w:tcPr>
            <w:tcW w:w="1118" w:type="dxa"/>
            <w:vAlign w:val="center"/>
          </w:tcPr>
          <w:p>
            <w:pPr>
              <w:spacing w:line="300" w:lineRule="exact"/>
              <w:jc w:val="center"/>
              <w:rPr>
                <w:sz w:val="18"/>
                <w:szCs w:val="18"/>
                <w:lang w:val="zh-CN"/>
              </w:rPr>
            </w:pPr>
            <w:r>
              <w:rPr>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4</w:t>
            </w:r>
          </w:p>
        </w:tc>
        <w:tc>
          <w:tcPr>
            <w:tcW w:w="1037"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修磨废气</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布袋除尘</w:t>
            </w:r>
          </w:p>
        </w:tc>
        <w:tc>
          <w:tcPr>
            <w:tcW w:w="1056"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23500</w:t>
            </w:r>
          </w:p>
        </w:tc>
        <w:tc>
          <w:tcPr>
            <w:tcW w:w="76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908" w:type="dxa"/>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7.05</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0.068</w:t>
            </w:r>
            <w:r>
              <w:rPr>
                <w:rFonts w:ascii="Times New Roman" w:hAnsi="Times New Roman" w:cs="Times New Roman"/>
                <w:spacing w:val="0"/>
                <w:sz w:val="18"/>
                <w:szCs w:val="18"/>
                <w:lang w:val="zh-CN"/>
              </w:rPr>
              <w:t>2</w:t>
            </w:r>
          </w:p>
        </w:tc>
        <w:tc>
          <w:tcPr>
            <w:tcW w:w="65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5400</w:t>
            </w:r>
          </w:p>
        </w:tc>
        <w:tc>
          <w:tcPr>
            <w:tcW w:w="1063" w:type="dxa"/>
            <w:shd w:val="clear" w:color="auto" w:fill="auto"/>
            <w:vAlign w:val="center"/>
          </w:tcPr>
          <w:p>
            <w:pPr>
              <w:spacing w:line="300" w:lineRule="exact"/>
              <w:jc w:val="center"/>
              <w:rPr>
                <w:rFonts w:eastAsia="宋体"/>
                <w:sz w:val="18"/>
                <w:szCs w:val="18"/>
              </w:rPr>
            </w:pPr>
            <w:r>
              <w:rPr>
                <w:sz w:val="18"/>
                <w:szCs w:val="18"/>
              </w:rPr>
              <w:t>0.368</w:t>
            </w:r>
          </w:p>
        </w:tc>
        <w:tc>
          <w:tcPr>
            <w:tcW w:w="1118" w:type="dxa"/>
            <w:shd w:val="clear" w:color="auto" w:fill="auto"/>
            <w:vAlign w:val="center"/>
          </w:tcPr>
          <w:p>
            <w:pPr>
              <w:spacing w:line="300" w:lineRule="exact"/>
              <w:jc w:val="center"/>
              <w:rPr>
                <w:sz w:val="18"/>
                <w:szCs w:val="18"/>
                <w:lang w:val="zh-CN"/>
              </w:rPr>
            </w:pPr>
            <w:r>
              <w:rPr>
                <w:rFonts w:hint="eastAsia"/>
                <w:sz w:val="18"/>
                <w:szCs w:val="18"/>
              </w:rPr>
              <w:t>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轧钢厂</w:t>
            </w: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5</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加热炉</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低氮燃烧</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11935</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25</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11.4</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w:t>
            </w:r>
            <w:r>
              <w:rPr>
                <w:rFonts w:ascii="Times New Roman" w:hAnsi="Times New Roman" w:cs="Times New Roman"/>
                <w:spacing w:val="0"/>
                <w:sz w:val="18"/>
                <w:szCs w:val="18"/>
                <w:lang w:val="zh-CN"/>
              </w:rPr>
              <w:t>0</w:t>
            </w:r>
            <w:r>
              <w:rPr>
                <w:rFonts w:hint="eastAsia" w:ascii="Times New Roman" w:hAnsi="Times New Roman" w:cs="Times New Roman"/>
                <w:spacing w:val="0"/>
                <w:sz w:val="18"/>
                <w:szCs w:val="18"/>
                <w:lang w:val="zh-CN"/>
              </w:rPr>
              <w:t>724</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5400</w:t>
            </w:r>
          </w:p>
        </w:tc>
        <w:tc>
          <w:tcPr>
            <w:tcW w:w="1063" w:type="dxa"/>
            <w:shd w:val="clear" w:color="auto" w:fill="auto"/>
            <w:vAlign w:val="center"/>
          </w:tcPr>
          <w:p>
            <w:pPr>
              <w:spacing w:line="300" w:lineRule="exact"/>
              <w:jc w:val="center"/>
              <w:rPr>
                <w:rFonts w:eastAsia="宋体"/>
                <w:sz w:val="18"/>
                <w:szCs w:val="18"/>
              </w:rPr>
            </w:pPr>
            <w:r>
              <w:rPr>
                <w:sz w:val="18"/>
                <w:szCs w:val="18"/>
              </w:rPr>
              <w:t>0.391</w:t>
            </w:r>
          </w:p>
        </w:tc>
        <w:tc>
          <w:tcPr>
            <w:tcW w:w="1118" w:type="dxa"/>
            <w:vAlign w:val="center"/>
          </w:tcPr>
          <w:p>
            <w:pPr>
              <w:spacing w:line="300" w:lineRule="exact"/>
              <w:jc w:val="center"/>
              <w:rPr>
                <w:sz w:val="18"/>
                <w:szCs w:val="18"/>
                <w:lang w:val="zh-CN"/>
              </w:rPr>
            </w:pPr>
            <w:r>
              <w:rPr>
                <w:rFonts w:hint="eastAsia"/>
                <w:sz w:val="18"/>
                <w:szCs w:val="18"/>
                <w:lang w:val="zh-CN"/>
              </w:rPr>
              <w:t>0</w:t>
            </w:r>
            <w:r>
              <w:rPr>
                <w:rFonts w:hint="eastAsia"/>
                <w:sz w:val="18"/>
                <w:szCs w:val="18"/>
                <w:vertAlign w:val="superscript"/>
                <w:lang w:val="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0.0179</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0.097</w:t>
            </w:r>
          </w:p>
        </w:tc>
        <w:tc>
          <w:tcPr>
            <w:tcW w:w="1118" w:type="dxa"/>
            <w:vAlign w:val="center"/>
          </w:tcPr>
          <w:p>
            <w:pPr>
              <w:spacing w:line="300" w:lineRule="exact"/>
              <w:jc w:val="center"/>
              <w:rPr>
                <w:sz w:val="18"/>
                <w:szCs w:val="18"/>
                <w:lang w:val="zh-CN"/>
              </w:rPr>
            </w:pPr>
            <w:r>
              <w:rPr>
                <w:rFonts w:hint="eastAsia"/>
                <w:sz w:val="18"/>
                <w:szCs w:val="18"/>
                <w:lang w:val="zh-CN"/>
              </w:rPr>
              <w:t>0</w:t>
            </w:r>
            <w:r>
              <w:rPr>
                <w:rFonts w:hint="eastAsia"/>
                <w:sz w:val="18"/>
                <w:szCs w:val="18"/>
                <w:vertAlign w:val="superscript"/>
                <w:lang w:val="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278</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2.595</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14.013</w:t>
            </w:r>
          </w:p>
        </w:tc>
        <w:tc>
          <w:tcPr>
            <w:tcW w:w="1118" w:type="dxa"/>
            <w:vAlign w:val="center"/>
          </w:tcPr>
          <w:p>
            <w:pPr>
              <w:spacing w:line="300" w:lineRule="exact"/>
              <w:jc w:val="center"/>
              <w:rPr>
                <w:sz w:val="18"/>
                <w:szCs w:val="18"/>
                <w:lang w:val="zh-CN"/>
              </w:rPr>
            </w:pPr>
            <w:r>
              <w:rPr>
                <w:rFonts w:hint="eastAsia"/>
                <w:sz w:val="18"/>
                <w:szCs w:val="18"/>
                <w:lang w:val="zh-CN"/>
              </w:rPr>
              <w:t>0</w:t>
            </w:r>
            <w:r>
              <w:rPr>
                <w:rFonts w:hint="eastAsia"/>
                <w:sz w:val="18"/>
                <w:szCs w:val="18"/>
                <w:vertAlign w:val="superscript"/>
                <w:lang w:val="zh-CN"/>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新轧钢厂步进式加热炉</w:t>
            </w:r>
            <w:r>
              <w:rPr>
                <w:rFonts w:hint="eastAsia" w:ascii="Times New Roman" w:hAnsi="Times New Roman" w:cs="Times New Roman"/>
                <w:spacing w:val="0"/>
                <w:sz w:val="18"/>
                <w:szCs w:val="18"/>
                <w:lang w:val="zh-CN"/>
              </w:rPr>
              <w:t>DA010</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低氮燃烧</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6750</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28</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1.2</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1.1</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0.00945</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1800</w:t>
            </w:r>
          </w:p>
        </w:tc>
        <w:tc>
          <w:tcPr>
            <w:tcW w:w="1063" w:type="dxa"/>
            <w:vAlign w:val="center"/>
          </w:tcPr>
          <w:p>
            <w:pPr>
              <w:spacing w:line="300" w:lineRule="exact"/>
              <w:jc w:val="center"/>
              <w:rPr>
                <w:rFonts w:eastAsia="宋体"/>
                <w:sz w:val="18"/>
                <w:szCs w:val="18"/>
              </w:rPr>
            </w:pPr>
            <w:r>
              <w:rPr>
                <w:sz w:val="18"/>
                <w:szCs w:val="18"/>
                <w:lang w:val="zh-CN"/>
              </w:rPr>
              <w:t>0.017</w:t>
            </w:r>
          </w:p>
        </w:tc>
        <w:tc>
          <w:tcPr>
            <w:tcW w:w="1118" w:type="dxa"/>
            <w:vAlign w:val="center"/>
          </w:tcPr>
          <w:p>
            <w:pPr>
              <w:spacing w:line="300" w:lineRule="exact"/>
              <w:jc w:val="center"/>
              <w:rPr>
                <w:sz w:val="18"/>
                <w:szCs w:val="18"/>
                <w:lang w:val="zh-CN"/>
              </w:rPr>
            </w:pPr>
            <w:r>
              <w:rPr>
                <w:rFonts w:hint="eastAsia"/>
                <w:sz w:val="18"/>
                <w:szCs w:val="18"/>
                <w:lang w:val="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0.0101</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vAlign w:val="center"/>
          </w:tcPr>
          <w:p>
            <w:pPr>
              <w:spacing w:line="300" w:lineRule="exact"/>
              <w:jc w:val="center"/>
              <w:rPr>
                <w:rFonts w:eastAsia="宋体"/>
                <w:sz w:val="18"/>
                <w:szCs w:val="18"/>
              </w:rPr>
            </w:pPr>
            <w:r>
              <w:rPr>
                <w:sz w:val="18"/>
                <w:szCs w:val="18"/>
                <w:lang w:val="zh-CN"/>
              </w:rPr>
              <w:t>0.018</w:t>
            </w:r>
          </w:p>
        </w:tc>
        <w:tc>
          <w:tcPr>
            <w:tcW w:w="1118" w:type="dxa"/>
            <w:vAlign w:val="center"/>
          </w:tcPr>
          <w:p>
            <w:pPr>
              <w:spacing w:line="300" w:lineRule="exact"/>
              <w:jc w:val="center"/>
              <w:rPr>
                <w:sz w:val="18"/>
                <w:szCs w:val="18"/>
                <w:lang w:val="zh-CN"/>
              </w:rPr>
            </w:pPr>
            <w:r>
              <w:rPr>
                <w:rFonts w:hint="eastAsia"/>
                <w:sz w:val="18"/>
                <w:szCs w:val="18"/>
                <w:lang w:val="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158</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1.35</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vAlign w:val="center"/>
          </w:tcPr>
          <w:p>
            <w:pPr>
              <w:spacing w:line="300" w:lineRule="exact"/>
              <w:jc w:val="center"/>
              <w:rPr>
                <w:rFonts w:eastAsia="宋体"/>
                <w:sz w:val="18"/>
                <w:szCs w:val="18"/>
              </w:rPr>
            </w:pPr>
            <w:r>
              <w:rPr>
                <w:sz w:val="18"/>
                <w:szCs w:val="18"/>
                <w:lang w:val="zh-CN"/>
              </w:rPr>
              <w:t>2.43</w:t>
            </w:r>
          </w:p>
        </w:tc>
        <w:tc>
          <w:tcPr>
            <w:tcW w:w="1118" w:type="dxa"/>
            <w:vAlign w:val="center"/>
          </w:tcPr>
          <w:p>
            <w:pPr>
              <w:spacing w:line="300" w:lineRule="exact"/>
              <w:jc w:val="center"/>
              <w:rPr>
                <w:sz w:val="18"/>
                <w:szCs w:val="18"/>
                <w:lang w:val="zh-CN"/>
              </w:rPr>
            </w:pPr>
            <w:r>
              <w:rPr>
                <w:rFonts w:hint="eastAsia"/>
                <w:sz w:val="18"/>
                <w:szCs w:val="18"/>
                <w:lang w:val="zh-CN"/>
              </w:rPr>
              <w:t>3.927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7</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轧钢厂</w:t>
            </w:r>
            <w:r>
              <w:rPr>
                <w:rFonts w:hint="eastAsia" w:ascii="Times New Roman" w:hAnsi="Times New Roman" w:cs="Times New Roman"/>
                <w:spacing w:val="0"/>
                <w:sz w:val="18"/>
                <w:szCs w:val="18"/>
                <w:lang w:val="zh-CN"/>
              </w:rPr>
              <w:t>离线</w:t>
            </w:r>
            <w:r>
              <w:rPr>
                <w:rFonts w:ascii="Times New Roman" w:hAnsi="Times New Roman" w:cs="Times New Roman"/>
                <w:spacing w:val="0"/>
                <w:sz w:val="18"/>
                <w:szCs w:val="18"/>
                <w:lang w:val="zh-CN"/>
              </w:rPr>
              <w:t>固溶炉</w:t>
            </w:r>
            <w:r>
              <w:rPr>
                <w:rFonts w:hint="eastAsia" w:ascii="Times New Roman" w:hAnsi="Times New Roman" w:cs="Times New Roman"/>
                <w:spacing w:val="0"/>
                <w:sz w:val="18"/>
                <w:szCs w:val="18"/>
                <w:lang w:val="zh-CN"/>
              </w:rPr>
              <w:t>DA005</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低氮燃烧</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6725</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8.29</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0.0205</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3600</w:t>
            </w:r>
          </w:p>
        </w:tc>
        <w:tc>
          <w:tcPr>
            <w:tcW w:w="1063" w:type="dxa"/>
            <w:shd w:val="clear" w:color="auto" w:fill="auto"/>
            <w:vAlign w:val="center"/>
          </w:tcPr>
          <w:p>
            <w:pPr>
              <w:spacing w:line="300" w:lineRule="exact"/>
              <w:jc w:val="center"/>
              <w:rPr>
                <w:rFonts w:eastAsia="宋体"/>
                <w:sz w:val="18"/>
                <w:szCs w:val="18"/>
              </w:rPr>
            </w:pPr>
            <w:r>
              <w:rPr>
                <w:sz w:val="18"/>
                <w:szCs w:val="18"/>
              </w:rPr>
              <w:t>0.074</w:t>
            </w:r>
          </w:p>
        </w:tc>
        <w:tc>
          <w:tcPr>
            <w:tcW w:w="1118" w:type="dxa"/>
            <w:shd w:val="clear" w:color="auto" w:fill="auto"/>
            <w:vAlign w:val="center"/>
          </w:tcPr>
          <w:p>
            <w:pPr>
              <w:spacing w:line="300" w:lineRule="exact"/>
              <w:jc w:val="center"/>
              <w:rPr>
                <w:sz w:val="18"/>
                <w:szCs w:val="18"/>
                <w:lang w:val="zh-CN"/>
              </w:rPr>
            </w:pPr>
            <w:r>
              <w:rPr>
                <w:rFonts w:hint="eastAsia"/>
                <w:sz w:val="18"/>
                <w:szCs w:val="18"/>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w:t>
            </w:r>
            <w:r>
              <w:rPr>
                <w:rFonts w:ascii="Times New Roman" w:hAnsi="Times New Roman" w:cs="Times New Roman"/>
                <w:spacing w:val="0"/>
                <w:sz w:val="18"/>
                <w:szCs w:val="18"/>
                <w:lang w:val="zh-CN"/>
              </w:rPr>
              <w:t>8</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0.0234</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0.084</w:t>
            </w:r>
          </w:p>
        </w:tc>
        <w:tc>
          <w:tcPr>
            <w:tcW w:w="1118" w:type="dxa"/>
            <w:shd w:val="clear" w:color="auto" w:fill="auto"/>
            <w:vAlign w:val="center"/>
          </w:tcPr>
          <w:p>
            <w:pPr>
              <w:spacing w:line="300" w:lineRule="exact"/>
              <w:jc w:val="center"/>
              <w:rPr>
                <w:sz w:val="18"/>
                <w:szCs w:val="18"/>
                <w:lang w:val="zh-CN"/>
              </w:rPr>
            </w:pPr>
            <w:r>
              <w:rPr>
                <w:rFonts w:hint="eastAsia"/>
                <w:sz w:val="18"/>
                <w:szCs w:val="18"/>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92</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0.4968</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1.788</w:t>
            </w:r>
          </w:p>
        </w:tc>
        <w:tc>
          <w:tcPr>
            <w:tcW w:w="1118" w:type="dxa"/>
            <w:shd w:val="clear" w:color="auto" w:fill="auto"/>
            <w:vAlign w:val="center"/>
          </w:tcPr>
          <w:p>
            <w:pPr>
              <w:spacing w:line="300" w:lineRule="exact"/>
              <w:jc w:val="center"/>
              <w:rPr>
                <w:sz w:val="18"/>
                <w:szCs w:val="18"/>
                <w:lang w:val="zh-CN"/>
              </w:rPr>
            </w:pPr>
            <w:r>
              <w:rPr>
                <w:rFonts w:hint="eastAsia"/>
                <w:sz w:val="18"/>
                <w:szCs w:val="18"/>
              </w:rPr>
              <w:t>2.889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8</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新轧钢厂在线固溶炉</w:t>
            </w:r>
            <w:r>
              <w:rPr>
                <w:rFonts w:hint="eastAsia" w:ascii="Times New Roman" w:hAnsi="Times New Roman" w:cs="Times New Roman"/>
                <w:spacing w:val="0"/>
                <w:sz w:val="18"/>
                <w:szCs w:val="18"/>
                <w:lang w:val="zh-CN"/>
              </w:rPr>
              <w:t>DA011</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低氮燃烧</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7950</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25</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0.8</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4.7</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0.0199</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1440</w:t>
            </w:r>
          </w:p>
        </w:tc>
        <w:tc>
          <w:tcPr>
            <w:tcW w:w="1063" w:type="dxa"/>
            <w:shd w:val="clear" w:color="auto" w:fill="auto"/>
            <w:vAlign w:val="center"/>
          </w:tcPr>
          <w:p>
            <w:pPr>
              <w:spacing w:line="300" w:lineRule="exact"/>
              <w:jc w:val="center"/>
              <w:rPr>
                <w:rFonts w:eastAsia="宋体"/>
                <w:sz w:val="18"/>
                <w:szCs w:val="18"/>
              </w:rPr>
            </w:pPr>
            <w:r>
              <w:rPr>
                <w:sz w:val="18"/>
                <w:szCs w:val="18"/>
              </w:rPr>
              <w:t>0.029</w:t>
            </w:r>
          </w:p>
        </w:tc>
        <w:tc>
          <w:tcPr>
            <w:tcW w:w="1118" w:type="dxa"/>
            <w:shd w:val="clear" w:color="auto" w:fill="auto"/>
            <w:vAlign w:val="center"/>
          </w:tcPr>
          <w:p>
            <w:pPr>
              <w:spacing w:line="300" w:lineRule="exact"/>
              <w:jc w:val="center"/>
              <w:rPr>
                <w:sz w:val="18"/>
                <w:szCs w:val="18"/>
                <w:lang w:val="zh-CN"/>
              </w:rPr>
            </w:pPr>
            <w:r>
              <w:rPr>
                <w:rFonts w:hint="eastAsia"/>
                <w:sz w:val="18"/>
                <w:szCs w:val="18"/>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7</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0.0318</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0.046</w:t>
            </w:r>
          </w:p>
        </w:tc>
        <w:tc>
          <w:tcPr>
            <w:tcW w:w="1118" w:type="dxa"/>
            <w:shd w:val="clear" w:color="auto" w:fill="auto"/>
            <w:vAlign w:val="center"/>
          </w:tcPr>
          <w:p>
            <w:pPr>
              <w:spacing w:line="300" w:lineRule="exact"/>
              <w:jc w:val="center"/>
              <w:rPr>
                <w:sz w:val="18"/>
                <w:szCs w:val="18"/>
                <w:lang w:val="zh-CN"/>
              </w:rPr>
            </w:pPr>
            <w:r>
              <w:rPr>
                <w:rFonts w:hint="eastAsia"/>
                <w:sz w:val="18"/>
                <w:szCs w:val="18"/>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70</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0.294</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0.423</w:t>
            </w:r>
          </w:p>
        </w:tc>
        <w:tc>
          <w:tcPr>
            <w:tcW w:w="1118" w:type="dxa"/>
            <w:shd w:val="clear" w:color="auto" w:fill="auto"/>
            <w:vAlign w:val="center"/>
          </w:tcPr>
          <w:p>
            <w:pPr>
              <w:spacing w:line="300" w:lineRule="exact"/>
              <w:jc w:val="center"/>
              <w:rPr>
                <w:sz w:val="18"/>
                <w:szCs w:val="18"/>
                <w:lang w:val="zh-CN"/>
              </w:rPr>
            </w:pPr>
            <w:r>
              <w:rPr>
                <w:rFonts w:hint="eastAsia"/>
                <w:sz w:val="18"/>
                <w:szCs w:val="18"/>
              </w:rPr>
              <w:t>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精整酸洗车间</w:t>
            </w: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9</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轧钢厂混酸排放</w:t>
            </w:r>
            <w:r>
              <w:rPr>
                <w:rFonts w:hint="eastAsia" w:ascii="Times New Roman" w:hAnsi="Times New Roman" w:cs="Times New Roman"/>
                <w:spacing w:val="0"/>
                <w:sz w:val="18"/>
                <w:szCs w:val="18"/>
                <w:lang w:val="zh-CN"/>
              </w:rPr>
              <w:t>DA008</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氟化物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z w:val="18"/>
                <w:szCs w:val="18"/>
              </w:rPr>
              <w:t>SCR+喷淋</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16</w:t>
            </w:r>
            <w:r>
              <w:rPr>
                <w:rFonts w:ascii="Times New Roman" w:hAnsi="Times New Roman" w:cs="Times New Roman"/>
                <w:spacing w:val="0"/>
                <w:sz w:val="18"/>
                <w:szCs w:val="18"/>
                <w:lang w:val="zh-CN"/>
              </w:rPr>
              <w:t>300</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30</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0.6</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4.29</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0.046</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5500</w:t>
            </w:r>
          </w:p>
        </w:tc>
        <w:tc>
          <w:tcPr>
            <w:tcW w:w="1063" w:type="dxa"/>
            <w:shd w:val="clear" w:color="auto" w:fill="auto"/>
            <w:vAlign w:val="center"/>
          </w:tcPr>
          <w:p>
            <w:pPr>
              <w:spacing w:line="300" w:lineRule="exact"/>
              <w:jc w:val="center"/>
              <w:rPr>
                <w:rFonts w:eastAsia="宋体"/>
                <w:sz w:val="18"/>
                <w:szCs w:val="18"/>
              </w:rPr>
            </w:pPr>
            <w:r>
              <w:rPr>
                <w:sz w:val="18"/>
                <w:szCs w:val="18"/>
              </w:rPr>
              <w:t>0.253</w:t>
            </w:r>
          </w:p>
        </w:tc>
        <w:tc>
          <w:tcPr>
            <w:tcW w:w="1118" w:type="dxa"/>
            <w:shd w:val="clear" w:color="auto" w:fill="auto"/>
            <w:vAlign w:val="center"/>
          </w:tcPr>
          <w:p>
            <w:pPr>
              <w:spacing w:line="300" w:lineRule="exact"/>
              <w:jc w:val="center"/>
              <w:rPr>
                <w:sz w:val="18"/>
                <w:szCs w:val="18"/>
                <w:lang w:val="zh-CN"/>
              </w:rPr>
            </w:pPr>
            <w:r>
              <w:rPr>
                <w:rFonts w:hint="eastAsia"/>
                <w:sz w:val="18"/>
                <w:szCs w:val="18"/>
              </w:rPr>
              <w:t>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12.7</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0.153</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sz w:val="18"/>
                <w:szCs w:val="18"/>
              </w:rPr>
            </w:pPr>
            <w:r>
              <w:rPr>
                <w:sz w:val="18"/>
                <w:szCs w:val="18"/>
              </w:rPr>
              <w:t>0.842</w:t>
            </w:r>
          </w:p>
        </w:tc>
        <w:tc>
          <w:tcPr>
            <w:tcW w:w="1118" w:type="dxa"/>
            <w:shd w:val="clear" w:color="auto" w:fill="auto"/>
            <w:vAlign w:val="center"/>
          </w:tcPr>
          <w:p>
            <w:pPr>
              <w:spacing w:line="300" w:lineRule="exact"/>
              <w:jc w:val="center"/>
              <w:rPr>
                <w:sz w:val="18"/>
                <w:szCs w:val="18"/>
              </w:rPr>
            </w:pPr>
            <w:r>
              <w:rPr>
                <w:rFonts w:hint="eastAsia"/>
                <w:sz w:val="18"/>
                <w:szCs w:val="18"/>
              </w:rPr>
              <w:t>0.926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jc w:val="center"/>
              <w:rPr>
                <w:rFonts w:ascii="Times New Roman" w:hAnsi="Times New Roman" w:cs="Times New Roman"/>
                <w:spacing w:val="0"/>
                <w:sz w:val="18"/>
                <w:szCs w:val="18"/>
                <w:lang w:val="zh-CN"/>
              </w:rPr>
            </w:pPr>
          </w:p>
        </w:tc>
        <w:tc>
          <w:tcPr>
            <w:tcW w:w="58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10</w:t>
            </w:r>
          </w:p>
        </w:tc>
        <w:tc>
          <w:tcPr>
            <w:tcW w:w="1037"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轧钢厂硫酸雾</w:t>
            </w:r>
            <w:r>
              <w:rPr>
                <w:rFonts w:hint="eastAsia" w:ascii="Times New Roman" w:hAnsi="Times New Roman" w:cs="Times New Roman"/>
                <w:spacing w:val="0"/>
                <w:sz w:val="18"/>
                <w:szCs w:val="18"/>
                <w:lang w:val="zh-CN"/>
              </w:rPr>
              <w:t>DA007</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硫酸雾</w:t>
            </w:r>
          </w:p>
        </w:tc>
        <w:tc>
          <w:tcPr>
            <w:tcW w:w="105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一级</w:t>
            </w:r>
            <w:r>
              <w:rPr>
                <w:rFonts w:ascii="Times New Roman" w:hAnsi="Times New Roman" w:cs="Times New Roman"/>
                <w:spacing w:val="0"/>
                <w:sz w:val="18"/>
                <w:szCs w:val="18"/>
                <w:lang w:val="zh-CN"/>
              </w:rPr>
              <w:t>喷淋</w:t>
            </w:r>
          </w:p>
        </w:tc>
        <w:tc>
          <w:tcPr>
            <w:tcW w:w="1056"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2625</w:t>
            </w:r>
          </w:p>
        </w:tc>
        <w:tc>
          <w:tcPr>
            <w:tcW w:w="76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908"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0.6</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5.93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0.010</w:t>
            </w:r>
          </w:p>
        </w:tc>
        <w:tc>
          <w:tcPr>
            <w:tcW w:w="655"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5500</w:t>
            </w:r>
          </w:p>
        </w:tc>
        <w:tc>
          <w:tcPr>
            <w:tcW w:w="1063" w:type="dxa"/>
            <w:shd w:val="clear" w:color="auto" w:fill="auto"/>
            <w:vAlign w:val="center"/>
          </w:tcPr>
          <w:p>
            <w:pPr>
              <w:spacing w:line="300" w:lineRule="exact"/>
              <w:jc w:val="center"/>
              <w:rPr>
                <w:sz w:val="18"/>
                <w:szCs w:val="18"/>
              </w:rPr>
            </w:pPr>
            <w:r>
              <w:rPr>
                <w:sz w:val="18"/>
                <w:szCs w:val="18"/>
              </w:rPr>
              <w:t>0.055</w:t>
            </w:r>
          </w:p>
        </w:tc>
        <w:tc>
          <w:tcPr>
            <w:tcW w:w="1118" w:type="dxa"/>
            <w:shd w:val="clear" w:color="auto" w:fill="auto"/>
            <w:vAlign w:val="center"/>
          </w:tcPr>
          <w:p>
            <w:pPr>
              <w:pStyle w:val="4"/>
              <w:spacing w:line="300" w:lineRule="exact"/>
              <w:ind w:firstLine="0"/>
              <w:jc w:val="center"/>
              <w:rPr>
                <w:rFonts w:ascii="Times New Roman" w:hAnsi="Times New Roman" w:eastAsia="仿宋_GB2312" w:cs="Times New Roman"/>
                <w:spacing w:val="0"/>
                <w:sz w:val="18"/>
                <w:szCs w:val="18"/>
              </w:rPr>
            </w:pPr>
            <w:r>
              <w:rPr>
                <w:rFonts w:hint="eastAsia" w:ascii="Times New Roman" w:hAnsi="Times New Roman" w:eastAsia="仿宋_GB2312" w:cs="Times New Roman"/>
                <w:spacing w:val="0"/>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11</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bCs/>
                <w:kern w:val="0"/>
                <w:sz w:val="18"/>
                <w:szCs w:val="18"/>
              </w:rPr>
              <w:t>精整酸洗车间酸雾</w:t>
            </w:r>
            <w:r>
              <w:rPr>
                <w:rFonts w:hint="eastAsia" w:ascii="Times New Roman" w:hAnsi="Times New Roman" w:cs="Times New Roman"/>
                <w:bCs/>
                <w:kern w:val="0"/>
                <w:sz w:val="18"/>
                <w:szCs w:val="18"/>
              </w:rPr>
              <w:t>DA006</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氟化物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四级喷淋</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12320</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25</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0.8</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4.57</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0.0312</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4800</w:t>
            </w:r>
          </w:p>
        </w:tc>
        <w:tc>
          <w:tcPr>
            <w:tcW w:w="1063" w:type="dxa"/>
            <w:shd w:val="clear" w:color="auto" w:fill="auto"/>
            <w:vAlign w:val="center"/>
          </w:tcPr>
          <w:p>
            <w:pPr>
              <w:spacing w:line="300" w:lineRule="exact"/>
              <w:jc w:val="center"/>
              <w:rPr>
                <w:rFonts w:eastAsia="宋体"/>
                <w:sz w:val="18"/>
                <w:szCs w:val="18"/>
              </w:rPr>
            </w:pPr>
            <w:r>
              <w:rPr>
                <w:sz w:val="18"/>
                <w:szCs w:val="18"/>
              </w:rPr>
              <w:t>0.15</w:t>
            </w:r>
          </w:p>
        </w:tc>
        <w:tc>
          <w:tcPr>
            <w:tcW w:w="1118" w:type="dxa"/>
            <w:shd w:val="clear" w:color="auto" w:fill="auto"/>
            <w:vAlign w:val="center"/>
          </w:tcPr>
          <w:p>
            <w:pPr>
              <w:spacing w:line="300" w:lineRule="exact"/>
              <w:jc w:val="center"/>
              <w:rPr>
                <w:sz w:val="18"/>
                <w:szCs w:val="18"/>
                <w:lang w:val="zh-CN"/>
              </w:rPr>
            </w:pPr>
            <w:r>
              <w:rPr>
                <w:rFonts w:hint="eastAsia"/>
                <w:sz w:val="18"/>
                <w:szCs w:val="18"/>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硫酸雾</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6.49</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0.043</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0.206</w:t>
            </w:r>
          </w:p>
        </w:tc>
        <w:tc>
          <w:tcPr>
            <w:tcW w:w="1118" w:type="dxa"/>
            <w:shd w:val="clear" w:color="auto" w:fill="auto"/>
            <w:vAlign w:val="center"/>
          </w:tcPr>
          <w:p>
            <w:pPr>
              <w:spacing w:line="300" w:lineRule="exact"/>
              <w:jc w:val="center"/>
              <w:rPr>
                <w:sz w:val="18"/>
                <w:szCs w:val="18"/>
                <w:lang w:val="zh-CN"/>
              </w:rPr>
            </w:pPr>
            <w:r>
              <w:rPr>
                <w:rFonts w:hint="eastAsia"/>
                <w:sz w:val="18"/>
                <w:szCs w:val="18"/>
              </w:rPr>
              <w:t>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1.84</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0.013</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0.062</w:t>
            </w:r>
          </w:p>
        </w:tc>
        <w:tc>
          <w:tcPr>
            <w:tcW w:w="1118" w:type="dxa"/>
            <w:shd w:val="clear" w:color="auto" w:fill="auto"/>
            <w:vAlign w:val="center"/>
          </w:tcPr>
          <w:p>
            <w:pPr>
              <w:spacing w:line="300" w:lineRule="exact"/>
              <w:jc w:val="center"/>
              <w:rPr>
                <w:sz w:val="18"/>
                <w:szCs w:val="18"/>
                <w:lang w:val="zh-CN"/>
              </w:rPr>
            </w:pPr>
            <w:r>
              <w:rPr>
                <w:rFonts w:hint="eastAsia"/>
                <w:sz w:val="18"/>
                <w:szCs w:val="18"/>
              </w:rPr>
              <w:t>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restart"/>
            <w:vAlign w:val="center"/>
          </w:tcPr>
          <w:p>
            <w:pPr>
              <w:pStyle w:val="4"/>
              <w:tabs>
                <w:tab w:val="left" w:pos="566"/>
              </w:tabs>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公用工程</w:t>
            </w:r>
          </w:p>
        </w:tc>
        <w:tc>
          <w:tcPr>
            <w:tcW w:w="58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w:t>
            </w:r>
            <w:r>
              <w:rPr>
                <w:rFonts w:ascii="Times New Roman" w:hAnsi="Times New Roman" w:cs="Times New Roman"/>
                <w:spacing w:val="0"/>
                <w:sz w:val="18"/>
                <w:szCs w:val="18"/>
                <w:lang w:val="zh-CN"/>
              </w:rPr>
              <w:t>2</w:t>
            </w:r>
          </w:p>
        </w:tc>
        <w:tc>
          <w:tcPr>
            <w:tcW w:w="1037"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锅炉废气</w:t>
            </w:r>
            <w:r>
              <w:rPr>
                <w:rFonts w:hint="eastAsia" w:ascii="Times New Roman" w:hAnsi="Times New Roman" w:cs="Times New Roman"/>
                <w:spacing w:val="0"/>
                <w:sz w:val="18"/>
                <w:szCs w:val="18"/>
                <w:lang w:val="zh-CN"/>
              </w:rPr>
              <w:t>DA009</w:t>
            </w: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50"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w:t>
            </w:r>
          </w:p>
        </w:tc>
        <w:tc>
          <w:tcPr>
            <w:tcW w:w="1056"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1384</w:t>
            </w:r>
          </w:p>
        </w:tc>
        <w:tc>
          <w:tcPr>
            <w:tcW w:w="762"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908"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0.5</w:t>
            </w: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1.9</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0.0043</w:t>
            </w:r>
          </w:p>
        </w:tc>
        <w:tc>
          <w:tcPr>
            <w:tcW w:w="655" w:type="dxa"/>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2400</w:t>
            </w:r>
          </w:p>
        </w:tc>
        <w:tc>
          <w:tcPr>
            <w:tcW w:w="1063" w:type="dxa"/>
            <w:shd w:val="clear" w:color="auto" w:fill="auto"/>
            <w:vAlign w:val="center"/>
          </w:tcPr>
          <w:p>
            <w:pPr>
              <w:spacing w:line="300" w:lineRule="exact"/>
              <w:jc w:val="center"/>
              <w:rPr>
                <w:rFonts w:eastAsia="宋体"/>
                <w:sz w:val="18"/>
                <w:szCs w:val="18"/>
              </w:rPr>
            </w:pPr>
            <w:r>
              <w:rPr>
                <w:sz w:val="18"/>
                <w:szCs w:val="18"/>
              </w:rPr>
              <w:t>0.01</w:t>
            </w:r>
          </w:p>
        </w:tc>
        <w:tc>
          <w:tcPr>
            <w:tcW w:w="1118" w:type="dxa"/>
            <w:shd w:val="clear" w:color="auto" w:fill="auto"/>
            <w:vAlign w:val="center"/>
          </w:tcPr>
          <w:p>
            <w:pPr>
              <w:spacing w:line="300" w:lineRule="exact"/>
              <w:jc w:val="center"/>
              <w:rPr>
                <w:sz w:val="18"/>
                <w:szCs w:val="18"/>
                <w:lang w:val="zh-CN"/>
              </w:rPr>
            </w:pPr>
            <w:r>
              <w:rPr>
                <w:rFonts w:hint="eastAsia"/>
                <w:sz w:val="18"/>
                <w:szCs w:val="18"/>
              </w:rPr>
              <w:t>0.0</w:t>
            </w:r>
            <w:r>
              <w:rPr>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0.003</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0.007</w:t>
            </w:r>
          </w:p>
        </w:tc>
        <w:tc>
          <w:tcPr>
            <w:tcW w:w="1118" w:type="dxa"/>
            <w:shd w:val="clear" w:color="auto" w:fill="auto"/>
            <w:vAlign w:val="center"/>
          </w:tcPr>
          <w:p>
            <w:pPr>
              <w:spacing w:line="300" w:lineRule="exact"/>
              <w:jc w:val="center"/>
              <w:rPr>
                <w:sz w:val="18"/>
                <w:szCs w:val="18"/>
                <w:lang w:val="zh-CN"/>
              </w:rPr>
            </w:pPr>
            <w:r>
              <w:rPr>
                <w:rFonts w:hint="eastAsia"/>
                <w:sz w:val="18"/>
                <w:szCs w:val="18"/>
              </w:rPr>
              <w:t>0.02</w:t>
            </w: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58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37"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7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50"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56"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762"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08"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192"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123</w:t>
            </w:r>
          </w:p>
        </w:tc>
        <w:tc>
          <w:tcPr>
            <w:tcW w:w="1100"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150</w:t>
            </w:r>
          </w:p>
        </w:tc>
        <w:tc>
          <w:tcPr>
            <w:tcW w:w="719" w:type="dxa"/>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达标</w:t>
            </w:r>
          </w:p>
        </w:tc>
        <w:tc>
          <w:tcPr>
            <w:tcW w:w="904" w:type="dxa"/>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0.171</w:t>
            </w:r>
          </w:p>
        </w:tc>
        <w:tc>
          <w:tcPr>
            <w:tcW w:w="655" w:type="dxa"/>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1063" w:type="dxa"/>
            <w:shd w:val="clear" w:color="auto" w:fill="auto"/>
            <w:vAlign w:val="center"/>
          </w:tcPr>
          <w:p>
            <w:pPr>
              <w:spacing w:line="300" w:lineRule="exact"/>
              <w:jc w:val="center"/>
              <w:rPr>
                <w:rFonts w:eastAsia="宋体"/>
                <w:sz w:val="18"/>
                <w:szCs w:val="18"/>
              </w:rPr>
            </w:pPr>
            <w:r>
              <w:rPr>
                <w:sz w:val="18"/>
                <w:szCs w:val="18"/>
              </w:rPr>
              <w:t>0.41</w:t>
            </w:r>
          </w:p>
        </w:tc>
        <w:tc>
          <w:tcPr>
            <w:tcW w:w="1118" w:type="dxa"/>
            <w:shd w:val="clear" w:color="auto" w:fill="auto"/>
            <w:vAlign w:val="center"/>
          </w:tcPr>
          <w:p>
            <w:pPr>
              <w:spacing w:line="300" w:lineRule="exact"/>
              <w:jc w:val="center"/>
              <w:rPr>
                <w:sz w:val="18"/>
                <w:szCs w:val="18"/>
                <w:lang w:val="zh-CN"/>
              </w:rPr>
            </w:pPr>
            <w:r>
              <w:rPr>
                <w:sz w:val="18"/>
                <w:szCs w:val="18"/>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0" w:type="dxa"/>
            <w:gridSpan w:val="3"/>
            <w:vMerge w:val="restart"/>
            <w:vAlign w:val="center"/>
          </w:tcPr>
          <w:p>
            <w:pPr>
              <w:pStyle w:val="4"/>
              <w:spacing w:line="30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合计</w:t>
            </w:r>
          </w:p>
        </w:tc>
        <w:tc>
          <w:tcPr>
            <w:tcW w:w="9416" w:type="dxa"/>
            <w:gridSpan w:val="10"/>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颗粒物</w:t>
            </w:r>
          </w:p>
        </w:tc>
        <w:tc>
          <w:tcPr>
            <w:tcW w:w="1063" w:type="dxa"/>
            <w:shd w:val="clear" w:color="auto" w:fill="auto"/>
            <w:vAlign w:val="center"/>
          </w:tcPr>
          <w:p>
            <w:pPr>
              <w:spacing w:line="300" w:lineRule="exact"/>
              <w:jc w:val="center"/>
              <w:rPr>
                <w:sz w:val="18"/>
                <w:szCs w:val="18"/>
                <w:lang w:val="zh-CN"/>
              </w:rPr>
            </w:pPr>
            <w:r>
              <w:rPr>
                <w:sz w:val="18"/>
                <w:szCs w:val="18"/>
              </w:rPr>
              <w:t>21.718</w:t>
            </w:r>
          </w:p>
        </w:tc>
        <w:tc>
          <w:tcPr>
            <w:tcW w:w="1118" w:type="dxa"/>
            <w:shd w:val="clear" w:color="auto" w:fill="auto"/>
            <w:vAlign w:val="center"/>
          </w:tcPr>
          <w:p>
            <w:pPr>
              <w:spacing w:line="300" w:lineRule="exact"/>
              <w:jc w:val="center"/>
              <w:rPr>
                <w:sz w:val="18"/>
                <w:szCs w:val="18"/>
                <w:lang w:val="zh-CN"/>
              </w:rPr>
            </w:pPr>
            <w:r>
              <w:rPr>
                <w:sz w:val="18"/>
                <w:szCs w:val="18"/>
              </w:rPr>
              <w:t>27.135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0" w:type="dxa"/>
            <w:gridSpan w:val="3"/>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416" w:type="dxa"/>
            <w:gridSpan w:val="10"/>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氟化物</w:t>
            </w:r>
          </w:p>
        </w:tc>
        <w:tc>
          <w:tcPr>
            <w:tcW w:w="1063" w:type="dxa"/>
            <w:shd w:val="clear" w:color="auto" w:fill="auto"/>
            <w:vAlign w:val="center"/>
          </w:tcPr>
          <w:p>
            <w:pPr>
              <w:spacing w:line="300" w:lineRule="exact"/>
              <w:jc w:val="center"/>
              <w:rPr>
                <w:sz w:val="18"/>
                <w:szCs w:val="18"/>
                <w:lang w:val="zh-CN"/>
              </w:rPr>
            </w:pPr>
            <w:r>
              <w:rPr>
                <w:sz w:val="18"/>
                <w:szCs w:val="18"/>
              </w:rPr>
              <w:t>11.305</w:t>
            </w:r>
          </w:p>
        </w:tc>
        <w:tc>
          <w:tcPr>
            <w:tcW w:w="1118" w:type="dxa"/>
            <w:shd w:val="clear" w:color="auto" w:fill="auto"/>
            <w:vAlign w:val="center"/>
          </w:tcPr>
          <w:p>
            <w:pPr>
              <w:spacing w:line="300" w:lineRule="exact"/>
              <w:jc w:val="center"/>
              <w:rPr>
                <w:sz w:val="18"/>
                <w:szCs w:val="18"/>
                <w:lang w:val="zh-CN"/>
              </w:rPr>
            </w:pPr>
            <w:r>
              <w:rPr>
                <w:sz w:val="18"/>
                <w:szCs w:val="18"/>
              </w:rPr>
              <w:t>15.203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0" w:type="dxa"/>
            <w:gridSpan w:val="3"/>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416" w:type="dxa"/>
            <w:gridSpan w:val="10"/>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SO</w:t>
            </w:r>
            <w:r>
              <w:rPr>
                <w:rFonts w:ascii="Times New Roman" w:hAnsi="Times New Roman" w:cs="Times New Roman"/>
                <w:spacing w:val="0"/>
                <w:sz w:val="18"/>
                <w:szCs w:val="18"/>
                <w:vertAlign w:val="subscript"/>
                <w:lang w:val="zh-CN"/>
              </w:rPr>
              <w:t>2</w:t>
            </w:r>
          </w:p>
        </w:tc>
        <w:tc>
          <w:tcPr>
            <w:tcW w:w="1063" w:type="dxa"/>
            <w:shd w:val="clear" w:color="auto" w:fill="auto"/>
            <w:vAlign w:val="center"/>
          </w:tcPr>
          <w:p>
            <w:pPr>
              <w:spacing w:line="300" w:lineRule="exact"/>
              <w:jc w:val="center"/>
              <w:rPr>
                <w:sz w:val="18"/>
                <w:szCs w:val="18"/>
                <w:lang w:val="zh-CN"/>
              </w:rPr>
            </w:pPr>
            <w:r>
              <w:rPr>
                <w:sz w:val="18"/>
                <w:szCs w:val="18"/>
              </w:rPr>
              <w:t>12.421</w:t>
            </w:r>
          </w:p>
        </w:tc>
        <w:tc>
          <w:tcPr>
            <w:tcW w:w="1118" w:type="dxa"/>
            <w:shd w:val="clear" w:color="auto" w:fill="auto"/>
            <w:vAlign w:val="center"/>
          </w:tcPr>
          <w:p>
            <w:pPr>
              <w:spacing w:line="300" w:lineRule="exact"/>
              <w:jc w:val="center"/>
              <w:rPr>
                <w:sz w:val="18"/>
                <w:szCs w:val="18"/>
                <w:lang w:val="zh-CN"/>
              </w:rPr>
            </w:pPr>
            <w:r>
              <w:rPr>
                <w:sz w:val="18"/>
                <w:szCs w:val="18"/>
              </w:rPr>
              <w:t>15.583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0" w:type="dxa"/>
            <w:gridSpan w:val="3"/>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416" w:type="dxa"/>
            <w:gridSpan w:val="10"/>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NOx</w:t>
            </w:r>
          </w:p>
        </w:tc>
        <w:tc>
          <w:tcPr>
            <w:tcW w:w="1063" w:type="dxa"/>
            <w:shd w:val="clear" w:color="auto" w:fill="auto"/>
            <w:vAlign w:val="center"/>
          </w:tcPr>
          <w:p>
            <w:pPr>
              <w:spacing w:line="300" w:lineRule="exact"/>
              <w:jc w:val="center"/>
              <w:rPr>
                <w:sz w:val="18"/>
                <w:szCs w:val="18"/>
                <w:lang w:val="zh-CN"/>
              </w:rPr>
            </w:pPr>
            <w:r>
              <w:rPr>
                <w:sz w:val="18"/>
                <w:szCs w:val="18"/>
              </w:rPr>
              <w:t>19.968</w:t>
            </w:r>
          </w:p>
        </w:tc>
        <w:tc>
          <w:tcPr>
            <w:tcW w:w="1118" w:type="dxa"/>
            <w:shd w:val="clear" w:color="auto" w:fill="auto"/>
            <w:vAlign w:val="center"/>
          </w:tcPr>
          <w:p>
            <w:pPr>
              <w:spacing w:line="300" w:lineRule="exact"/>
              <w:jc w:val="center"/>
              <w:rPr>
                <w:sz w:val="18"/>
                <w:szCs w:val="18"/>
                <w:lang w:val="zh-CN"/>
              </w:rPr>
            </w:pPr>
            <w:r>
              <w:rPr>
                <w:sz w:val="18"/>
                <w:szCs w:val="18"/>
              </w:rPr>
              <w:t>9.724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50" w:type="dxa"/>
            <w:gridSpan w:val="3"/>
            <w:vMerge w:val="continue"/>
            <w:vAlign w:val="center"/>
          </w:tcPr>
          <w:p>
            <w:pPr>
              <w:pStyle w:val="4"/>
              <w:spacing w:line="300" w:lineRule="exact"/>
              <w:ind w:firstLine="0"/>
              <w:jc w:val="center"/>
              <w:rPr>
                <w:rFonts w:ascii="Times New Roman" w:hAnsi="Times New Roman" w:cs="Times New Roman"/>
                <w:spacing w:val="0"/>
                <w:sz w:val="18"/>
                <w:szCs w:val="18"/>
                <w:lang w:val="zh-CN"/>
              </w:rPr>
            </w:pPr>
          </w:p>
        </w:tc>
        <w:tc>
          <w:tcPr>
            <w:tcW w:w="9416" w:type="dxa"/>
            <w:gridSpan w:val="10"/>
            <w:vAlign w:val="center"/>
          </w:tcPr>
          <w:p>
            <w:pPr>
              <w:pStyle w:val="4"/>
              <w:spacing w:line="30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硫酸雾</w:t>
            </w:r>
          </w:p>
        </w:tc>
        <w:tc>
          <w:tcPr>
            <w:tcW w:w="1063" w:type="dxa"/>
            <w:shd w:val="clear" w:color="auto" w:fill="auto"/>
            <w:vAlign w:val="center"/>
          </w:tcPr>
          <w:p>
            <w:pPr>
              <w:spacing w:line="300" w:lineRule="exact"/>
              <w:jc w:val="center"/>
              <w:rPr>
                <w:sz w:val="18"/>
                <w:szCs w:val="18"/>
                <w:lang w:val="zh-CN"/>
              </w:rPr>
            </w:pPr>
            <w:r>
              <w:rPr>
                <w:sz w:val="18"/>
                <w:szCs w:val="18"/>
              </w:rPr>
              <w:t>0.261</w:t>
            </w:r>
          </w:p>
        </w:tc>
        <w:tc>
          <w:tcPr>
            <w:tcW w:w="1118" w:type="dxa"/>
            <w:shd w:val="clear" w:color="auto" w:fill="auto"/>
            <w:vAlign w:val="center"/>
          </w:tcPr>
          <w:p>
            <w:pPr>
              <w:spacing w:line="300" w:lineRule="exact"/>
              <w:jc w:val="center"/>
              <w:rPr>
                <w:sz w:val="18"/>
                <w:szCs w:val="18"/>
                <w:lang w:val="zh-CN"/>
              </w:rPr>
            </w:pPr>
            <w:r>
              <w:rPr>
                <w:sz w:val="18"/>
                <w:szCs w:val="18"/>
              </w:rPr>
              <w:t>0.288</w:t>
            </w:r>
          </w:p>
        </w:tc>
      </w:tr>
    </w:tbl>
    <w:p>
      <w:pPr>
        <w:pStyle w:val="4"/>
        <w:spacing w:line="300" w:lineRule="exact"/>
        <w:ind w:firstLine="0"/>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注：①</w:t>
      </w:r>
      <w:r>
        <w:rPr>
          <w:rFonts w:ascii="Times New Roman" w:hAnsi="Times New Roman" w:cs="Times New Roman"/>
          <w:spacing w:val="0"/>
          <w:sz w:val="21"/>
          <w:szCs w:val="21"/>
          <w:lang w:val="zh-CN"/>
        </w:rPr>
        <w:t>现状炼钢一厂修磨废气未进行监测，本报告类比</w:t>
      </w:r>
      <w:r>
        <w:rPr>
          <w:rFonts w:hint="eastAsia" w:ascii="Times New Roman" w:hAnsi="Times New Roman" w:cs="Times New Roman"/>
          <w:spacing w:val="0"/>
          <w:sz w:val="21"/>
          <w:szCs w:val="21"/>
          <w:lang w:val="zh-CN"/>
        </w:rPr>
        <w:t>炼钢二厂</w:t>
      </w:r>
      <w:r>
        <w:rPr>
          <w:rFonts w:ascii="Times New Roman" w:hAnsi="Times New Roman" w:cs="Times New Roman"/>
          <w:spacing w:val="0"/>
          <w:sz w:val="21"/>
          <w:szCs w:val="21"/>
          <w:lang w:val="zh-CN"/>
        </w:rPr>
        <w:t>排放速率</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②</w:t>
      </w:r>
      <w:r>
        <w:rPr>
          <w:rFonts w:hint="eastAsia" w:ascii="Times New Roman" w:hAnsi="Times New Roman" w:cs="Times New Roman"/>
          <w:spacing w:val="0"/>
          <w:sz w:val="21"/>
          <w:szCs w:val="21"/>
          <w:lang w:val="zh-CN"/>
        </w:rPr>
        <w:t>由于新轧钢厂投入运行后，老轧钢厂已停用，因此达产时污染物排放量不包括老轧钢厂的污染物排放量。③企业2</w:t>
      </w:r>
      <w:r>
        <w:rPr>
          <w:rFonts w:ascii="Times New Roman" w:hAnsi="Times New Roman" w:cs="Times New Roman"/>
          <w:spacing w:val="0"/>
          <w:sz w:val="21"/>
          <w:szCs w:val="21"/>
          <w:lang w:val="zh-CN"/>
        </w:rPr>
        <w:t>018</w:t>
      </w:r>
      <w:r>
        <w:rPr>
          <w:rFonts w:hint="eastAsia" w:ascii="Times New Roman" w:hAnsi="Times New Roman" w:cs="Times New Roman"/>
          <w:spacing w:val="0"/>
          <w:sz w:val="21"/>
          <w:szCs w:val="21"/>
          <w:lang w:val="zh-CN"/>
        </w:rPr>
        <w:t>年锅炉</w:t>
      </w:r>
      <w:r>
        <w:rPr>
          <w:rFonts w:ascii="Times New Roman" w:hAnsi="Times New Roman" w:cs="Times New Roman"/>
          <w:spacing w:val="0"/>
          <w:sz w:val="21"/>
          <w:szCs w:val="21"/>
          <w:lang w:val="zh-CN"/>
        </w:rPr>
        <w:t>平均负荷</w:t>
      </w:r>
      <w:r>
        <w:rPr>
          <w:rFonts w:hint="eastAsia" w:ascii="Times New Roman" w:hAnsi="Times New Roman" w:cs="Times New Roman"/>
          <w:spacing w:val="0"/>
          <w:sz w:val="21"/>
          <w:szCs w:val="21"/>
          <w:lang w:val="zh-CN"/>
        </w:rPr>
        <w:t>为25</w:t>
      </w:r>
      <w:r>
        <w:rPr>
          <w:rFonts w:ascii="Times New Roman" w:hAnsi="Times New Roman" w:cs="Times New Roman"/>
          <w:spacing w:val="0"/>
          <w:sz w:val="21"/>
          <w:szCs w:val="21"/>
          <w:lang w:val="zh-CN"/>
        </w:rPr>
        <w:t>%</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审批</w:t>
      </w:r>
      <w:r>
        <w:rPr>
          <w:rFonts w:hint="eastAsia" w:ascii="Times New Roman" w:hAnsi="Times New Roman" w:cs="Times New Roman"/>
          <w:spacing w:val="0"/>
          <w:sz w:val="21"/>
          <w:szCs w:val="21"/>
          <w:lang w:val="zh-CN"/>
        </w:rPr>
        <w:t>平均</w:t>
      </w:r>
      <w:r>
        <w:rPr>
          <w:rFonts w:ascii="Times New Roman" w:hAnsi="Times New Roman" w:cs="Times New Roman"/>
          <w:spacing w:val="0"/>
          <w:sz w:val="21"/>
          <w:szCs w:val="21"/>
          <w:lang w:val="zh-CN"/>
        </w:rPr>
        <w:t>负荷为</w:t>
      </w:r>
      <w:r>
        <w:rPr>
          <w:rFonts w:hint="eastAsia" w:ascii="Times New Roman" w:hAnsi="Times New Roman" w:cs="Times New Roman"/>
          <w:spacing w:val="0"/>
          <w:sz w:val="21"/>
          <w:szCs w:val="21"/>
          <w:lang w:val="zh-CN"/>
        </w:rPr>
        <w:t>75</w:t>
      </w:r>
      <w:r>
        <w:rPr>
          <w:rFonts w:ascii="Times New Roman" w:hAnsi="Times New Roman" w:cs="Times New Roman"/>
          <w:spacing w:val="0"/>
          <w:sz w:val="21"/>
          <w:szCs w:val="21"/>
          <w:lang w:val="zh-CN"/>
        </w:rPr>
        <w:t>%</w:t>
      </w:r>
      <w:r>
        <w:rPr>
          <w:rFonts w:hint="eastAsia" w:ascii="Times New Roman" w:hAnsi="Times New Roman" w:cs="Times New Roman"/>
          <w:spacing w:val="0"/>
          <w:sz w:val="21"/>
          <w:szCs w:val="21"/>
          <w:lang w:val="zh-CN"/>
        </w:rPr>
        <w:t>。</w:t>
      </w:r>
    </w:p>
    <w:p>
      <w:pPr>
        <w:pStyle w:val="4"/>
        <w:rPr>
          <w:rFonts w:ascii="Times New Roman" w:hAnsi="Times New Roman" w:cs="Times New Roman"/>
          <w:spacing w:val="0"/>
          <w:lang w:val="zh-CN"/>
        </w:rPr>
        <w:sectPr>
          <w:footerReference r:id="rId11" w:type="default"/>
          <w:pgSz w:w="16840" w:h="11907" w:orient="landscape"/>
          <w:pgMar w:top="1406" w:right="1531" w:bottom="1406" w:left="1531" w:header="964" w:footer="851" w:gutter="284"/>
          <w:pgNumType w:fmt="numberInDash"/>
          <w:cols w:space="720" w:num="1"/>
          <w:docGrid w:type="linesAndChars" w:linePitch="421" w:charSpace="640"/>
        </w:sectPr>
      </w:pPr>
    </w:p>
    <w:p>
      <w:pPr>
        <w:pStyle w:val="4"/>
        <w:rPr>
          <w:rFonts w:ascii="Times New Roman" w:hAnsi="Times New Roman" w:cs="Times New Roman"/>
          <w:spacing w:val="0"/>
        </w:rPr>
      </w:pPr>
      <w:r>
        <w:rPr>
          <w:rFonts w:hint="eastAsia" w:ascii="Times New Roman" w:hAnsi="Times New Roman" w:cs="Times New Roman"/>
          <w:spacing w:val="0"/>
        </w:rPr>
        <w:t>⑧重金属排放量核算(C</w:t>
      </w:r>
      <w:r>
        <w:rPr>
          <w:rFonts w:ascii="Times New Roman" w:hAnsi="Times New Roman" w:cs="Times New Roman"/>
          <w:spacing w:val="0"/>
        </w:rPr>
        <w:t>r、</w:t>
      </w:r>
      <w:r>
        <w:rPr>
          <w:rFonts w:hint="eastAsia" w:ascii="Times New Roman" w:hAnsi="Times New Roman" w:cs="Times New Roman"/>
          <w:spacing w:val="0"/>
        </w:rPr>
        <w:t>N</w:t>
      </w:r>
      <w:r>
        <w:rPr>
          <w:rFonts w:ascii="Times New Roman" w:hAnsi="Times New Roman" w:cs="Times New Roman"/>
          <w:spacing w:val="0"/>
        </w:rPr>
        <w:t>i</w:t>
      </w:r>
      <w:r>
        <w:rPr>
          <w:rFonts w:hint="eastAsia" w:ascii="Times New Roman" w:hAnsi="Times New Roman" w:cs="Times New Roman"/>
          <w:spacing w:val="0"/>
        </w:rPr>
        <w:t>)</w:t>
      </w:r>
    </w:p>
    <w:p>
      <w:pPr>
        <w:pStyle w:val="4"/>
        <w:rPr>
          <w:rFonts w:ascii="Times New Roman" w:hAnsi="Times New Roman" w:cs="Times New Roman"/>
          <w:spacing w:val="0"/>
        </w:rPr>
      </w:pPr>
      <w:r>
        <w:rPr>
          <w:rFonts w:hint="eastAsia" w:ascii="Times New Roman" w:hAnsi="Times New Roman" w:cs="Times New Roman"/>
          <w:spacing w:val="0"/>
        </w:rPr>
        <w:t>现阶段国内并未出台对钢铁行业电炉炼钢工序产生的重金属进行源强核算、治理控制措施以及达标排放要求的相关标准、规范文件，钢铁行业也并未开展对电炉炼钢工序重金属污染物的监测。根据现状炼钢</w:t>
      </w:r>
      <w:r>
        <w:rPr>
          <w:rFonts w:ascii="Times New Roman" w:hAnsi="Times New Roman" w:cs="Times New Roman"/>
          <w:spacing w:val="0"/>
        </w:rPr>
        <w:t>一厂、炼钢二厂的</w:t>
      </w:r>
      <w:r>
        <w:rPr>
          <w:rFonts w:hint="eastAsia" w:ascii="Times New Roman" w:hAnsi="Times New Roman" w:cs="Times New Roman"/>
          <w:spacing w:val="0"/>
        </w:rPr>
        <w:t>原辅料分析，电炉炼钢重金属来源可能是废钢原料中的不锈钢、夹杂的有色金属杂质、添加的铁合金料成分中带入。现状</w:t>
      </w:r>
      <w:r>
        <w:rPr>
          <w:rFonts w:ascii="Times New Roman" w:hAnsi="Times New Roman" w:cs="Times New Roman"/>
          <w:spacing w:val="0"/>
        </w:rPr>
        <w:t>原辅料中不含</w:t>
      </w:r>
      <w:r>
        <w:rPr>
          <w:rFonts w:hint="eastAsia" w:ascii="Times New Roman" w:hAnsi="Times New Roman" w:cs="Times New Roman"/>
          <w:spacing w:val="0"/>
        </w:rPr>
        <w:t>铅</w:t>
      </w:r>
      <w:r>
        <w:rPr>
          <w:rFonts w:ascii="Times New Roman" w:hAnsi="Times New Roman" w:cs="Times New Roman"/>
          <w:spacing w:val="0"/>
        </w:rPr>
        <w:t>，</w:t>
      </w:r>
      <w:r>
        <w:rPr>
          <w:rFonts w:hint="eastAsia" w:ascii="Times New Roman" w:hAnsi="Times New Roman" w:cs="Times New Roman"/>
          <w:spacing w:val="0"/>
        </w:rPr>
        <w:t>因此本报告</w:t>
      </w:r>
      <w:r>
        <w:rPr>
          <w:rFonts w:ascii="Times New Roman" w:hAnsi="Times New Roman" w:cs="Times New Roman"/>
          <w:spacing w:val="0"/>
        </w:rPr>
        <w:t>对现状</w:t>
      </w:r>
      <w:r>
        <w:rPr>
          <w:rFonts w:hint="eastAsia" w:ascii="Times New Roman" w:hAnsi="Times New Roman" w:cs="Times New Roman"/>
          <w:spacing w:val="0"/>
        </w:rPr>
        <w:t>排放的重金属（主要为Cr、Ni）量进行估算。</w:t>
      </w:r>
    </w:p>
    <w:p>
      <w:pPr>
        <w:pStyle w:val="4"/>
        <w:rPr>
          <w:rFonts w:ascii="Times New Roman" w:hAnsi="Times New Roman" w:cs="Times New Roman"/>
          <w:spacing w:val="0"/>
        </w:rPr>
      </w:pPr>
      <w:r>
        <w:rPr>
          <w:rFonts w:hint="eastAsia" w:ascii="Times New Roman" w:hAnsi="Times New Roman" w:cs="Times New Roman"/>
          <w:spacing w:val="0"/>
        </w:rPr>
        <w:t>电炉烟气中的重金属主要以固态形式存在于烟气中的颗粒物内，部分被布袋除尘器捕集进入电炉灰，少量未捕集部分随颗粒物外排，即通过电炉灰成分分析及外排颗粒物总量可估算外排废气中的重金属量。企业</w:t>
      </w:r>
      <w:r>
        <w:rPr>
          <w:rFonts w:ascii="Times New Roman" w:hAnsi="Times New Roman" w:cs="Times New Roman"/>
          <w:spacing w:val="0"/>
        </w:rPr>
        <w:t>于</w:t>
      </w:r>
      <w:r>
        <w:rPr>
          <w:rFonts w:hint="eastAsia" w:ascii="Times New Roman" w:hAnsi="Times New Roman" w:cs="Times New Roman"/>
          <w:spacing w:val="0"/>
        </w:rPr>
        <w:t>2017.7.24对</w:t>
      </w:r>
      <w:r>
        <w:rPr>
          <w:rFonts w:ascii="Times New Roman" w:hAnsi="Times New Roman" w:cs="Times New Roman"/>
          <w:spacing w:val="0"/>
        </w:rPr>
        <w:t>炼钢一厂、炼钢二厂的除尘灰</w:t>
      </w:r>
      <w:r>
        <w:rPr>
          <w:rFonts w:hint="eastAsia" w:ascii="Times New Roman" w:hAnsi="Times New Roman" w:cs="Times New Roman"/>
          <w:spacing w:val="0"/>
        </w:rPr>
        <w:t>重金属含量</w:t>
      </w:r>
      <w:r>
        <w:rPr>
          <w:rFonts w:ascii="Times New Roman" w:hAnsi="Times New Roman" w:cs="Times New Roman"/>
          <w:spacing w:val="0"/>
        </w:rPr>
        <w:t>进行</w:t>
      </w:r>
      <w:r>
        <w:rPr>
          <w:rFonts w:hint="eastAsia" w:ascii="Times New Roman" w:hAnsi="Times New Roman" w:cs="Times New Roman"/>
          <w:spacing w:val="0"/>
        </w:rPr>
        <w:t>了检测(检测</w:t>
      </w:r>
      <w:r>
        <w:rPr>
          <w:rFonts w:ascii="Times New Roman" w:hAnsi="Times New Roman" w:cs="Times New Roman"/>
          <w:spacing w:val="0"/>
        </w:rPr>
        <w:t>报告详见附件</w:t>
      </w:r>
      <w:r>
        <w:rPr>
          <w:rFonts w:hint="eastAsia" w:ascii="Times New Roman" w:hAnsi="Times New Roman" w:cs="Times New Roman"/>
          <w:spacing w:val="0"/>
        </w:rPr>
        <w:t>7)，监测</w:t>
      </w:r>
      <w:r>
        <w:rPr>
          <w:rFonts w:ascii="Times New Roman" w:hAnsi="Times New Roman" w:cs="Times New Roman"/>
          <w:spacing w:val="0"/>
        </w:rPr>
        <w:t>结果详见表</w:t>
      </w:r>
      <w:r>
        <w:rPr>
          <w:rFonts w:hint="eastAsia" w:ascii="Times New Roman" w:hAnsi="Times New Roman" w:cs="Times New Roman"/>
          <w:spacing w:val="0"/>
        </w:rPr>
        <w:t>3-27。</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现有炼钢一厂、</w:t>
      </w:r>
      <w:r>
        <w:rPr>
          <w:rFonts w:ascii="Times New Roman" w:hAnsi="Times New Roman"/>
          <w:lang w:eastAsia="zh-CN"/>
        </w:rPr>
        <w:t>炼钢二</w:t>
      </w:r>
      <w:r>
        <w:rPr>
          <w:rFonts w:hint="eastAsia" w:ascii="Times New Roman" w:hAnsi="Times New Roman"/>
          <w:lang w:eastAsia="zh-CN"/>
        </w:rPr>
        <w:t>厂</w:t>
      </w:r>
      <w:r>
        <w:rPr>
          <w:rFonts w:ascii="Times New Roman" w:hAnsi="Times New Roman"/>
          <w:lang w:eastAsia="zh-CN"/>
        </w:rPr>
        <w:t>除尘灰成分检测结果</w:t>
      </w:r>
    </w:p>
    <w:tbl>
      <w:tblPr>
        <w:tblStyle w:val="88"/>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071"/>
        <w:gridCol w:w="1821"/>
        <w:gridCol w:w="1505"/>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检测</w:t>
            </w:r>
            <w:r>
              <w:rPr>
                <w:rFonts w:ascii="Times New Roman" w:hAnsi="Times New Roman" w:cs="Times New Roman"/>
                <w:spacing w:val="0"/>
                <w:sz w:val="21"/>
                <w:szCs w:val="21"/>
                <w:lang w:val="zh-CN"/>
              </w:rPr>
              <w:t>项目</w:t>
            </w:r>
          </w:p>
        </w:tc>
        <w:tc>
          <w:tcPr>
            <w:tcW w:w="5397" w:type="dxa"/>
            <w:gridSpan w:val="3"/>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结果</w:t>
            </w:r>
          </w:p>
        </w:tc>
        <w:tc>
          <w:tcPr>
            <w:tcW w:w="1651"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207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除尘灰1</w:t>
            </w:r>
            <w:r>
              <w:rPr>
                <w:rFonts w:ascii="Times New Roman" w:hAnsi="Times New Roman" w:cs="Times New Roman"/>
                <w:spacing w:val="0"/>
                <w:sz w:val="21"/>
                <w:szCs w:val="21"/>
                <w:lang w:val="zh-CN"/>
              </w:rPr>
              <w:t>#</w:t>
            </w:r>
          </w:p>
        </w:tc>
        <w:tc>
          <w:tcPr>
            <w:tcW w:w="182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除尘灰</w:t>
            </w:r>
            <w:r>
              <w:rPr>
                <w:rFonts w:ascii="Times New Roman" w:hAnsi="Times New Roman" w:cs="Times New Roman"/>
                <w:spacing w:val="0"/>
                <w:sz w:val="21"/>
                <w:szCs w:val="21"/>
                <w:lang w:val="zh-CN"/>
              </w:rPr>
              <w:t>2#</w:t>
            </w:r>
          </w:p>
        </w:tc>
        <w:tc>
          <w:tcPr>
            <w:tcW w:w="150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平均值</w:t>
            </w:r>
          </w:p>
        </w:tc>
        <w:tc>
          <w:tcPr>
            <w:tcW w:w="1651"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铬</w:t>
            </w:r>
          </w:p>
        </w:tc>
        <w:tc>
          <w:tcPr>
            <w:tcW w:w="207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56100</w:t>
            </w:r>
          </w:p>
        </w:tc>
        <w:tc>
          <w:tcPr>
            <w:tcW w:w="182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28600</w:t>
            </w:r>
          </w:p>
        </w:tc>
        <w:tc>
          <w:tcPr>
            <w:tcW w:w="150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42350</w:t>
            </w:r>
          </w:p>
        </w:tc>
        <w:tc>
          <w:tcPr>
            <w:tcW w:w="165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m</w:t>
            </w:r>
            <w:r>
              <w:rPr>
                <w:rFonts w:hint="eastAsia" w:ascii="Times New Roman" w:hAnsi="Times New Roman" w:cs="Times New Roman"/>
                <w:spacing w:val="0"/>
                <w:sz w:val="21"/>
                <w:szCs w:val="21"/>
                <w:lang w:val="zh-CN"/>
              </w:rPr>
              <w:t>g</w:t>
            </w:r>
            <w:r>
              <w:rPr>
                <w:rFonts w:ascii="Times New Roman" w:hAnsi="Times New Roman" w:cs="Times New Roman"/>
                <w:spacing w:val="0"/>
                <w:sz w:val="21"/>
                <w:szCs w:val="21"/>
                <w:lang w:val="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镍</w:t>
            </w:r>
          </w:p>
        </w:tc>
        <w:tc>
          <w:tcPr>
            <w:tcW w:w="207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46</w:t>
            </w:r>
            <w:r>
              <w:rPr>
                <w:rFonts w:ascii="Times New Roman" w:hAnsi="Times New Roman" w:cs="Times New Roman"/>
                <w:spacing w:val="0"/>
                <w:sz w:val="21"/>
                <w:szCs w:val="21"/>
                <w:lang w:val="zh-CN"/>
              </w:rPr>
              <w:t>300</w:t>
            </w:r>
          </w:p>
        </w:tc>
        <w:tc>
          <w:tcPr>
            <w:tcW w:w="182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22200</w:t>
            </w:r>
          </w:p>
        </w:tc>
        <w:tc>
          <w:tcPr>
            <w:tcW w:w="150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34250</w:t>
            </w:r>
          </w:p>
        </w:tc>
        <w:tc>
          <w:tcPr>
            <w:tcW w:w="1651"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m</w:t>
            </w:r>
            <w:r>
              <w:rPr>
                <w:rFonts w:hint="eastAsia" w:ascii="Times New Roman" w:hAnsi="Times New Roman" w:cs="Times New Roman"/>
                <w:spacing w:val="0"/>
                <w:sz w:val="21"/>
                <w:szCs w:val="21"/>
                <w:lang w:val="zh-CN"/>
              </w:rPr>
              <w:t>g</w:t>
            </w:r>
            <w:r>
              <w:rPr>
                <w:rFonts w:ascii="Times New Roman" w:hAnsi="Times New Roman" w:cs="Times New Roman"/>
                <w:spacing w:val="0"/>
                <w:sz w:val="21"/>
                <w:szCs w:val="21"/>
                <w:lang w:val="zh-CN"/>
              </w:rPr>
              <w:t>/kg</w:t>
            </w:r>
          </w:p>
        </w:tc>
      </w:tr>
    </w:tbl>
    <w:p>
      <w:pPr>
        <w:pStyle w:val="4"/>
        <w:rPr>
          <w:rFonts w:ascii="Times New Roman" w:hAnsi="Times New Roman" w:cs="Times New Roman"/>
          <w:spacing w:val="0"/>
        </w:rPr>
      </w:pPr>
      <w:r>
        <w:rPr>
          <w:rFonts w:hint="eastAsia" w:ascii="Times New Roman" w:hAnsi="Times New Roman" w:cs="Times New Roman"/>
          <w:spacing w:val="0"/>
        </w:rPr>
        <w:t>企业</w:t>
      </w:r>
      <w:r>
        <w:rPr>
          <w:rFonts w:ascii="Times New Roman" w:hAnsi="Times New Roman" w:cs="Times New Roman"/>
          <w:spacing w:val="0"/>
        </w:rPr>
        <w:t>现状炼钢一厂、炼钢二厂都是生产不锈钢，</w:t>
      </w:r>
      <w:r>
        <w:rPr>
          <w:rFonts w:hint="eastAsia" w:ascii="Times New Roman" w:hAnsi="Times New Roman" w:cs="Times New Roman"/>
          <w:spacing w:val="0"/>
        </w:rPr>
        <w:t>原料</w:t>
      </w:r>
      <w:r>
        <w:rPr>
          <w:rFonts w:ascii="Times New Roman" w:hAnsi="Times New Roman" w:cs="Times New Roman"/>
          <w:spacing w:val="0"/>
        </w:rPr>
        <w:t>及配方类似</w:t>
      </w:r>
      <w:r>
        <w:rPr>
          <w:rFonts w:hint="eastAsia" w:ascii="Times New Roman" w:hAnsi="Times New Roman" w:cs="Times New Roman"/>
          <w:spacing w:val="0"/>
        </w:rPr>
        <w:t>，</w:t>
      </w:r>
      <w:r>
        <w:rPr>
          <w:rFonts w:ascii="Times New Roman" w:hAnsi="Times New Roman" w:cs="Times New Roman"/>
          <w:spacing w:val="0"/>
        </w:rPr>
        <w:t>因此本</w:t>
      </w:r>
      <w:r>
        <w:rPr>
          <w:rFonts w:hint="eastAsia" w:ascii="Times New Roman" w:hAnsi="Times New Roman" w:cs="Times New Roman"/>
          <w:spacing w:val="0"/>
        </w:rPr>
        <w:t>报告</w:t>
      </w:r>
      <w:r>
        <w:rPr>
          <w:rFonts w:ascii="Times New Roman" w:hAnsi="Times New Roman" w:cs="Times New Roman"/>
          <w:spacing w:val="0"/>
        </w:rPr>
        <w:t>根据检测平均值进行废气中重金属排放量</w:t>
      </w:r>
      <w:r>
        <w:rPr>
          <w:rFonts w:hint="eastAsia" w:ascii="Times New Roman" w:hAnsi="Times New Roman" w:cs="Times New Roman"/>
          <w:spacing w:val="0"/>
        </w:rPr>
        <w:t>，具体</w:t>
      </w:r>
      <w:r>
        <w:rPr>
          <w:rFonts w:ascii="Times New Roman" w:hAnsi="Times New Roman" w:cs="Times New Roman"/>
          <w:spacing w:val="0"/>
        </w:rPr>
        <w:t>核算结果详见表</w:t>
      </w:r>
      <w:r>
        <w:rPr>
          <w:rFonts w:hint="eastAsia" w:ascii="Times New Roman" w:hAnsi="Times New Roman" w:cs="Times New Roman"/>
          <w:spacing w:val="0"/>
        </w:rPr>
        <w:t>3-28。</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现有炼钢一厂、</w:t>
      </w:r>
      <w:r>
        <w:rPr>
          <w:rFonts w:ascii="Times New Roman" w:hAnsi="Times New Roman"/>
          <w:lang w:eastAsia="zh-CN"/>
        </w:rPr>
        <w:t>炼钢二</w:t>
      </w:r>
      <w:r>
        <w:rPr>
          <w:rFonts w:hint="eastAsia" w:ascii="Times New Roman" w:hAnsi="Times New Roman"/>
          <w:lang w:eastAsia="zh-CN"/>
        </w:rPr>
        <w:t>厂废气</w:t>
      </w:r>
      <w:r>
        <w:rPr>
          <w:rFonts w:ascii="Times New Roman" w:hAnsi="Times New Roman"/>
          <w:lang w:eastAsia="zh-CN"/>
        </w:rPr>
        <w:t>中</w:t>
      </w:r>
      <w:r>
        <w:rPr>
          <w:rFonts w:hint="eastAsia" w:ascii="Times New Roman" w:hAnsi="Times New Roman"/>
          <w:lang w:eastAsia="zh-CN"/>
        </w:rPr>
        <w:t>重金属排放</w:t>
      </w:r>
      <w:r>
        <w:rPr>
          <w:rFonts w:ascii="Times New Roman" w:hAnsi="Times New Roman"/>
          <w:lang w:eastAsia="zh-CN"/>
        </w:rPr>
        <w:t>情况</w:t>
      </w:r>
    </w:p>
    <w:tbl>
      <w:tblPr>
        <w:tblStyle w:val="88"/>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605"/>
        <w:gridCol w:w="656"/>
        <w:gridCol w:w="840"/>
        <w:gridCol w:w="647"/>
        <w:gridCol w:w="689"/>
        <w:gridCol w:w="685"/>
        <w:gridCol w:w="685"/>
        <w:gridCol w:w="365"/>
        <w:gridCol w:w="682"/>
        <w:gridCol w:w="639"/>
        <w:gridCol w:w="777"/>
        <w:gridCol w:w="703"/>
        <w:gridCol w:w="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3"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排放位置</w:t>
            </w:r>
          </w:p>
        </w:tc>
        <w:tc>
          <w:tcPr>
            <w:tcW w:w="1261" w:type="dxa"/>
            <w:gridSpan w:val="2"/>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年电炉</w:t>
            </w:r>
            <w:r>
              <w:rPr>
                <w:rFonts w:ascii="Times New Roman" w:hAnsi="Times New Roman" w:cs="Times New Roman"/>
                <w:spacing w:val="0"/>
                <w:sz w:val="18"/>
                <w:szCs w:val="18"/>
                <w:lang w:val="zh-CN"/>
              </w:rPr>
              <w:t>炼钢废气颗粒物排放量</w:t>
            </w:r>
            <w:r>
              <w:rPr>
                <w:rFonts w:hint="eastAsia" w:ascii="Times New Roman" w:hAnsi="Times New Roman" w:cs="Times New Roman"/>
                <w:spacing w:val="0"/>
                <w:sz w:val="18"/>
                <w:szCs w:val="18"/>
                <w:lang w:val="zh-CN"/>
              </w:rPr>
              <w:t>(t/a)</w:t>
            </w:r>
          </w:p>
        </w:tc>
        <w:tc>
          <w:tcPr>
            <w:tcW w:w="840"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监测</w:t>
            </w:r>
            <w:r>
              <w:rPr>
                <w:rFonts w:ascii="Times New Roman" w:hAnsi="Times New Roman" w:cs="Times New Roman"/>
                <w:spacing w:val="0"/>
                <w:sz w:val="18"/>
                <w:szCs w:val="18"/>
                <w:lang w:val="zh-CN"/>
              </w:rPr>
              <w:t>平均</w:t>
            </w:r>
            <w:r>
              <w:rPr>
                <w:rFonts w:hint="eastAsia" w:ascii="Times New Roman" w:hAnsi="Times New Roman" w:cs="Times New Roman"/>
                <w:spacing w:val="0"/>
                <w:sz w:val="18"/>
                <w:szCs w:val="18"/>
                <w:lang w:val="zh-CN"/>
              </w:rPr>
              <w:t>废气量(</w:t>
            </w:r>
            <w:r>
              <w:rPr>
                <w:rFonts w:ascii="Times New Roman" w:hAnsi="Times New Roman" w:cs="Times New Roman"/>
                <w:spacing w:val="0"/>
                <w:sz w:val="18"/>
                <w:szCs w:val="18"/>
                <w:lang w:val="zh-CN"/>
              </w:rPr>
              <w:t>Nm</w:t>
            </w:r>
            <w:r>
              <w:rPr>
                <w:rFonts w:ascii="Times New Roman" w:hAnsi="Times New Roman" w:cs="Times New Roman"/>
                <w:spacing w:val="0"/>
                <w:sz w:val="18"/>
                <w:szCs w:val="18"/>
                <w:vertAlign w:val="superscript"/>
                <w:lang w:val="zh-CN"/>
              </w:rPr>
              <w:t>3</w:t>
            </w:r>
            <w:r>
              <w:rPr>
                <w:rFonts w:ascii="Times New Roman" w:hAnsi="Times New Roman" w:cs="Times New Roman"/>
                <w:spacing w:val="0"/>
                <w:sz w:val="18"/>
                <w:szCs w:val="18"/>
                <w:lang w:val="zh-CN"/>
              </w:rPr>
              <w:t>/h</w:t>
            </w:r>
            <w:r>
              <w:rPr>
                <w:rFonts w:hint="eastAsia" w:ascii="Times New Roman" w:hAnsi="Times New Roman" w:cs="Times New Roman"/>
                <w:spacing w:val="0"/>
                <w:sz w:val="18"/>
                <w:szCs w:val="18"/>
                <w:lang w:val="zh-CN"/>
              </w:rPr>
              <w:t>)</w:t>
            </w:r>
          </w:p>
        </w:tc>
        <w:tc>
          <w:tcPr>
            <w:tcW w:w="3071" w:type="dxa"/>
            <w:gridSpan w:val="5"/>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铬及其</w:t>
            </w:r>
            <w:r>
              <w:rPr>
                <w:rFonts w:ascii="Times New Roman" w:hAnsi="Times New Roman" w:cs="Times New Roman"/>
                <w:spacing w:val="0"/>
                <w:sz w:val="18"/>
                <w:szCs w:val="18"/>
                <w:lang w:val="zh-CN"/>
              </w:rPr>
              <w:t>化合物</w:t>
            </w:r>
          </w:p>
        </w:tc>
        <w:tc>
          <w:tcPr>
            <w:tcW w:w="3156" w:type="dxa"/>
            <w:gridSpan w:val="5"/>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镍及其化合物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473"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1261" w:type="dxa"/>
            <w:gridSpan w:val="2"/>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840"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47"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2018年</w:t>
            </w:r>
            <w:r>
              <w:rPr>
                <w:rFonts w:ascii="Times New Roman" w:hAnsi="Times New Roman" w:cs="Times New Roman"/>
                <w:spacing w:val="0"/>
                <w:sz w:val="18"/>
                <w:szCs w:val="18"/>
                <w:lang w:val="zh-CN"/>
              </w:rPr>
              <w:t>排放量</w:t>
            </w:r>
            <w:r>
              <w:rPr>
                <w:rFonts w:hint="eastAsia" w:ascii="Times New Roman" w:hAnsi="Times New Roman" w:cs="Times New Roman"/>
                <w:spacing w:val="0"/>
                <w:sz w:val="18"/>
                <w:szCs w:val="18"/>
                <w:lang w:val="zh-CN"/>
              </w:rPr>
              <w:t>(t/a)</w:t>
            </w:r>
          </w:p>
        </w:tc>
        <w:tc>
          <w:tcPr>
            <w:tcW w:w="689"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达产排</w:t>
            </w:r>
          </w:p>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放量</w:t>
            </w:r>
          </w:p>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(t/a)</w:t>
            </w:r>
          </w:p>
        </w:tc>
        <w:tc>
          <w:tcPr>
            <w:tcW w:w="685"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达产排放</w:t>
            </w:r>
            <w:r>
              <w:rPr>
                <w:rFonts w:ascii="Times New Roman" w:hAnsi="Times New Roman" w:cs="Times New Roman"/>
                <w:spacing w:val="0"/>
                <w:sz w:val="18"/>
                <w:szCs w:val="18"/>
                <w:lang w:val="zh-CN"/>
              </w:rPr>
              <w:t>浓度</w:t>
            </w:r>
            <w:r>
              <w:rPr>
                <w:rFonts w:hint="eastAsia" w:ascii="Times New Roman" w:hAnsi="Times New Roman" w:cs="Times New Roman"/>
                <w:spacing w:val="0"/>
                <w:sz w:val="18"/>
                <w:szCs w:val="18"/>
                <w:lang w:val="zh-CN"/>
              </w:rPr>
              <w:t>* (</w:t>
            </w:r>
            <w:r>
              <w:rPr>
                <w:rFonts w:ascii="Times New Roman" w:hAnsi="Times New Roman" w:cs="Times New Roman"/>
                <w:spacing w:val="0"/>
                <w:sz w:val="18"/>
                <w:szCs w:val="18"/>
                <w:lang w:val="zh-CN"/>
              </w:rPr>
              <w:t>mg/m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685"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标准值(</w:t>
            </w:r>
            <w:r>
              <w:rPr>
                <w:rFonts w:ascii="Times New Roman" w:hAnsi="Times New Roman" w:cs="Times New Roman"/>
                <w:spacing w:val="0"/>
                <w:sz w:val="18"/>
                <w:szCs w:val="18"/>
                <w:lang w:val="zh-CN"/>
              </w:rPr>
              <w:t>mg/m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365"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是否达标</w:t>
            </w:r>
          </w:p>
        </w:tc>
        <w:tc>
          <w:tcPr>
            <w:tcW w:w="682"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2018年</w:t>
            </w:r>
            <w:r>
              <w:rPr>
                <w:rFonts w:ascii="Times New Roman" w:hAnsi="Times New Roman" w:cs="Times New Roman"/>
                <w:spacing w:val="0"/>
                <w:sz w:val="18"/>
                <w:szCs w:val="18"/>
                <w:lang w:val="zh-CN"/>
              </w:rPr>
              <w:t>排放量</w:t>
            </w:r>
            <w:r>
              <w:rPr>
                <w:rFonts w:hint="eastAsia" w:ascii="Times New Roman" w:hAnsi="Times New Roman" w:cs="Times New Roman"/>
                <w:spacing w:val="0"/>
                <w:sz w:val="18"/>
                <w:szCs w:val="18"/>
                <w:lang w:val="zh-CN"/>
              </w:rPr>
              <w:t>(t/a)</w:t>
            </w:r>
          </w:p>
        </w:tc>
        <w:tc>
          <w:tcPr>
            <w:tcW w:w="639"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w:t>
            </w:r>
          </w:p>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排放量(t/a)</w:t>
            </w:r>
          </w:p>
        </w:tc>
        <w:tc>
          <w:tcPr>
            <w:tcW w:w="777"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达产排放</w:t>
            </w:r>
            <w:r>
              <w:rPr>
                <w:rFonts w:ascii="Times New Roman" w:hAnsi="Times New Roman" w:cs="Times New Roman"/>
                <w:spacing w:val="0"/>
                <w:sz w:val="18"/>
                <w:szCs w:val="18"/>
                <w:lang w:val="zh-CN"/>
              </w:rPr>
              <w:t>浓度</w:t>
            </w:r>
            <w:r>
              <w:rPr>
                <w:rFonts w:hint="eastAsia" w:ascii="Times New Roman" w:hAnsi="Times New Roman" w:cs="Times New Roman"/>
                <w:spacing w:val="0"/>
                <w:sz w:val="18"/>
                <w:szCs w:val="18"/>
                <w:lang w:val="zh-CN"/>
              </w:rPr>
              <w:t>*(</w:t>
            </w:r>
            <w:r>
              <w:rPr>
                <w:rFonts w:ascii="Times New Roman" w:hAnsi="Times New Roman" w:cs="Times New Roman"/>
                <w:spacing w:val="0"/>
                <w:sz w:val="18"/>
                <w:szCs w:val="18"/>
                <w:lang w:val="zh-CN"/>
              </w:rPr>
              <w:t>mg/m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703"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标准值(</w:t>
            </w:r>
            <w:r>
              <w:rPr>
                <w:rFonts w:ascii="Times New Roman" w:hAnsi="Times New Roman" w:cs="Times New Roman"/>
                <w:spacing w:val="0"/>
                <w:sz w:val="18"/>
                <w:szCs w:val="18"/>
                <w:lang w:val="zh-CN"/>
              </w:rPr>
              <w:t>mg/m</w:t>
            </w:r>
            <w:r>
              <w:rPr>
                <w:rFonts w:ascii="Times New Roman" w:hAnsi="Times New Roman" w:cs="Times New Roman"/>
                <w:spacing w:val="0"/>
                <w:sz w:val="18"/>
                <w:szCs w:val="18"/>
                <w:vertAlign w:val="superscript"/>
                <w:lang w:val="zh-CN"/>
              </w:rPr>
              <w:t>3</w:t>
            </w:r>
            <w:r>
              <w:rPr>
                <w:rFonts w:hint="eastAsia" w:ascii="Times New Roman" w:hAnsi="Times New Roman" w:cs="Times New Roman"/>
                <w:spacing w:val="0"/>
                <w:sz w:val="18"/>
                <w:szCs w:val="18"/>
                <w:lang w:val="zh-CN"/>
              </w:rPr>
              <w:t>)</w:t>
            </w:r>
          </w:p>
        </w:tc>
        <w:tc>
          <w:tcPr>
            <w:tcW w:w="355" w:type="dxa"/>
            <w:vMerge w:val="restart"/>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473"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0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2018年</w:t>
            </w:r>
          </w:p>
        </w:tc>
        <w:tc>
          <w:tcPr>
            <w:tcW w:w="656"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达产</w:t>
            </w:r>
          </w:p>
        </w:tc>
        <w:tc>
          <w:tcPr>
            <w:tcW w:w="840"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47"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89"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85"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85"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365"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82"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639"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777"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703"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c>
          <w:tcPr>
            <w:tcW w:w="355" w:type="dxa"/>
            <w:vMerge w:val="continue"/>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炼钢一厂</w:t>
            </w:r>
          </w:p>
        </w:tc>
        <w:tc>
          <w:tcPr>
            <w:tcW w:w="60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11.678</w:t>
            </w:r>
          </w:p>
        </w:tc>
        <w:tc>
          <w:tcPr>
            <w:tcW w:w="656"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16.219</w:t>
            </w:r>
          </w:p>
        </w:tc>
        <w:tc>
          <w:tcPr>
            <w:tcW w:w="840"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bCs/>
                <w:kern w:val="0"/>
                <w:sz w:val="18"/>
                <w:szCs w:val="18"/>
              </w:rPr>
              <w:t>7.44×10</w:t>
            </w:r>
            <w:r>
              <w:rPr>
                <w:rFonts w:ascii="Times New Roman" w:hAnsi="Times New Roman" w:cs="Times New Roman"/>
                <w:bCs/>
                <w:kern w:val="0"/>
                <w:sz w:val="18"/>
                <w:szCs w:val="18"/>
                <w:vertAlign w:val="superscript"/>
              </w:rPr>
              <w:t>5</w:t>
            </w:r>
          </w:p>
        </w:tc>
        <w:tc>
          <w:tcPr>
            <w:tcW w:w="647"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0.4946</w:t>
            </w:r>
          </w:p>
        </w:tc>
        <w:tc>
          <w:tcPr>
            <w:tcW w:w="68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0.6869</w:t>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0.142</w:t>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3</w:t>
            </w:r>
          </w:p>
        </w:tc>
        <w:tc>
          <w:tcPr>
            <w:tcW w:w="36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sz w:val="18"/>
                <w:szCs w:val="18"/>
                <w:lang w:val="zh-CN"/>
              </w:rPr>
              <w:t>达标</w:t>
            </w:r>
          </w:p>
        </w:tc>
        <w:tc>
          <w:tcPr>
            <w:tcW w:w="682"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0.4</w:t>
            </w:r>
          </w:p>
        </w:tc>
        <w:tc>
          <w:tcPr>
            <w:tcW w:w="63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0.5555</w:t>
            </w:r>
          </w:p>
        </w:tc>
        <w:tc>
          <w:tcPr>
            <w:tcW w:w="777"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0.115</w:t>
            </w:r>
          </w:p>
        </w:tc>
        <w:tc>
          <w:tcPr>
            <w:tcW w:w="70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4.3</w:t>
            </w:r>
          </w:p>
        </w:tc>
        <w:tc>
          <w:tcPr>
            <w:tcW w:w="35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sz w:val="18"/>
                <w:szCs w:val="18"/>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炼钢二厂</w:t>
            </w:r>
          </w:p>
        </w:tc>
        <w:tc>
          <w:tcPr>
            <w:tcW w:w="60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8.905</w:t>
            </w:r>
          </w:p>
        </w:tc>
        <w:tc>
          <w:tcPr>
            <w:tcW w:w="656"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9.939</w:t>
            </w:r>
          </w:p>
        </w:tc>
        <w:tc>
          <w:tcPr>
            <w:tcW w:w="840"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bCs/>
                <w:kern w:val="0"/>
                <w:sz w:val="18"/>
                <w:szCs w:val="18"/>
              </w:rPr>
              <w:t>8.17×10</w:t>
            </w:r>
            <w:r>
              <w:rPr>
                <w:rFonts w:ascii="Times New Roman" w:hAnsi="Times New Roman" w:cs="Times New Roman"/>
                <w:bCs/>
                <w:kern w:val="0"/>
                <w:sz w:val="18"/>
                <w:szCs w:val="18"/>
                <w:vertAlign w:val="superscript"/>
              </w:rPr>
              <w:t>5</w:t>
            </w:r>
          </w:p>
        </w:tc>
        <w:tc>
          <w:tcPr>
            <w:tcW w:w="647"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0.3771</w:t>
            </w:r>
          </w:p>
        </w:tc>
        <w:tc>
          <w:tcPr>
            <w:tcW w:w="68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0.4209</w:t>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0.079</w:t>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3</w:t>
            </w:r>
          </w:p>
        </w:tc>
        <w:tc>
          <w:tcPr>
            <w:tcW w:w="36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sz w:val="18"/>
                <w:szCs w:val="18"/>
                <w:lang w:val="zh-CN"/>
              </w:rPr>
              <w:t>达标</w:t>
            </w:r>
          </w:p>
        </w:tc>
        <w:tc>
          <w:tcPr>
            <w:tcW w:w="682"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0.305</w:t>
            </w:r>
          </w:p>
        </w:tc>
        <w:tc>
          <w:tcPr>
            <w:tcW w:w="63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0.3404</w:t>
            </w:r>
          </w:p>
        </w:tc>
        <w:tc>
          <w:tcPr>
            <w:tcW w:w="777"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0.064</w:t>
            </w:r>
          </w:p>
        </w:tc>
        <w:tc>
          <w:tcPr>
            <w:tcW w:w="70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z w:val="18"/>
                <w:szCs w:val="18"/>
                <w:lang w:val="zh-CN"/>
              </w:rPr>
              <w:t>4.3</w:t>
            </w:r>
          </w:p>
        </w:tc>
        <w:tc>
          <w:tcPr>
            <w:tcW w:w="35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sz w:val="18"/>
                <w:szCs w:val="18"/>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合计</w:t>
            </w:r>
          </w:p>
        </w:tc>
        <w:tc>
          <w:tcPr>
            <w:tcW w:w="60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20.583</w:t>
            </w:r>
            <w:r>
              <w:rPr>
                <w:rFonts w:ascii="Times New Roman" w:hAnsi="Times New Roman" w:cs="Times New Roman"/>
                <w:spacing w:val="0"/>
                <w:sz w:val="18"/>
                <w:szCs w:val="18"/>
                <w:lang w:val="zh-CN"/>
              </w:rPr>
              <w:fldChar w:fldCharType="end"/>
            </w:r>
          </w:p>
        </w:tc>
        <w:tc>
          <w:tcPr>
            <w:tcW w:w="656"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26.158</w:t>
            </w:r>
            <w:r>
              <w:rPr>
                <w:rFonts w:ascii="Times New Roman" w:hAnsi="Times New Roman" w:cs="Times New Roman"/>
                <w:spacing w:val="0"/>
                <w:sz w:val="18"/>
                <w:szCs w:val="18"/>
                <w:lang w:val="zh-CN"/>
              </w:rPr>
              <w:fldChar w:fldCharType="end"/>
            </w:r>
          </w:p>
        </w:tc>
        <w:tc>
          <w:tcPr>
            <w:tcW w:w="840"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647"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0.8717</w:t>
            </w:r>
            <w:r>
              <w:rPr>
                <w:rFonts w:ascii="Times New Roman" w:hAnsi="Times New Roman" w:cs="Times New Roman"/>
                <w:spacing w:val="0"/>
                <w:sz w:val="18"/>
                <w:szCs w:val="18"/>
                <w:lang w:val="zh-CN"/>
              </w:rPr>
              <w:fldChar w:fldCharType="end"/>
            </w:r>
          </w:p>
        </w:tc>
        <w:tc>
          <w:tcPr>
            <w:tcW w:w="68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1.1078</w:t>
            </w:r>
            <w:r>
              <w:rPr>
                <w:rFonts w:ascii="Times New Roman" w:hAnsi="Times New Roman" w:cs="Times New Roman"/>
                <w:spacing w:val="0"/>
                <w:sz w:val="18"/>
                <w:szCs w:val="18"/>
                <w:lang w:val="zh-CN"/>
              </w:rPr>
              <w:fldChar w:fldCharType="end"/>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68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36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682"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0.705</w:t>
            </w:r>
            <w:r>
              <w:rPr>
                <w:rFonts w:ascii="Times New Roman" w:hAnsi="Times New Roman" w:cs="Times New Roman"/>
                <w:spacing w:val="0"/>
                <w:sz w:val="18"/>
                <w:szCs w:val="18"/>
                <w:lang w:val="zh-CN"/>
              </w:rPr>
              <w:fldChar w:fldCharType="end"/>
            </w:r>
          </w:p>
        </w:tc>
        <w:tc>
          <w:tcPr>
            <w:tcW w:w="639"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0.8959</w:t>
            </w:r>
            <w:r>
              <w:rPr>
                <w:rFonts w:ascii="Times New Roman" w:hAnsi="Times New Roman" w:cs="Times New Roman"/>
                <w:spacing w:val="0"/>
                <w:sz w:val="18"/>
                <w:szCs w:val="18"/>
                <w:lang w:val="zh-CN"/>
              </w:rPr>
              <w:fldChar w:fldCharType="end"/>
            </w:r>
          </w:p>
        </w:tc>
        <w:tc>
          <w:tcPr>
            <w:tcW w:w="777" w:type="dxa"/>
            <w:vAlign w:val="center"/>
          </w:tcPr>
          <w:p>
            <w:pPr>
              <w:pStyle w:val="4"/>
              <w:spacing w:line="300" w:lineRule="exact"/>
              <w:ind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03"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355" w:type="dxa"/>
            <w:vAlign w:val="center"/>
          </w:tcPr>
          <w:p>
            <w:pPr>
              <w:pStyle w:val="4"/>
              <w:spacing w:line="300" w:lineRule="exact"/>
              <w:ind w:left="-141" w:leftChars="-50" w:right="-141" w:rightChars="-50"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r>
    </w:tbl>
    <w:p>
      <w:pPr>
        <w:pStyle w:val="4"/>
        <w:ind w:firstLine="0"/>
        <w:rPr>
          <w:rFonts w:ascii="Times New Roman" w:hAnsi="Times New Roman" w:cs="Times New Roman"/>
          <w:spacing w:val="0"/>
          <w:sz w:val="21"/>
          <w:szCs w:val="21"/>
        </w:rPr>
      </w:pPr>
      <w:r>
        <w:rPr>
          <w:rFonts w:hint="eastAsia" w:ascii="Times New Roman" w:hAnsi="Times New Roman" w:cs="Times New Roman"/>
          <w:spacing w:val="0"/>
          <w:sz w:val="21"/>
          <w:szCs w:val="21"/>
        </w:rPr>
        <w:t>*注</w:t>
      </w:r>
      <w:r>
        <w:rPr>
          <w:rFonts w:ascii="Times New Roman" w:hAnsi="Times New Roman" w:cs="Times New Roman"/>
          <w:spacing w:val="0"/>
          <w:sz w:val="21"/>
          <w:szCs w:val="21"/>
        </w:rPr>
        <w:t>：根据现状监测结果的</w:t>
      </w:r>
      <w:r>
        <w:rPr>
          <w:rFonts w:hint="eastAsia" w:ascii="Times New Roman" w:hAnsi="Times New Roman" w:cs="Times New Roman"/>
          <w:spacing w:val="0"/>
          <w:sz w:val="21"/>
          <w:szCs w:val="21"/>
        </w:rPr>
        <w:t>平均</w:t>
      </w:r>
      <w:r>
        <w:rPr>
          <w:rFonts w:ascii="Times New Roman" w:hAnsi="Times New Roman" w:cs="Times New Roman"/>
          <w:spacing w:val="0"/>
          <w:sz w:val="21"/>
          <w:szCs w:val="21"/>
        </w:rPr>
        <w:t>标况风量进行核算</w:t>
      </w:r>
    </w:p>
    <w:p>
      <w:pPr>
        <w:pStyle w:val="4"/>
        <w:rPr>
          <w:rFonts w:ascii="Times New Roman" w:hAnsi="Times New Roman" w:cs="Times New Roman"/>
          <w:spacing w:val="0"/>
        </w:rPr>
      </w:pPr>
      <w:r>
        <w:rPr>
          <w:rFonts w:hint="eastAsia" w:ascii="Times New Roman" w:hAnsi="Times New Roman" w:cs="Times New Roman"/>
          <w:spacing w:val="0"/>
        </w:rPr>
        <w:t>由表3-28可知</w:t>
      </w:r>
      <w:r>
        <w:rPr>
          <w:rFonts w:ascii="Times New Roman" w:hAnsi="Times New Roman" w:cs="Times New Roman"/>
          <w:spacing w:val="0"/>
        </w:rPr>
        <w:t>，企业现状</w:t>
      </w:r>
      <w:r>
        <w:rPr>
          <w:rFonts w:hint="eastAsia" w:ascii="Times New Roman" w:hAnsi="Times New Roman" w:cs="Times New Roman"/>
          <w:spacing w:val="0"/>
        </w:rPr>
        <w:t>炼钢一厂</w:t>
      </w:r>
      <w:r>
        <w:rPr>
          <w:rFonts w:ascii="Times New Roman" w:hAnsi="Times New Roman" w:cs="Times New Roman"/>
          <w:spacing w:val="0"/>
        </w:rPr>
        <w:t>、炼钢二厂达产时电炉</w:t>
      </w:r>
      <w:r>
        <w:rPr>
          <w:rFonts w:hint="eastAsia" w:ascii="Times New Roman" w:hAnsi="Times New Roman" w:cs="Times New Roman"/>
          <w:spacing w:val="0"/>
        </w:rPr>
        <w:t>炼钢</w:t>
      </w:r>
      <w:r>
        <w:rPr>
          <w:rFonts w:ascii="Times New Roman" w:hAnsi="Times New Roman" w:cs="Times New Roman"/>
          <w:spacing w:val="0"/>
        </w:rPr>
        <w:t>废气经布袋除尘后，</w:t>
      </w:r>
      <w:r>
        <w:rPr>
          <w:rFonts w:hint="eastAsia" w:ascii="Times New Roman" w:hAnsi="Times New Roman" w:cs="Times New Roman"/>
          <w:spacing w:val="0"/>
        </w:rPr>
        <w:t>铬及其化合物排放量</w:t>
      </w:r>
      <w:r>
        <w:rPr>
          <w:rFonts w:ascii="Times New Roman" w:hAnsi="Times New Roman" w:cs="Times New Roman"/>
          <w:spacing w:val="0"/>
        </w:rPr>
        <w:t>为</w:t>
      </w:r>
      <w:r>
        <w:rPr>
          <w:rFonts w:hint="eastAsia" w:ascii="Times New Roman" w:hAnsi="Times New Roman" w:cs="Times New Roman"/>
          <w:spacing w:val="0"/>
        </w:rPr>
        <w:t>1.1078t/a</w:t>
      </w:r>
      <w:r>
        <w:rPr>
          <w:rFonts w:ascii="Times New Roman" w:hAnsi="Times New Roman" w:cs="Times New Roman"/>
          <w:spacing w:val="0"/>
        </w:rPr>
        <w:t>，排放浓度能够满足</w:t>
      </w:r>
      <w:r>
        <w:rPr>
          <w:rFonts w:hint="eastAsia" w:ascii="Times New Roman" w:hAnsi="Times New Roman" w:cs="Times New Roman"/>
          <w:spacing w:val="0"/>
        </w:rPr>
        <w:t>《铁合金工业污染物排放标准》（GB28666-2012）表6中特别排放限值要求；镍及其化合物排放量</w:t>
      </w:r>
      <w:r>
        <w:rPr>
          <w:rFonts w:ascii="Times New Roman" w:hAnsi="Times New Roman" w:cs="Times New Roman"/>
          <w:spacing w:val="0"/>
        </w:rPr>
        <w:t>为0.8959</w:t>
      </w:r>
      <w:r>
        <w:rPr>
          <w:rFonts w:hint="eastAsia" w:ascii="Times New Roman" w:hAnsi="Times New Roman" w:cs="Times New Roman"/>
          <w:spacing w:val="0"/>
        </w:rPr>
        <w:t>t/a</w:t>
      </w:r>
      <w:r>
        <w:rPr>
          <w:rFonts w:ascii="Times New Roman" w:hAnsi="Times New Roman" w:cs="Times New Roman"/>
          <w:spacing w:val="0"/>
        </w:rPr>
        <w:t>，</w:t>
      </w:r>
      <w:r>
        <w:rPr>
          <w:rFonts w:hint="eastAsia" w:ascii="Times New Roman" w:hAnsi="Times New Roman" w:cs="Times New Roman"/>
          <w:spacing w:val="0"/>
        </w:rPr>
        <w:t xml:space="preserve">排放浓度满足《大气污染物综合排放标准》（GB 16297-1996）表中的新污染源二级标准。 </w:t>
      </w:r>
    </w:p>
    <w:p>
      <w:pPr>
        <w:pStyle w:val="4"/>
        <w:rPr>
          <w:rFonts w:ascii="Times New Roman" w:hAnsi="Times New Roman" w:cs="Times New Roman"/>
          <w:spacing w:val="0"/>
        </w:rPr>
      </w:pPr>
      <w:r>
        <w:rPr>
          <w:rFonts w:hint="eastAsia" w:ascii="Times New Roman" w:hAnsi="Times New Roman" w:cs="Times New Roman"/>
          <w:spacing w:val="0"/>
        </w:rPr>
        <w:t xml:space="preserve"> (2)厂界无组织废气</w:t>
      </w:r>
    </w:p>
    <w:p>
      <w:pPr>
        <w:pStyle w:val="4"/>
        <w:rPr>
          <w:rFonts w:ascii="Times New Roman" w:hAnsi="Times New Roman" w:cs="Times New Roman"/>
          <w:spacing w:val="0"/>
        </w:rPr>
      </w:pPr>
      <w:r>
        <w:rPr>
          <w:rFonts w:hint="eastAsia" w:ascii="Times New Roman" w:hAnsi="Times New Roman" w:cs="Times New Roman"/>
          <w:spacing w:val="0"/>
        </w:rPr>
        <w:t>①无组织排放量</w:t>
      </w:r>
    </w:p>
    <w:p>
      <w:pPr>
        <w:pStyle w:val="4"/>
        <w:rPr>
          <w:rFonts w:ascii="Times New Roman" w:hAnsi="Times New Roman" w:cs="Times New Roman"/>
          <w:spacing w:val="0"/>
        </w:rPr>
      </w:pPr>
      <w:r>
        <w:rPr>
          <w:rFonts w:hint="eastAsia" w:ascii="Times New Roman" w:hAnsi="Times New Roman" w:cs="Times New Roman"/>
          <w:spacing w:val="0"/>
        </w:rPr>
        <w:t>根据</w:t>
      </w:r>
      <w:r>
        <w:rPr>
          <w:rFonts w:ascii="Times New Roman" w:hAnsi="Times New Roman" w:cs="Times New Roman"/>
          <w:spacing w:val="0"/>
        </w:rPr>
        <w:t>原废气设计</w:t>
      </w:r>
      <w:r>
        <w:rPr>
          <w:rFonts w:hint="eastAsia" w:ascii="Times New Roman" w:hAnsi="Times New Roman" w:cs="Times New Roman"/>
          <w:spacing w:val="0"/>
        </w:rPr>
        <w:t>方案</w:t>
      </w:r>
      <w:r>
        <w:rPr>
          <w:rFonts w:ascii="Times New Roman" w:hAnsi="Times New Roman" w:cs="Times New Roman"/>
          <w:spacing w:val="0"/>
        </w:rPr>
        <w:t>，精整酸洗车间</w:t>
      </w:r>
      <w:r>
        <w:rPr>
          <w:rFonts w:hint="eastAsia" w:ascii="Times New Roman" w:hAnsi="Times New Roman" w:cs="Times New Roman"/>
          <w:spacing w:val="0"/>
        </w:rPr>
        <w:t>各类</w:t>
      </w:r>
      <w:r>
        <w:rPr>
          <w:rFonts w:ascii="Times New Roman" w:hAnsi="Times New Roman" w:cs="Times New Roman"/>
          <w:spacing w:val="0"/>
        </w:rPr>
        <w:t>酸雾收集效率</w:t>
      </w:r>
      <w:r>
        <w:rPr>
          <w:rFonts w:hint="eastAsia" w:ascii="Times New Roman" w:hAnsi="Times New Roman" w:cs="Times New Roman"/>
          <w:spacing w:val="0"/>
        </w:rPr>
        <w:t>不低于98</w:t>
      </w:r>
      <w:r>
        <w:rPr>
          <w:rFonts w:ascii="Times New Roman" w:hAnsi="Times New Roman" w:cs="Times New Roman"/>
          <w:spacing w:val="0"/>
        </w:rPr>
        <w:t>%，硫酸雾、</w:t>
      </w:r>
      <w:r>
        <w:rPr>
          <w:rFonts w:hint="eastAsia" w:ascii="Times New Roman" w:hAnsi="Times New Roman" w:cs="Times New Roman"/>
          <w:spacing w:val="0"/>
        </w:rPr>
        <w:t>HF去除效率</w:t>
      </w:r>
      <w:r>
        <w:rPr>
          <w:rFonts w:ascii="Times New Roman" w:hAnsi="Times New Roman" w:cs="Times New Roman"/>
          <w:spacing w:val="0"/>
        </w:rPr>
        <w:t>不低于</w:t>
      </w:r>
      <w:r>
        <w:rPr>
          <w:rFonts w:hint="eastAsia" w:ascii="Times New Roman" w:hAnsi="Times New Roman" w:cs="Times New Roman"/>
          <w:spacing w:val="0"/>
        </w:rPr>
        <w:t>97</w:t>
      </w:r>
      <w:r>
        <w:rPr>
          <w:rFonts w:ascii="Times New Roman" w:hAnsi="Times New Roman" w:cs="Times New Roman"/>
          <w:spacing w:val="0"/>
        </w:rPr>
        <w:t>%，</w:t>
      </w:r>
      <w:r>
        <w:rPr>
          <w:rFonts w:hint="eastAsia" w:ascii="Times New Roman" w:hAnsi="Times New Roman" w:cs="Times New Roman"/>
          <w:spacing w:val="0"/>
        </w:rPr>
        <w:t>硝酸雾(NO</w:t>
      </w:r>
      <w:r>
        <w:rPr>
          <w:rFonts w:ascii="Times New Roman" w:hAnsi="Times New Roman" w:cs="Times New Roman"/>
          <w:spacing w:val="0"/>
        </w:rPr>
        <w:t>x</w:t>
      </w:r>
      <w:r>
        <w:rPr>
          <w:rFonts w:hint="eastAsia" w:ascii="Times New Roman" w:hAnsi="Times New Roman" w:cs="Times New Roman"/>
          <w:spacing w:val="0"/>
        </w:rPr>
        <w:t>)去除效率</w:t>
      </w:r>
      <w:r>
        <w:rPr>
          <w:rFonts w:ascii="Times New Roman" w:hAnsi="Times New Roman" w:cs="Times New Roman"/>
          <w:spacing w:val="0"/>
        </w:rPr>
        <w:t>不低于</w:t>
      </w:r>
      <w:r>
        <w:rPr>
          <w:rFonts w:hint="eastAsia" w:ascii="Times New Roman" w:hAnsi="Times New Roman" w:cs="Times New Roman"/>
          <w:spacing w:val="0"/>
        </w:rPr>
        <w:t>95</w:t>
      </w:r>
      <w:r>
        <w:rPr>
          <w:rFonts w:ascii="Times New Roman" w:hAnsi="Times New Roman" w:cs="Times New Roman"/>
          <w:spacing w:val="0"/>
        </w:rPr>
        <w:t>%，本报告</w:t>
      </w:r>
      <w:r>
        <w:rPr>
          <w:rFonts w:hint="eastAsia" w:ascii="Times New Roman" w:hAnsi="Times New Roman" w:cs="Times New Roman"/>
          <w:spacing w:val="0"/>
        </w:rPr>
        <w:t>按</w:t>
      </w:r>
      <w:r>
        <w:rPr>
          <w:rFonts w:ascii="Times New Roman" w:hAnsi="Times New Roman" w:cs="Times New Roman"/>
          <w:spacing w:val="0"/>
        </w:rPr>
        <w:t>收集效率</w:t>
      </w:r>
      <w:r>
        <w:rPr>
          <w:rFonts w:hint="eastAsia" w:ascii="Times New Roman" w:hAnsi="Times New Roman" w:cs="Times New Roman"/>
          <w:spacing w:val="0"/>
        </w:rPr>
        <w:t>98</w:t>
      </w:r>
      <w:r>
        <w:rPr>
          <w:rFonts w:ascii="Times New Roman" w:hAnsi="Times New Roman" w:cs="Times New Roman"/>
          <w:spacing w:val="0"/>
        </w:rPr>
        <w:t>%，硫酸雾、</w:t>
      </w:r>
      <w:r>
        <w:rPr>
          <w:rFonts w:hint="eastAsia" w:ascii="Times New Roman" w:hAnsi="Times New Roman" w:cs="Times New Roman"/>
          <w:spacing w:val="0"/>
        </w:rPr>
        <w:t>HF去除效率97</w:t>
      </w:r>
      <w:r>
        <w:rPr>
          <w:rFonts w:ascii="Times New Roman" w:hAnsi="Times New Roman" w:cs="Times New Roman"/>
          <w:spacing w:val="0"/>
        </w:rPr>
        <w:t>%，</w:t>
      </w:r>
      <w:r>
        <w:rPr>
          <w:rFonts w:hint="eastAsia" w:ascii="Times New Roman" w:hAnsi="Times New Roman" w:cs="Times New Roman"/>
          <w:spacing w:val="0"/>
        </w:rPr>
        <w:t>硝酸雾(NO</w:t>
      </w:r>
      <w:r>
        <w:rPr>
          <w:rFonts w:ascii="Times New Roman" w:hAnsi="Times New Roman" w:cs="Times New Roman"/>
          <w:spacing w:val="0"/>
        </w:rPr>
        <w:t>x</w:t>
      </w:r>
      <w:r>
        <w:rPr>
          <w:rFonts w:hint="eastAsia" w:ascii="Times New Roman" w:hAnsi="Times New Roman" w:cs="Times New Roman"/>
          <w:spacing w:val="0"/>
        </w:rPr>
        <w:t>)去除效率95</w:t>
      </w:r>
      <w:r>
        <w:rPr>
          <w:rFonts w:ascii="Times New Roman" w:hAnsi="Times New Roman" w:cs="Times New Roman"/>
          <w:spacing w:val="0"/>
        </w:rPr>
        <w:t>%</w:t>
      </w:r>
      <w:r>
        <w:rPr>
          <w:rFonts w:hint="eastAsia" w:ascii="Times New Roman" w:hAnsi="Times New Roman" w:cs="Times New Roman"/>
          <w:spacing w:val="0"/>
        </w:rPr>
        <w:t>核算</w:t>
      </w:r>
      <w:r>
        <w:rPr>
          <w:rFonts w:ascii="Times New Roman" w:hAnsi="Times New Roman" w:cs="Times New Roman"/>
          <w:spacing w:val="0"/>
        </w:rPr>
        <w:t>现状无组织酸雾排放量。</w:t>
      </w:r>
    </w:p>
    <w:p>
      <w:pPr>
        <w:pStyle w:val="4"/>
        <w:rPr>
          <w:rFonts w:ascii="Times New Roman" w:hAnsi="Times New Roman" w:cs="Times New Roman" w:eastAsiaTheme="minorEastAsia"/>
          <w:spacing w:val="0"/>
        </w:rPr>
      </w:pPr>
      <w:r>
        <w:rPr>
          <w:rFonts w:ascii="Times New Roman" w:hAnsi="Times New Roman" w:cs="Times New Roman" w:eastAsiaTheme="minorEastAsia"/>
          <w:spacing w:val="0"/>
        </w:rPr>
        <w:t>另外，根据调查，炼钢二厂钢包烘烤采用天然气燃烧直接加热， 2018年炼钢二厂天然气消耗量为</w:t>
      </w:r>
      <w:r>
        <w:rPr>
          <w:rFonts w:ascii="Times New Roman" w:hAnsi="Times New Roman" w:cs="Times New Roman" w:eastAsiaTheme="minorEastAsia"/>
          <w:szCs w:val="21"/>
        </w:rPr>
        <w:t>50</w:t>
      </w:r>
      <w:r>
        <w:rPr>
          <w:rFonts w:hint="eastAsia" w:ascii="Times New Roman" w:hAnsi="Times New Roman" w:cs="Times New Roman" w:eastAsiaTheme="minorEastAsia"/>
          <w:szCs w:val="21"/>
        </w:rPr>
        <w:t>万</w:t>
      </w:r>
      <w:r>
        <w:rPr>
          <w:rFonts w:ascii="Times New Roman" w:hAnsi="Times New Roman" w:cs="Times New Roman" w:eastAsiaTheme="minorEastAsia"/>
          <w:szCs w:val="21"/>
        </w:rPr>
        <w:t>m</w:t>
      </w:r>
      <w:r>
        <w:rPr>
          <w:rFonts w:ascii="Times New Roman" w:hAnsi="Times New Roman" w:cs="Times New Roman" w:eastAsiaTheme="minorEastAsia"/>
          <w:szCs w:val="21"/>
          <w:vertAlign w:val="superscript"/>
        </w:rPr>
        <w:t>3</w:t>
      </w:r>
      <w:r>
        <w:rPr>
          <w:rFonts w:ascii="Times New Roman" w:hAnsi="Times New Roman" w:cs="Times New Roman" w:eastAsiaTheme="minorEastAsia"/>
          <w:szCs w:val="21"/>
        </w:rPr>
        <w:t>/a，根据</w:t>
      </w:r>
      <w:r>
        <w:rPr>
          <w:rFonts w:ascii="Times New Roman" w:hAnsi="Times New Roman" w:cs="Times New Roman" w:eastAsiaTheme="minorEastAsia"/>
          <w:szCs w:val="24"/>
        </w:rPr>
        <w:t>《环境保护实用数据手册》表2-83各种燃料燃烧时产生的污染物，该部分天然气燃烧产生烟尘0.12t/a、S0</w:t>
      </w:r>
      <w:r>
        <w:rPr>
          <w:rFonts w:ascii="Times New Roman" w:hAnsi="Times New Roman" w:cs="Times New Roman" w:eastAsiaTheme="minorEastAsia"/>
          <w:szCs w:val="24"/>
          <w:vertAlign w:val="subscript"/>
        </w:rPr>
        <w:t>2</w:t>
      </w:r>
      <w:r>
        <w:rPr>
          <w:rFonts w:ascii="Times New Roman" w:hAnsi="Times New Roman" w:cs="Times New Roman" w:eastAsiaTheme="minorEastAsia"/>
          <w:szCs w:val="24"/>
        </w:rPr>
        <w:t>0.05t/a、NOx0.315t/a，</w:t>
      </w:r>
      <w:r>
        <w:rPr>
          <w:rFonts w:ascii="Times New Roman" w:hAnsi="Times New Roman" w:cs="Times New Roman" w:eastAsiaTheme="minorEastAsia"/>
          <w:spacing w:val="0"/>
        </w:rPr>
        <w:t>天然气燃烧废气均无组织排放。</w:t>
      </w:r>
    </w:p>
    <w:p>
      <w:pPr>
        <w:pStyle w:val="4"/>
        <w:rPr>
          <w:rFonts w:ascii="Times New Roman" w:hAnsi="Times New Roman" w:cs="Times New Roman" w:eastAsiaTheme="minorEastAsia"/>
          <w:spacing w:val="0"/>
        </w:rPr>
      </w:pPr>
      <w:r>
        <w:rPr>
          <w:rFonts w:hint="eastAsia" w:ascii="Times New Roman" w:hAnsi="Times New Roman" w:cs="Times New Roman"/>
          <w:spacing w:val="0"/>
        </w:rPr>
        <w:t>企业现有工程无组织废气排放核算详见表3-2</w:t>
      </w:r>
      <w:r>
        <w:rPr>
          <w:rFonts w:ascii="Times New Roman" w:hAnsi="Times New Roman" w:cs="Times New Roman"/>
          <w:spacing w:val="0"/>
        </w:rPr>
        <w:t>9</w:t>
      </w:r>
      <w:r>
        <w:rPr>
          <w:rFonts w:hint="eastAsia" w:ascii="Times New Roman" w:hAnsi="Times New Roman" w:cs="Times New Roman"/>
          <w:spacing w:val="0"/>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现有工程主要废气污染源(面源)一览表</w:t>
      </w:r>
    </w:p>
    <w:tbl>
      <w:tblPr>
        <w:tblStyle w:val="88"/>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2135"/>
        <w:gridCol w:w="1313"/>
        <w:gridCol w:w="734"/>
        <w:gridCol w:w="813"/>
        <w:gridCol w:w="1338"/>
        <w:gridCol w:w="945"/>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序号</w:t>
            </w:r>
          </w:p>
        </w:tc>
        <w:tc>
          <w:tcPr>
            <w:tcW w:w="2135"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污染源名称</w:t>
            </w:r>
          </w:p>
        </w:tc>
        <w:tc>
          <w:tcPr>
            <w:tcW w:w="1313"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污染因子</w:t>
            </w:r>
          </w:p>
        </w:tc>
        <w:tc>
          <w:tcPr>
            <w:tcW w:w="4867" w:type="dxa"/>
            <w:gridSpan w:val="5"/>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核算过程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547" w:type="dxa"/>
            <w:gridSpan w:val="2"/>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产品产量(万t/a)</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无组织产生系数(kg/t粗钢)*</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年排放量(t/a)</w:t>
            </w:r>
          </w:p>
        </w:tc>
        <w:tc>
          <w:tcPr>
            <w:tcW w:w="1037"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达产排放量(t/a)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1</w:t>
            </w:r>
          </w:p>
        </w:tc>
        <w:tc>
          <w:tcPr>
            <w:tcW w:w="213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炼钢一厂无组织废气</w:t>
            </w: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颗粒物</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粗钢</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7.2</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0.0348</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rPr>
              <w:t>2.506</w:t>
            </w:r>
          </w:p>
        </w:tc>
        <w:tc>
          <w:tcPr>
            <w:tcW w:w="1037" w:type="dxa"/>
            <w:vAlign w:val="bottom"/>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2</w:t>
            </w:r>
          </w:p>
        </w:tc>
        <w:tc>
          <w:tcPr>
            <w:tcW w:w="2135"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炼钢二厂无组织废气</w:t>
            </w: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颗粒物</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粗钢</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22.4</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0.0348</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7.795</w:t>
            </w:r>
          </w:p>
        </w:tc>
        <w:tc>
          <w:tcPr>
            <w:tcW w:w="1037"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烟尘</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0.12</w:t>
            </w:r>
          </w:p>
        </w:tc>
        <w:tc>
          <w:tcPr>
            <w:tcW w:w="1037"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0.</w:t>
            </w:r>
            <w:r>
              <w:rPr>
                <w:rFonts w:ascii="Times New Roman" w:hAnsi="Times New Roman" w:cs="Times New Roman"/>
                <w:spacing w:val="0"/>
                <w:sz w:val="21"/>
                <w:szCs w:val="21"/>
                <w:lang w:val="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SO</w:t>
            </w:r>
            <w:r>
              <w:rPr>
                <w:rFonts w:hint="eastAsia" w:ascii="Times New Roman" w:hAnsi="Times New Roman" w:cs="Times New Roman"/>
                <w:spacing w:val="0"/>
                <w:sz w:val="21"/>
                <w:szCs w:val="21"/>
                <w:vertAlign w:val="subscript"/>
                <w:lang w:val="zh-CN"/>
              </w:rPr>
              <w:t>2</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0.05</w:t>
            </w:r>
          </w:p>
        </w:tc>
        <w:tc>
          <w:tcPr>
            <w:tcW w:w="1037"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NO</w:t>
            </w:r>
            <w:r>
              <w:rPr>
                <w:rFonts w:ascii="Times New Roman" w:hAnsi="Times New Roman" w:cs="Times New Roman"/>
                <w:spacing w:val="0"/>
                <w:sz w:val="21"/>
                <w:szCs w:val="21"/>
                <w:lang w:val="zh-CN"/>
              </w:rPr>
              <w:t>x</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0.315</w:t>
            </w:r>
          </w:p>
        </w:tc>
        <w:tc>
          <w:tcPr>
            <w:tcW w:w="1037"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3</w:t>
            </w:r>
          </w:p>
        </w:tc>
        <w:tc>
          <w:tcPr>
            <w:tcW w:w="2135" w:type="dxa"/>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精整酸洗车间</w:t>
            </w: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硫酸雾</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0.174</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4</w:t>
            </w: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HF</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7.537</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8.292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5</w:t>
            </w:r>
          </w:p>
        </w:tc>
        <w:tc>
          <w:tcPr>
            <w:tcW w:w="2135" w:type="dxa"/>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硝酸雾(NOx)</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0.362</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z w:val="21"/>
                <w:szCs w:val="21"/>
                <w:lang w:val="zh-CN"/>
              </w:rPr>
              <w:t>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restart"/>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合计</w:t>
            </w: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颗粒物</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lang w:val="zh-CN"/>
              </w:rPr>
              <w:t>10.301</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rPr>
              <w:t>12.181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烟尘</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pacing w:val="0"/>
                <w:sz w:val="21"/>
                <w:szCs w:val="21"/>
                <w:lang w:val="zh-CN"/>
              </w:rPr>
              <w:t>0.12</w:t>
            </w:r>
          </w:p>
        </w:tc>
        <w:tc>
          <w:tcPr>
            <w:tcW w:w="1037" w:type="dxa"/>
            <w:vAlign w:val="center"/>
          </w:tcPr>
          <w:p>
            <w:pPr>
              <w:pStyle w:val="4"/>
              <w:spacing w:line="300" w:lineRule="exact"/>
              <w:ind w:firstLine="0"/>
              <w:jc w:val="center"/>
              <w:rPr>
                <w:rFonts w:ascii="Times New Roman" w:hAnsi="Times New Roman" w:cs="Times New Roman"/>
                <w:sz w:val="21"/>
                <w:szCs w:val="21"/>
                <w:lang w:val="zh-CN"/>
              </w:rPr>
            </w:pPr>
            <w:r>
              <w:rPr>
                <w:rFonts w:hint="eastAsia" w:ascii="Times New Roman" w:hAnsi="Times New Roman" w:cs="Times New Roman"/>
                <w:spacing w:val="0"/>
                <w:sz w:val="21"/>
                <w:szCs w:val="21"/>
                <w:lang w:val="zh-CN"/>
              </w:rPr>
              <w:t>0.</w:t>
            </w:r>
            <w:r>
              <w:rPr>
                <w:rFonts w:ascii="Times New Roman" w:hAnsi="Times New Roman" w:cs="Times New Roman"/>
                <w:spacing w:val="0"/>
                <w:sz w:val="21"/>
                <w:szCs w:val="21"/>
                <w:lang w:val="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SO</w:t>
            </w:r>
            <w:r>
              <w:rPr>
                <w:rFonts w:hint="eastAsia" w:ascii="Times New Roman" w:hAnsi="Times New Roman" w:cs="Times New Roman"/>
                <w:spacing w:val="0"/>
                <w:sz w:val="21"/>
                <w:szCs w:val="21"/>
                <w:vertAlign w:val="subscript"/>
                <w:lang w:val="zh-CN"/>
              </w:rPr>
              <w:t>2</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pacing w:val="0"/>
                <w:sz w:val="21"/>
                <w:szCs w:val="21"/>
                <w:lang w:val="zh-CN"/>
              </w:rPr>
              <w:t>0.05</w:t>
            </w:r>
          </w:p>
        </w:tc>
        <w:tc>
          <w:tcPr>
            <w:tcW w:w="1037" w:type="dxa"/>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pacing w:val="0"/>
                <w:sz w:val="21"/>
                <w:szCs w:val="21"/>
                <w:lang w:val="zh-CN"/>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NO</w:t>
            </w:r>
            <w:r>
              <w:rPr>
                <w:rFonts w:ascii="Times New Roman" w:hAnsi="Times New Roman" w:cs="Times New Roman"/>
                <w:spacing w:val="0"/>
                <w:sz w:val="21"/>
                <w:szCs w:val="21"/>
                <w:lang w:val="zh-CN"/>
              </w:rPr>
              <w:t>x</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pacing w:val="0"/>
                <w:sz w:val="21"/>
                <w:szCs w:val="21"/>
                <w:lang w:val="zh-CN"/>
              </w:rPr>
              <w:t>0.315</w:t>
            </w:r>
          </w:p>
        </w:tc>
        <w:tc>
          <w:tcPr>
            <w:tcW w:w="1037" w:type="dxa"/>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pacing w:val="0"/>
                <w:sz w:val="21"/>
                <w:szCs w:val="21"/>
                <w:lang w:val="zh-CN"/>
              </w:rPr>
              <w: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硫酸雾</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lang w:val="zh-CN"/>
              </w:rPr>
              <w:t>0.174</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lang w:val="zh-CN"/>
              </w:rPr>
              <w:t>0.191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1" w:type="dxa"/>
            <w:gridSpan w:val="2"/>
            <w:vMerge w:val="continue"/>
            <w:vAlign w:val="center"/>
          </w:tcPr>
          <w:p>
            <w:pPr>
              <w:pStyle w:val="4"/>
              <w:spacing w:line="300" w:lineRule="exact"/>
              <w:ind w:firstLine="0"/>
              <w:jc w:val="center"/>
              <w:rPr>
                <w:rFonts w:ascii="Times New Roman" w:hAnsi="Times New Roman" w:cs="Times New Roman"/>
                <w:spacing w:val="0"/>
                <w:sz w:val="21"/>
                <w:szCs w:val="21"/>
                <w:lang w:val="zh-CN"/>
              </w:rPr>
            </w:pPr>
          </w:p>
        </w:tc>
        <w:tc>
          <w:tcPr>
            <w:tcW w:w="13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HF</w:t>
            </w:r>
          </w:p>
        </w:tc>
        <w:tc>
          <w:tcPr>
            <w:tcW w:w="734"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813"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1338" w:type="dxa"/>
            <w:vAlign w:val="center"/>
          </w:tcPr>
          <w:p>
            <w:pPr>
              <w:pStyle w:val="4"/>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w:t>
            </w:r>
          </w:p>
        </w:tc>
        <w:tc>
          <w:tcPr>
            <w:tcW w:w="945"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lang w:val="zh-CN"/>
              </w:rPr>
              <w:t>7.537</w:t>
            </w:r>
          </w:p>
        </w:tc>
        <w:tc>
          <w:tcPr>
            <w:tcW w:w="1037" w:type="dxa"/>
            <w:tcBorders>
              <w:top w:val="nil"/>
              <w:left w:val="nil"/>
              <w:bottom w:val="single" w:color="auto" w:sz="8" w:space="0"/>
              <w:right w:val="single" w:color="auto" w:sz="8" w:space="0"/>
            </w:tcBorders>
            <w:shd w:val="clear" w:color="auto" w:fill="auto"/>
            <w:vAlign w:val="center"/>
          </w:tcPr>
          <w:p>
            <w:pPr>
              <w:pStyle w:val="4"/>
              <w:spacing w:line="300" w:lineRule="exact"/>
              <w:ind w:firstLine="0"/>
              <w:jc w:val="center"/>
              <w:rPr>
                <w:rFonts w:ascii="Times New Roman" w:hAnsi="Times New Roman" w:cs="Times New Roman"/>
                <w:sz w:val="21"/>
                <w:szCs w:val="21"/>
                <w:lang w:val="zh-CN"/>
              </w:rPr>
            </w:pPr>
            <w:r>
              <w:rPr>
                <w:rFonts w:ascii="Times New Roman" w:hAnsi="Times New Roman" w:cs="Times New Roman"/>
                <w:sz w:val="21"/>
                <w:szCs w:val="21"/>
                <w:lang w:val="zh-CN"/>
              </w:rPr>
              <w:t>8.292</w:t>
            </w:r>
          </w:p>
        </w:tc>
      </w:tr>
    </w:tbl>
    <w:p>
      <w:pPr>
        <w:pStyle w:val="4"/>
        <w:ind w:firstLine="0"/>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*注：无组织排放系数参照《排污许可申请与核发技术规范 钢铁工业》(HJ846-2017)</w:t>
      </w:r>
    </w:p>
    <w:p>
      <w:pPr>
        <w:pStyle w:val="4"/>
        <w:rPr>
          <w:rFonts w:ascii="Times New Roman" w:hAnsi="Times New Roman" w:cs="Times New Roman"/>
          <w:spacing w:val="0"/>
        </w:rPr>
      </w:pPr>
      <w:r>
        <w:rPr>
          <w:rFonts w:hint="eastAsia" w:ascii="Times New Roman" w:hAnsi="Times New Roman" w:cs="Times New Roman"/>
          <w:spacing w:val="0"/>
        </w:rPr>
        <w:t>②厂界达标性分析</w:t>
      </w:r>
    </w:p>
    <w:p>
      <w:pPr>
        <w:pStyle w:val="4"/>
        <w:rPr>
          <w:rFonts w:ascii="Times New Roman" w:hAnsi="Times New Roman" w:cs="Times New Roman"/>
          <w:spacing w:val="0"/>
        </w:rPr>
      </w:pPr>
      <w:r>
        <w:rPr>
          <w:rFonts w:hint="eastAsia" w:ascii="Times New Roman" w:hAnsi="Times New Roman" w:cs="Times New Roman"/>
          <w:spacing w:val="0"/>
        </w:rPr>
        <w:t>厂界无组织废气监测结果详见表3-</w:t>
      </w:r>
      <w:r>
        <w:rPr>
          <w:rFonts w:ascii="Times New Roman" w:hAnsi="Times New Roman" w:cs="Times New Roman"/>
          <w:spacing w:val="0"/>
        </w:rPr>
        <w:t>30</w:t>
      </w:r>
      <w:r>
        <w:rPr>
          <w:rFonts w:hint="eastAsia" w:ascii="Times New Roman" w:hAnsi="Times New Roman" w:cs="Times New Roman"/>
          <w:spacing w:val="0"/>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厂界四周无组织废气(颗粒物)监测结果</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656"/>
        <w:gridCol w:w="1281"/>
        <w:gridCol w:w="1192"/>
        <w:gridCol w:w="1843"/>
        <w:gridCol w:w="1199"/>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3" w:hRule="atLeast"/>
          <w:tblHeader/>
        </w:trPr>
        <w:tc>
          <w:tcPr>
            <w:tcW w:w="827" w:type="dxa"/>
            <w:vAlign w:val="center"/>
          </w:tcPr>
          <w:p>
            <w:pPr>
              <w:widowControl/>
              <w:spacing w:line="300" w:lineRule="exact"/>
              <w:jc w:val="center"/>
              <w:rPr>
                <w:rFonts w:eastAsiaTheme="minorEastAsia"/>
                <w:sz w:val="21"/>
                <w:szCs w:val="21"/>
              </w:rPr>
            </w:pPr>
            <w:r>
              <w:rPr>
                <w:rFonts w:eastAsiaTheme="minorEastAsia"/>
                <w:sz w:val="21"/>
                <w:szCs w:val="21"/>
              </w:rPr>
              <w:t>序号</w:t>
            </w: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采样点位</w:t>
            </w:r>
          </w:p>
        </w:tc>
        <w:tc>
          <w:tcPr>
            <w:tcW w:w="1281" w:type="dxa"/>
            <w:vAlign w:val="center"/>
          </w:tcPr>
          <w:p>
            <w:pPr>
              <w:widowControl/>
              <w:spacing w:line="300" w:lineRule="exact"/>
              <w:jc w:val="center"/>
              <w:rPr>
                <w:rFonts w:eastAsiaTheme="minorEastAsia"/>
                <w:sz w:val="21"/>
                <w:szCs w:val="21"/>
              </w:rPr>
            </w:pPr>
            <w:r>
              <w:rPr>
                <w:rFonts w:eastAsiaTheme="minorEastAsia"/>
                <w:sz w:val="21"/>
                <w:szCs w:val="21"/>
              </w:rPr>
              <w:t>检测时间</w:t>
            </w:r>
          </w:p>
        </w:tc>
        <w:tc>
          <w:tcPr>
            <w:tcW w:w="1192" w:type="dxa"/>
            <w:vAlign w:val="center"/>
          </w:tcPr>
          <w:p>
            <w:pPr>
              <w:widowControl/>
              <w:spacing w:line="300" w:lineRule="exact"/>
              <w:jc w:val="center"/>
              <w:rPr>
                <w:rFonts w:eastAsiaTheme="minorEastAsia"/>
                <w:sz w:val="21"/>
                <w:szCs w:val="21"/>
              </w:rPr>
            </w:pPr>
            <w:r>
              <w:rPr>
                <w:rFonts w:eastAsiaTheme="minorEastAsia"/>
                <w:sz w:val="21"/>
                <w:szCs w:val="21"/>
              </w:rPr>
              <w:t>检测项目</w:t>
            </w:r>
          </w:p>
        </w:tc>
        <w:tc>
          <w:tcPr>
            <w:tcW w:w="1843" w:type="dxa"/>
            <w:vAlign w:val="center"/>
          </w:tcPr>
          <w:p>
            <w:pPr>
              <w:widowControl/>
              <w:spacing w:line="300" w:lineRule="exact"/>
              <w:jc w:val="center"/>
              <w:rPr>
                <w:rFonts w:eastAsiaTheme="minorEastAsia"/>
                <w:sz w:val="21"/>
                <w:szCs w:val="21"/>
              </w:rPr>
            </w:pPr>
            <w:r>
              <w:rPr>
                <w:rFonts w:eastAsiaTheme="minorEastAsia"/>
                <w:sz w:val="21"/>
                <w:szCs w:val="21"/>
              </w:rPr>
              <w:t>检测结果(mg/m</w:t>
            </w:r>
            <w:r>
              <w:rPr>
                <w:rFonts w:eastAsiaTheme="minorEastAsia"/>
                <w:sz w:val="21"/>
                <w:szCs w:val="21"/>
                <w:vertAlign w:val="superscript"/>
              </w:rPr>
              <w:t>3</w:t>
            </w:r>
            <w:r>
              <w:rPr>
                <w:rFonts w:eastAsiaTheme="minorEastAsia"/>
                <w:sz w:val="21"/>
                <w:szCs w:val="21"/>
              </w:rPr>
              <w:t>)</w:t>
            </w:r>
          </w:p>
        </w:tc>
        <w:tc>
          <w:tcPr>
            <w:tcW w:w="1199" w:type="dxa"/>
            <w:vAlign w:val="center"/>
          </w:tcPr>
          <w:p>
            <w:pPr>
              <w:widowControl/>
              <w:spacing w:line="300" w:lineRule="exact"/>
              <w:jc w:val="center"/>
              <w:rPr>
                <w:rFonts w:eastAsiaTheme="minorEastAsia"/>
                <w:sz w:val="21"/>
                <w:szCs w:val="21"/>
              </w:rPr>
            </w:pPr>
            <w:r>
              <w:rPr>
                <w:rFonts w:eastAsiaTheme="minorEastAsia"/>
                <w:sz w:val="21"/>
                <w:szCs w:val="21"/>
              </w:rPr>
              <w:t>标准限值(mg/m</w:t>
            </w:r>
            <w:r>
              <w:rPr>
                <w:rFonts w:eastAsiaTheme="minorEastAsia"/>
                <w:sz w:val="21"/>
                <w:szCs w:val="21"/>
                <w:vertAlign w:val="superscript"/>
              </w:rPr>
              <w:t>3</w:t>
            </w:r>
            <w:r>
              <w:rPr>
                <w:rFonts w:eastAsiaTheme="minorEastAsia"/>
                <w:sz w:val="21"/>
                <w:szCs w:val="21"/>
              </w:rPr>
              <w:t>)</w:t>
            </w:r>
          </w:p>
        </w:tc>
        <w:tc>
          <w:tcPr>
            <w:tcW w:w="803" w:type="dxa"/>
            <w:vAlign w:val="center"/>
          </w:tcPr>
          <w:p>
            <w:pPr>
              <w:widowControl/>
              <w:spacing w:line="300" w:lineRule="exact"/>
              <w:jc w:val="center"/>
              <w:rPr>
                <w:rFonts w:eastAsiaTheme="minorEastAsia"/>
                <w:sz w:val="21"/>
                <w:szCs w:val="21"/>
              </w:rPr>
            </w:pPr>
            <w:r>
              <w:rPr>
                <w:rFonts w:eastAsiaTheme="minorEastAsia"/>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827" w:type="dxa"/>
            <w:vMerge w:val="restart"/>
            <w:vAlign w:val="center"/>
          </w:tcPr>
          <w:p>
            <w:pPr>
              <w:widowControl/>
              <w:spacing w:line="300" w:lineRule="exact"/>
              <w:jc w:val="center"/>
              <w:rPr>
                <w:rFonts w:eastAsiaTheme="minorEastAsia"/>
                <w:sz w:val="21"/>
                <w:szCs w:val="21"/>
              </w:rPr>
            </w:pPr>
            <w:r>
              <w:rPr>
                <w:rFonts w:eastAsiaTheme="minorEastAsia"/>
                <w:sz w:val="21"/>
                <w:szCs w:val="21"/>
              </w:rPr>
              <w:t>1</w:t>
            </w:r>
          </w:p>
        </w:tc>
        <w:tc>
          <w:tcPr>
            <w:tcW w:w="1656" w:type="dxa"/>
            <w:vMerge w:val="restart"/>
            <w:vAlign w:val="center"/>
          </w:tcPr>
          <w:p>
            <w:pPr>
              <w:widowControl/>
              <w:spacing w:line="300" w:lineRule="exact"/>
              <w:jc w:val="center"/>
              <w:rPr>
                <w:rFonts w:eastAsiaTheme="minorEastAsia"/>
                <w:sz w:val="21"/>
                <w:szCs w:val="21"/>
              </w:rPr>
            </w:pPr>
            <w:r>
              <w:rPr>
                <w:rFonts w:eastAsiaTheme="minorEastAsia"/>
                <w:sz w:val="21"/>
                <w:szCs w:val="21"/>
              </w:rPr>
              <w:t>厂界上风向</w:t>
            </w:r>
          </w:p>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2018.9.19</w:t>
            </w:r>
          </w:p>
        </w:tc>
        <w:tc>
          <w:tcPr>
            <w:tcW w:w="1192" w:type="dxa"/>
            <w:vMerge w:val="restart"/>
            <w:vAlign w:val="center"/>
          </w:tcPr>
          <w:p>
            <w:pPr>
              <w:widowControl/>
              <w:spacing w:line="300" w:lineRule="exact"/>
              <w:jc w:val="center"/>
              <w:rPr>
                <w:rFonts w:eastAsiaTheme="minorEastAsia"/>
                <w:sz w:val="21"/>
                <w:szCs w:val="21"/>
              </w:rPr>
            </w:pPr>
            <w:r>
              <w:rPr>
                <w:rFonts w:eastAsiaTheme="minorEastAsia"/>
                <w:sz w:val="21"/>
                <w:szCs w:val="21"/>
              </w:rPr>
              <w:t>颗粒物</w:t>
            </w: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0.114</w:t>
            </w:r>
          </w:p>
        </w:tc>
        <w:tc>
          <w:tcPr>
            <w:tcW w:w="1199" w:type="dxa"/>
            <w:vMerge w:val="restart"/>
            <w:vAlign w:val="center"/>
          </w:tcPr>
          <w:p>
            <w:pPr>
              <w:widowControl/>
              <w:spacing w:line="300" w:lineRule="exact"/>
              <w:jc w:val="center"/>
              <w:rPr>
                <w:rFonts w:eastAsiaTheme="minorEastAsia"/>
                <w:sz w:val="21"/>
                <w:szCs w:val="21"/>
              </w:rPr>
            </w:pPr>
            <w:r>
              <w:rPr>
                <w:rFonts w:eastAsiaTheme="minorEastAsia"/>
                <w:sz w:val="21"/>
                <w:szCs w:val="21"/>
              </w:rPr>
              <w:t>≤1.0*</w:t>
            </w: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Merge w:val="continue"/>
            <w:vAlign w:val="center"/>
          </w:tcPr>
          <w:p>
            <w:pPr>
              <w:widowControl/>
              <w:spacing w:line="300" w:lineRule="exact"/>
              <w:jc w:val="center"/>
              <w:rPr>
                <w:rFonts w:eastAsiaTheme="minorEastAsia"/>
                <w:sz w:val="21"/>
                <w:szCs w:val="21"/>
              </w:rPr>
            </w:pP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0.231</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2018.11.3</w:t>
            </w: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0.105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0.223</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restart"/>
            <w:vAlign w:val="center"/>
          </w:tcPr>
          <w:p>
            <w:pPr>
              <w:widowControl/>
              <w:spacing w:line="300" w:lineRule="exact"/>
              <w:jc w:val="center"/>
              <w:rPr>
                <w:rFonts w:eastAsiaTheme="minorEastAsia"/>
                <w:sz w:val="21"/>
                <w:szCs w:val="21"/>
              </w:rPr>
            </w:pPr>
            <w:r>
              <w:rPr>
                <w:rFonts w:eastAsiaTheme="minorEastAsia"/>
                <w:sz w:val="21"/>
                <w:szCs w:val="21"/>
              </w:rPr>
              <w:t>2</w:t>
            </w: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2018.6.7-6.8</w:t>
            </w:r>
          </w:p>
        </w:tc>
        <w:tc>
          <w:tcPr>
            <w:tcW w:w="1192"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二噁英</w:t>
            </w: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0.088pg-TEQ/m</w:t>
            </w:r>
            <w:r>
              <w:rPr>
                <w:rFonts w:hint="eastAsia" w:eastAsiaTheme="minorEastAsia"/>
                <w:sz w:val="21"/>
                <w:szCs w:val="21"/>
                <w:vertAlign w:val="superscript"/>
              </w:rPr>
              <w:t>3</w:t>
            </w:r>
          </w:p>
        </w:tc>
        <w:tc>
          <w:tcPr>
            <w:tcW w:w="1199"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w:t>
            </w: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0.14pg-TEQ/m</w:t>
            </w:r>
            <w:r>
              <w:rPr>
                <w:rFonts w:hint="eastAsia" w:eastAsiaTheme="minorEastAsia"/>
                <w:sz w:val="21"/>
                <w:szCs w:val="21"/>
                <w:vertAlign w:val="superscript"/>
              </w:rPr>
              <w:t>3</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3</w:t>
            </w: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019.4.28</w:t>
            </w:r>
          </w:p>
        </w:tc>
        <w:tc>
          <w:tcPr>
            <w:tcW w:w="1192"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氟化物</w:t>
            </w: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＜0.0005</w:t>
            </w:r>
          </w:p>
        </w:tc>
        <w:tc>
          <w:tcPr>
            <w:tcW w:w="1199" w:type="dxa"/>
            <w:vMerge w:val="restart"/>
            <w:vAlign w:val="center"/>
          </w:tcPr>
          <w:p>
            <w:pPr>
              <w:widowControl/>
              <w:spacing w:line="300" w:lineRule="exact"/>
              <w:jc w:val="center"/>
              <w:rPr>
                <w:rFonts w:eastAsiaTheme="minorEastAsia"/>
                <w:sz w:val="21"/>
                <w:szCs w:val="21"/>
              </w:rPr>
            </w:pPr>
            <w:r>
              <w:rPr>
                <w:rFonts w:eastAsiaTheme="minorEastAsia"/>
                <w:sz w:val="21"/>
                <w:szCs w:val="21"/>
              </w:rPr>
              <w:t>≤0.02</w:t>
            </w: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＜0.0005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019.4.29</w:t>
            </w: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＜0.0005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＜0.0005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restart"/>
            <w:vAlign w:val="center"/>
          </w:tcPr>
          <w:p>
            <w:pPr>
              <w:widowControl/>
              <w:spacing w:line="300" w:lineRule="exact"/>
              <w:jc w:val="center"/>
              <w:rPr>
                <w:rFonts w:eastAsiaTheme="minorEastAsia"/>
                <w:sz w:val="21"/>
                <w:szCs w:val="21"/>
              </w:rPr>
            </w:pPr>
            <w:r>
              <w:rPr>
                <w:rFonts w:eastAsiaTheme="minorEastAsia"/>
                <w:sz w:val="21"/>
                <w:szCs w:val="21"/>
              </w:rPr>
              <w:t>4</w:t>
            </w: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019.4.28</w:t>
            </w:r>
          </w:p>
        </w:tc>
        <w:tc>
          <w:tcPr>
            <w:tcW w:w="1192"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硫酸雾</w:t>
            </w: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0.014</w:t>
            </w:r>
          </w:p>
        </w:tc>
        <w:tc>
          <w:tcPr>
            <w:tcW w:w="1199" w:type="dxa"/>
            <w:vMerge w:val="restart"/>
            <w:vAlign w:val="center"/>
          </w:tcPr>
          <w:p>
            <w:pPr>
              <w:widowControl/>
              <w:spacing w:line="300" w:lineRule="exact"/>
              <w:jc w:val="center"/>
              <w:rPr>
                <w:rFonts w:eastAsiaTheme="minorEastAsia"/>
                <w:sz w:val="21"/>
                <w:szCs w:val="21"/>
              </w:rPr>
            </w:pPr>
            <w:r>
              <w:rPr>
                <w:rFonts w:eastAsiaTheme="minorEastAsia"/>
                <w:sz w:val="21"/>
                <w:szCs w:val="21"/>
              </w:rPr>
              <w:t>≤1.2</w:t>
            </w: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0.045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019.4.29</w:t>
            </w: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0.015</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0.047</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5</w:t>
            </w: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019.4.28</w:t>
            </w:r>
          </w:p>
        </w:tc>
        <w:tc>
          <w:tcPr>
            <w:tcW w:w="1192"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N</w:t>
            </w:r>
            <w:r>
              <w:rPr>
                <w:rFonts w:eastAsiaTheme="minorEastAsia"/>
                <w:sz w:val="21"/>
                <w:szCs w:val="21"/>
              </w:rPr>
              <w:t>Ox</w:t>
            </w: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0.050</w:t>
            </w:r>
          </w:p>
        </w:tc>
        <w:tc>
          <w:tcPr>
            <w:tcW w:w="1199" w:type="dxa"/>
            <w:vMerge w:val="restart"/>
            <w:vAlign w:val="center"/>
          </w:tcPr>
          <w:p>
            <w:pPr>
              <w:widowControl/>
              <w:spacing w:line="300" w:lineRule="exact"/>
              <w:jc w:val="center"/>
              <w:rPr>
                <w:rFonts w:eastAsiaTheme="minorEastAsia"/>
                <w:sz w:val="21"/>
                <w:szCs w:val="21"/>
              </w:rPr>
            </w:pPr>
            <w:r>
              <w:rPr>
                <w:rFonts w:eastAsiaTheme="minorEastAsia"/>
                <w:sz w:val="21"/>
                <w:szCs w:val="21"/>
              </w:rPr>
              <w:t>≤0.12</w:t>
            </w: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0.094</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厂界上风向</w:t>
            </w:r>
          </w:p>
        </w:tc>
        <w:tc>
          <w:tcPr>
            <w:tcW w:w="1281" w:type="dxa"/>
            <w:vMerge w:val="restart"/>
            <w:vAlign w:val="center"/>
          </w:tcPr>
          <w:p>
            <w:pPr>
              <w:widowControl/>
              <w:spacing w:line="300" w:lineRule="exact"/>
              <w:jc w:val="center"/>
              <w:rPr>
                <w:rFonts w:eastAsiaTheme="minorEastAsia"/>
                <w:sz w:val="21"/>
                <w:szCs w:val="21"/>
              </w:rPr>
            </w:pPr>
            <w:r>
              <w:rPr>
                <w:rFonts w:hint="eastAsia" w:eastAsiaTheme="minorEastAsia"/>
                <w:sz w:val="21"/>
                <w:szCs w:val="21"/>
              </w:rPr>
              <w:t>2</w:t>
            </w:r>
            <w:r>
              <w:rPr>
                <w:rFonts w:eastAsiaTheme="minorEastAsia"/>
                <w:sz w:val="21"/>
                <w:szCs w:val="21"/>
              </w:rPr>
              <w:t>019.4.29</w:t>
            </w: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0.053</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trPr>
        <w:tc>
          <w:tcPr>
            <w:tcW w:w="827" w:type="dxa"/>
            <w:vMerge w:val="continue"/>
            <w:vAlign w:val="center"/>
          </w:tcPr>
          <w:p>
            <w:pPr>
              <w:widowControl/>
              <w:spacing w:line="300" w:lineRule="exact"/>
              <w:jc w:val="center"/>
              <w:rPr>
                <w:rFonts w:eastAsiaTheme="minorEastAsia"/>
                <w:sz w:val="21"/>
                <w:szCs w:val="21"/>
              </w:rPr>
            </w:pPr>
          </w:p>
        </w:tc>
        <w:tc>
          <w:tcPr>
            <w:tcW w:w="1656" w:type="dxa"/>
            <w:vAlign w:val="center"/>
          </w:tcPr>
          <w:p>
            <w:pPr>
              <w:widowControl/>
              <w:spacing w:line="300" w:lineRule="exact"/>
              <w:jc w:val="center"/>
              <w:rPr>
                <w:rFonts w:eastAsiaTheme="minorEastAsia"/>
                <w:sz w:val="21"/>
                <w:szCs w:val="21"/>
              </w:rPr>
            </w:pPr>
            <w:r>
              <w:rPr>
                <w:rFonts w:eastAsiaTheme="minorEastAsia"/>
                <w:sz w:val="21"/>
                <w:szCs w:val="21"/>
              </w:rPr>
              <w:t>厂界下风向</w:t>
            </w:r>
          </w:p>
        </w:tc>
        <w:tc>
          <w:tcPr>
            <w:tcW w:w="1281" w:type="dxa"/>
            <w:vMerge w:val="continue"/>
            <w:vAlign w:val="center"/>
          </w:tcPr>
          <w:p>
            <w:pPr>
              <w:widowControl/>
              <w:spacing w:line="300" w:lineRule="exact"/>
              <w:jc w:val="center"/>
              <w:rPr>
                <w:rFonts w:eastAsiaTheme="minorEastAsia"/>
                <w:sz w:val="21"/>
                <w:szCs w:val="21"/>
              </w:rPr>
            </w:pPr>
          </w:p>
        </w:tc>
        <w:tc>
          <w:tcPr>
            <w:tcW w:w="1192" w:type="dxa"/>
            <w:vMerge w:val="continue"/>
            <w:vAlign w:val="center"/>
          </w:tcPr>
          <w:p>
            <w:pPr>
              <w:widowControl/>
              <w:spacing w:line="300" w:lineRule="exact"/>
              <w:jc w:val="center"/>
              <w:rPr>
                <w:rFonts w:eastAsiaTheme="minorEastAsia"/>
                <w:sz w:val="21"/>
                <w:szCs w:val="21"/>
              </w:rPr>
            </w:pPr>
          </w:p>
        </w:tc>
        <w:tc>
          <w:tcPr>
            <w:tcW w:w="1843" w:type="dxa"/>
            <w:vAlign w:val="center"/>
          </w:tcPr>
          <w:p>
            <w:pPr>
              <w:widowControl/>
              <w:spacing w:line="300" w:lineRule="exact"/>
              <w:jc w:val="center"/>
              <w:rPr>
                <w:rFonts w:eastAsiaTheme="minorEastAsia"/>
                <w:sz w:val="21"/>
                <w:szCs w:val="21"/>
              </w:rPr>
            </w:pPr>
            <w:r>
              <w:rPr>
                <w:rFonts w:hint="eastAsia" w:eastAsiaTheme="minorEastAsia"/>
                <w:sz w:val="21"/>
                <w:szCs w:val="21"/>
              </w:rPr>
              <w:t>0.087</w:t>
            </w:r>
          </w:p>
        </w:tc>
        <w:tc>
          <w:tcPr>
            <w:tcW w:w="1199" w:type="dxa"/>
            <w:vMerge w:val="continue"/>
            <w:vAlign w:val="center"/>
          </w:tcPr>
          <w:p>
            <w:pPr>
              <w:widowControl/>
              <w:spacing w:line="300" w:lineRule="exact"/>
              <w:jc w:val="center"/>
              <w:rPr>
                <w:rFonts w:eastAsiaTheme="minorEastAsia"/>
                <w:sz w:val="21"/>
                <w:szCs w:val="21"/>
              </w:rPr>
            </w:pPr>
          </w:p>
        </w:tc>
        <w:tc>
          <w:tcPr>
            <w:tcW w:w="803" w:type="dxa"/>
            <w:vAlign w:val="center"/>
          </w:tcPr>
          <w:p>
            <w:pPr>
              <w:spacing w:line="300" w:lineRule="exact"/>
              <w:jc w:val="center"/>
              <w:rPr>
                <w:rFonts w:eastAsiaTheme="minorEastAsia"/>
                <w:sz w:val="21"/>
                <w:szCs w:val="21"/>
              </w:rPr>
            </w:pPr>
            <w:r>
              <w:rPr>
                <w:rFonts w:hint="eastAsia" w:eastAsiaTheme="minorEastAsia"/>
                <w:sz w:val="21"/>
                <w:szCs w:val="21"/>
              </w:rPr>
              <w:t>达标</w:t>
            </w:r>
          </w:p>
        </w:tc>
      </w:tr>
    </w:tbl>
    <w:p>
      <w:pPr>
        <w:pStyle w:val="4"/>
        <w:spacing w:line="300" w:lineRule="exact"/>
        <w:ind w:firstLine="0"/>
        <w:rPr>
          <w:rFonts w:ascii="Times New Roman" w:hAnsi="Times New Roman" w:cs="Times New Roman"/>
          <w:spacing w:val="0"/>
          <w:sz w:val="21"/>
          <w:szCs w:val="21"/>
        </w:rPr>
      </w:pPr>
      <w:r>
        <w:rPr>
          <w:rFonts w:hint="eastAsia" w:ascii="Times New Roman" w:hAnsi="Times New Roman" w:cs="Times New Roman"/>
          <w:spacing w:val="0"/>
          <w:sz w:val="21"/>
          <w:szCs w:val="21"/>
        </w:rPr>
        <w:t>注：由于《炼钢工业大气污染物排放标准》（GB28664-2012）表4仅规定</w:t>
      </w:r>
      <w:r>
        <w:rPr>
          <w:rFonts w:ascii="Times New Roman" w:hAnsi="Times New Roman" w:cs="Times New Roman"/>
          <w:spacing w:val="0"/>
          <w:sz w:val="21"/>
          <w:szCs w:val="21"/>
        </w:rPr>
        <w:t>了车间无组织颗粒物</w:t>
      </w:r>
      <w:r>
        <w:rPr>
          <w:rFonts w:hint="eastAsia" w:ascii="Times New Roman" w:hAnsi="Times New Roman" w:cs="Times New Roman"/>
          <w:spacing w:val="0"/>
          <w:sz w:val="21"/>
          <w:szCs w:val="21"/>
        </w:rPr>
        <w:t>排放限值</w:t>
      </w:r>
      <w:r>
        <w:rPr>
          <w:rFonts w:ascii="Times New Roman" w:hAnsi="Times New Roman" w:cs="Times New Roman"/>
          <w:spacing w:val="0"/>
          <w:sz w:val="21"/>
          <w:szCs w:val="21"/>
        </w:rPr>
        <w:t>，</w:t>
      </w:r>
      <w:r>
        <w:rPr>
          <w:rFonts w:hint="eastAsia" w:ascii="Times New Roman" w:hAnsi="Times New Roman" w:cs="Times New Roman"/>
          <w:spacing w:val="0"/>
          <w:sz w:val="21"/>
          <w:szCs w:val="21"/>
        </w:rPr>
        <w:t>因此</w:t>
      </w:r>
      <w:r>
        <w:rPr>
          <w:rFonts w:ascii="Times New Roman" w:hAnsi="Times New Roman" w:cs="Times New Roman"/>
          <w:spacing w:val="0"/>
          <w:sz w:val="21"/>
          <w:szCs w:val="21"/>
        </w:rPr>
        <w:t>厂界颗粒物排放限值按照</w:t>
      </w:r>
      <w:r>
        <w:rPr>
          <w:rFonts w:hint="eastAsia" w:ascii="Times New Roman" w:hAnsi="Times New Roman" w:cs="Times New Roman"/>
          <w:spacing w:val="0"/>
          <w:sz w:val="21"/>
          <w:szCs w:val="21"/>
        </w:rPr>
        <w:t>《大气污染物综合排放标准》（GB 16297-1996）、《轧钢工业大气污染物排放标准》(GB28665-2012)</w:t>
      </w:r>
      <w:r>
        <w:rPr>
          <w:rFonts w:ascii="Times New Roman" w:hAnsi="Times New Roman" w:cs="Times New Roman"/>
          <w:spacing w:val="0"/>
          <w:sz w:val="21"/>
          <w:szCs w:val="21"/>
        </w:rPr>
        <w:t>从严执行</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由表3-</w:t>
      </w:r>
      <w:r>
        <w:rPr>
          <w:rFonts w:ascii="Times New Roman" w:hAnsi="Times New Roman" w:cs="Times New Roman"/>
          <w:spacing w:val="0"/>
          <w:lang w:val="zh-CN"/>
        </w:rPr>
        <w:t>30</w:t>
      </w:r>
      <w:r>
        <w:rPr>
          <w:rFonts w:hint="eastAsia" w:ascii="Times New Roman" w:hAnsi="Times New Roman" w:cs="Times New Roman"/>
          <w:spacing w:val="0"/>
          <w:lang w:val="zh-CN"/>
        </w:rPr>
        <w:t>可知</w:t>
      </w:r>
      <w:r>
        <w:rPr>
          <w:rFonts w:ascii="Times New Roman" w:hAnsi="Times New Roman" w:cs="Times New Roman"/>
          <w:spacing w:val="0"/>
          <w:lang w:val="zh-CN"/>
        </w:rPr>
        <w:t>，在企业现状正常</w:t>
      </w:r>
      <w:r>
        <w:rPr>
          <w:rFonts w:hint="eastAsia" w:ascii="Times New Roman" w:hAnsi="Times New Roman" w:cs="Times New Roman"/>
          <w:spacing w:val="0"/>
          <w:lang w:val="zh-CN"/>
        </w:rPr>
        <w:t>生产</w:t>
      </w:r>
      <w:r>
        <w:rPr>
          <w:rFonts w:ascii="Times New Roman" w:hAnsi="Times New Roman" w:cs="Times New Roman"/>
          <w:spacing w:val="0"/>
          <w:lang w:val="zh-CN"/>
        </w:rPr>
        <w:t>条件下，各废气在厂界能够做到达标排放。</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3</w:t>
      </w:r>
      <w:r>
        <w:rPr>
          <w:rFonts w:hint="eastAsia" w:ascii="Times New Roman" w:hAnsi="Times New Roman" w:cs="Times New Roman"/>
          <w:spacing w:val="0"/>
        </w:rPr>
        <w:t>)企业</w:t>
      </w:r>
      <w:r>
        <w:rPr>
          <w:rFonts w:ascii="Times New Roman" w:hAnsi="Times New Roman" w:cs="Times New Roman"/>
          <w:spacing w:val="0"/>
        </w:rPr>
        <w:t>现状废气排放量汇总</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企业</w:t>
      </w:r>
      <w:r>
        <w:rPr>
          <w:rFonts w:ascii="Times New Roman" w:hAnsi="Times New Roman" w:cs="Times New Roman"/>
          <w:spacing w:val="0"/>
        </w:rPr>
        <w:t>现状</w:t>
      </w:r>
      <w:r>
        <w:rPr>
          <w:rFonts w:hint="eastAsia" w:ascii="Times New Roman" w:hAnsi="Times New Roman" w:cs="Times New Roman"/>
          <w:spacing w:val="0"/>
        </w:rPr>
        <w:t>2018年</w:t>
      </w:r>
      <w:r>
        <w:rPr>
          <w:rFonts w:ascii="Times New Roman" w:hAnsi="Times New Roman" w:cs="Times New Roman"/>
          <w:spacing w:val="0"/>
        </w:rPr>
        <w:t>废气排放量汇总详见表</w:t>
      </w:r>
      <w:r>
        <w:rPr>
          <w:rFonts w:hint="eastAsia" w:ascii="Times New Roman" w:hAnsi="Times New Roman" w:cs="Times New Roman"/>
          <w:spacing w:val="0"/>
        </w:rPr>
        <w:t>3-</w:t>
      </w:r>
      <w:r>
        <w:rPr>
          <w:rFonts w:ascii="Times New Roman" w:hAnsi="Times New Roman" w:cs="Times New Roman"/>
          <w:spacing w:val="0"/>
        </w:rPr>
        <w:t>31</w:t>
      </w:r>
      <w:r>
        <w:rPr>
          <w:rFonts w:hint="eastAsia" w:ascii="Times New Roman" w:hAnsi="Times New Roman" w:cs="Times New Roman"/>
          <w:spacing w:val="0"/>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企业现状废气</w:t>
      </w:r>
      <w:r>
        <w:rPr>
          <w:rFonts w:ascii="Times New Roman" w:hAnsi="Times New Roman"/>
          <w:lang w:eastAsia="zh-CN"/>
        </w:rPr>
        <w:t>排放量汇总</w:t>
      </w:r>
      <w:r>
        <w:rPr>
          <w:rFonts w:hint="eastAsia" w:ascii="Times New Roman" w:hAnsi="Times New Roman"/>
          <w:lang w:eastAsia="zh-CN"/>
        </w:rPr>
        <w:t xml:space="preserve">  </w:t>
      </w:r>
      <w:r>
        <w:rPr>
          <w:rFonts w:ascii="Times New Roman" w:hAnsi="Times New Roman"/>
          <w:lang w:eastAsia="zh-CN"/>
        </w:rPr>
        <w:t xml:space="preserve"> </w:t>
      </w:r>
      <w:r>
        <w:rPr>
          <w:rFonts w:hint="eastAsia" w:ascii="Times New Roman" w:hAnsi="Times New Roman"/>
          <w:lang w:eastAsia="zh-CN"/>
        </w:rPr>
        <w:t>单位</w:t>
      </w:r>
      <w:r>
        <w:rPr>
          <w:rFonts w:ascii="Times New Roman" w:hAnsi="Times New Roman"/>
          <w:lang w:eastAsia="zh-CN"/>
        </w:rPr>
        <w:t>：</w:t>
      </w:r>
      <w:r>
        <w:rPr>
          <w:rFonts w:hint="eastAsia" w:ascii="Times New Roman" w:hAnsi="Times New Roman"/>
          <w:lang w:eastAsia="zh-CN"/>
        </w:rPr>
        <w:t>t/a</w:t>
      </w:r>
    </w:p>
    <w:tbl>
      <w:tblPr>
        <w:tblStyle w:val="87"/>
        <w:tblW w:w="88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50"/>
        <w:gridCol w:w="1551"/>
        <w:gridCol w:w="1804"/>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排放类型</w:t>
            </w:r>
          </w:p>
        </w:tc>
        <w:tc>
          <w:tcPr>
            <w:tcW w:w="1550" w:type="dxa"/>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污染因子</w:t>
            </w:r>
          </w:p>
        </w:tc>
        <w:tc>
          <w:tcPr>
            <w:tcW w:w="1551" w:type="dxa"/>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2018年</w:t>
            </w:r>
            <w:r>
              <w:rPr>
                <w:rFonts w:hint="eastAsia" w:eastAsiaTheme="minorEastAsia"/>
                <w:kern w:val="0"/>
                <w:sz w:val="21"/>
                <w:szCs w:val="21"/>
              </w:rPr>
              <w:t>排放量</w:t>
            </w:r>
          </w:p>
        </w:tc>
        <w:tc>
          <w:tcPr>
            <w:tcW w:w="1804" w:type="dxa"/>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达产排放量</w:t>
            </w:r>
          </w:p>
        </w:tc>
        <w:tc>
          <w:tcPr>
            <w:tcW w:w="2348" w:type="dxa"/>
            <w:shd w:val="clear" w:color="auto" w:fill="auto"/>
            <w:noWrap/>
            <w:vAlign w:val="center"/>
          </w:tcPr>
          <w:p>
            <w:pPr>
              <w:widowControl/>
              <w:spacing w:line="300" w:lineRule="exact"/>
              <w:jc w:val="center"/>
              <w:rPr>
                <w:rFonts w:eastAsiaTheme="minorEastAsia"/>
                <w:kern w:val="0"/>
                <w:sz w:val="21"/>
                <w:szCs w:val="21"/>
              </w:rPr>
            </w:pPr>
            <w:r>
              <w:rPr>
                <w:rFonts w:hint="eastAsia" w:eastAsiaTheme="minorEastAsia"/>
                <w:kern w:val="0"/>
                <w:sz w:val="21"/>
                <w:szCs w:val="21"/>
              </w:rPr>
              <w:t>排污许可证审核定</w:t>
            </w:r>
            <w:r>
              <w:rPr>
                <w:rFonts w:eastAsiaTheme="minorEastAsia"/>
                <w:kern w:val="0"/>
                <w:sz w:val="21"/>
                <w:szCs w:val="21"/>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有组织</w:t>
            </w: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颗粒物</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21.718</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27.135</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氟化物</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11.305</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15.203</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hint="eastAsia" w:eastAsiaTheme="minorEastAsia"/>
                <w:kern w:val="0"/>
                <w:sz w:val="21"/>
                <w:szCs w:val="21"/>
              </w:rPr>
              <w:t>铬</w:t>
            </w:r>
            <w:r>
              <w:rPr>
                <w:rFonts w:eastAsiaTheme="minorEastAsia"/>
                <w:kern w:val="0"/>
                <w:sz w:val="21"/>
                <w:szCs w:val="21"/>
              </w:rPr>
              <w:t>及其化合物</w:t>
            </w:r>
          </w:p>
        </w:tc>
        <w:tc>
          <w:tcPr>
            <w:tcW w:w="1551" w:type="dxa"/>
            <w:shd w:val="clear" w:color="auto" w:fill="auto"/>
            <w:vAlign w:val="center"/>
          </w:tcPr>
          <w:p>
            <w:pPr>
              <w:widowControl/>
              <w:spacing w:line="300" w:lineRule="exact"/>
              <w:jc w:val="center"/>
              <w:rPr>
                <w:sz w:val="21"/>
                <w:szCs w:val="21"/>
                <w:lang w:val="zh-CN"/>
              </w:rPr>
            </w:pPr>
            <w:r>
              <w:rPr>
                <w:rFonts w:hint="eastAsia"/>
                <w:sz w:val="21"/>
                <w:szCs w:val="21"/>
                <w:lang w:val="zh-CN"/>
              </w:rPr>
              <w:t>0.8717</w:t>
            </w:r>
          </w:p>
        </w:tc>
        <w:tc>
          <w:tcPr>
            <w:tcW w:w="1804" w:type="dxa"/>
            <w:shd w:val="clear" w:color="auto" w:fill="auto"/>
            <w:vAlign w:val="center"/>
          </w:tcPr>
          <w:p>
            <w:pPr>
              <w:widowControl/>
              <w:spacing w:line="300" w:lineRule="exact"/>
              <w:jc w:val="center"/>
              <w:rPr>
                <w:sz w:val="21"/>
                <w:szCs w:val="21"/>
                <w:lang w:val="zh-CN"/>
              </w:rPr>
            </w:pPr>
            <w:r>
              <w:rPr>
                <w:rFonts w:hint="eastAsia"/>
                <w:sz w:val="21"/>
                <w:szCs w:val="21"/>
                <w:lang w:val="zh-CN"/>
              </w:rPr>
              <w:t>1.1078</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hint="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hint="eastAsia" w:eastAsiaTheme="minorEastAsia"/>
                <w:kern w:val="0"/>
                <w:sz w:val="21"/>
                <w:szCs w:val="21"/>
              </w:rPr>
              <w:t>镍及其</w:t>
            </w:r>
            <w:r>
              <w:rPr>
                <w:rFonts w:eastAsiaTheme="minorEastAsia"/>
                <w:kern w:val="0"/>
                <w:sz w:val="21"/>
                <w:szCs w:val="21"/>
              </w:rPr>
              <w:t>化合物</w:t>
            </w:r>
          </w:p>
        </w:tc>
        <w:tc>
          <w:tcPr>
            <w:tcW w:w="1551" w:type="dxa"/>
            <w:shd w:val="clear" w:color="auto" w:fill="auto"/>
            <w:vAlign w:val="center"/>
          </w:tcPr>
          <w:p>
            <w:pPr>
              <w:widowControl/>
              <w:spacing w:line="300" w:lineRule="exact"/>
              <w:jc w:val="center"/>
              <w:rPr>
                <w:sz w:val="21"/>
                <w:szCs w:val="21"/>
                <w:lang w:val="zh-CN"/>
              </w:rPr>
            </w:pPr>
            <w:r>
              <w:rPr>
                <w:rFonts w:hint="eastAsia"/>
                <w:sz w:val="21"/>
                <w:szCs w:val="21"/>
                <w:lang w:val="zh-CN"/>
              </w:rPr>
              <w:t>0.705</w:t>
            </w:r>
          </w:p>
        </w:tc>
        <w:tc>
          <w:tcPr>
            <w:tcW w:w="1804" w:type="dxa"/>
            <w:shd w:val="clear" w:color="auto" w:fill="auto"/>
            <w:vAlign w:val="center"/>
          </w:tcPr>
          <w:p>
            <w:pPr>
              <w:widowControl/>
              <w:spacing w:line="300" w:lineRule="exact"/>
              <w:jc w:val="center"/>
              <w:rPr>
                <w:sz w:val="21"/>
                <w:szCs w:val="21"/>
                <w:lang w:val="zh-CN"/>
              </w:rPr>
            </w:pPr>
            <w:r>
              <w:rPr>
                <w:rFonts w:hint="eastAsia"/>
                <w:sz w:val="21"/>
                <w:szCs w:val="21"/>
                <w:lang w:val="zh-CN"/>
              </w:rPr>
              <w:t>0.8959</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hint="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SO</w:t>
            </w:r>
            <w:r>
              <w:rPr>
                <w:rFonts w:eastAsiaTheme="minorEastAsia"/>
                <w:kern w:val="0"/>
                <w:sz w:val="21"/>
                <w:szCs w:val="21"/>
                <w:vertAlign w:val="subscript"/>
              </w:rPr>
              <w:t>2</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12.421</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15.583</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NOx</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19.968</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9.724</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硫酸雾</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0.261</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0.288</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无组织</w:t>
            </w:r>
          </w:p>
        </w:tc>
        <w:tc>
          <w:tcPr>
            <w:tcW w:w="1550" w:type="dxa"/>
            <w:vAlign w:val="center"/>
          </w:tcPr>
          <w:p>
            <w:pPr>
              <w:widowControl/>
              <w:spacing w:line="300" w:lineRule="exact"/>
              <w:jc w:val="center"/>
              <w:rPr>
                <w:rFonts w:eastAsiaTheme="minorEastAsia"/>
                <w:kern w:val="0"/>
                <w:sz w:val="21"/>
                <w:szCs w:val="21"/>
              </w:rPr>
            </w:pPr>
            <w:r>
              <w:rPr>
                <w:rFonts w:eastAsiaTheme="minorEastAsia"/>
                <w:sz w:val="21"/>
                <w:szCs w:val="21"/>
                <w:lang w:val="zh-CN"/>
              </w:rPr>
              <w:t>颗粒物</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10.421</w:t>
            </w:r>
          </w:p>
        </w:tc>
        <w:tc>
          <w:tcPr>
            <w:tcW w:w="1804" w:type="dxa"/>
            <w:shd w:val="clear" w:color="auto" w:fill="auto"/>
            <w:noWrap/>
            <w:vAlign w:val="center"/>
          </w:tcPr>
          <w:p>
            <w:pPr>
              <w:widowControl/>
              <w:spacing w:line="300" w:lineRule="exact"/>
              <w:jc w:val="center"/>
              <w:rPr>
                <w:rFonts w:eastAsiaTheme="minorEastAsia"/>
                <w:kern w:val="0"/>
                <w:sz w:val="21"/>
                <w:szCs w:val="21"/>
              </w:rPr>
            </w:pPr>
            <w:r>
              <w:rPr>
                <w:sz w:val="21"/>
                <w:szCs w:val="21"/>
              </w:rPr>
              <w:t>12.315</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shd w:val="clear" w:color="auto" w:fill="auto"/>
            <w:noWrap/>
            <w:vAlign w:val="center"/>
          </w:tcPr>
          <w:p>
            <w:pPr>
              <w:widowControl/>
              <w:spacing w:line="300" w:lineRule="exact"/>
              <w:jc w:val="center"/>
              <w:rPr>
                <w:rFonts w:eastAsiaTheme="minorEastAsia"/>
                <w:kern w:val="0"/>
                <w:sz w:val="21"/>
                <w:szCs w:val="21"/>
              </w:rPr>
            </w:pPr>
          </w:p>
        </w:tc>
        <w:tc>
          <w:tcPr>
            <w:tcW w:w="1550" w:type="dxa"/>
            <w:vAlign w:val="center"/>
          </w:tcPr>
          <w:p>
            <w:pPr>
              <w:widowControl/>
              <w:spacing w:line="300" w:lineRule="exact"/>
              <w:jc w:val="center"/>
              <w:rPr>
                <w:rFonts w:eastAsiaTheme="minorEastAsia"/>
                <w:sz w:val="21"/>
                <w:szCs w:val="21"/>
                <w:lang w:val="zh-CN"/>
              </w:rPr>
            </w:pPr>
            <w:r>
              <w:rPr>
                <w:rFonts w:hint="eastAsia"/>
                <w:sz w:val="21"/>
                <w:szCs w:val="21"/>
                <w:lang w:val="zh-CN"/>
              </w:rPr>
              <w:t>SO</w:t>
            </w:r>
            <w:r>
              <w:rPr>
                <w:rFonts w:hint="eastAsia"/>
                <w:sz w:val="21"/>
                <w:szCs w:val="21"/>
                <w:vertAlign w:val="subscript"/>
                <w:lang w:val="zh-CN"/>
              </w:rPr>
              <w:t>2</w:t>
            </w:r>
          </w:p>
        </w:tc>
        <w:tc>
          <w:tcPr>
            <w:tcW w:w="1551" w:type="dxa"/>
            <w:shd w:val="clear" w:color="auto" w:fill="auto"/>
            <w:vAlign w:val="center"/>
          </w:tcPr>
          <w:p>
            <w:pPr>
              <w:widowControl/>
              <w:spacing w:line="300" w:lineRule="exact"/>
              <w:jc w:val="center"/>
              <w:rPr>
                <w:sz w:val="21"/>
                <w:szCs w:val="21"/>
                <w:lang w:val="zh-CN"/>
              </w:rPr>
            </w:pPr>
            <w:r>
              <w:rPr>
                <w:sz w:val="21"/>
                <w:szCs w:val="21"/>
                <w:lang w:val="zh-CN"/>
              </w:rPr>
              <w:t>0.12</w:t>
            </w:r>
          </w:p>
        </w:tc>
        <w:tc>
          <w:tcPr>
            <w:tcW w:w="1804" w:type="dxa"/>
            <w:shd w:val="clear" w:color="auto" w:fill="auto"/>
            <w:noWrap/>
            <w:vAlign w:val="center"/>
          </w:tcPr>
          <w:p>
            <w:pPr>
              <w:widowControl/>
              <w:spacing w:line="300" w:lineRule="exact"/>
              <w:jc w:val="center"/>
              <w:rPr>
                <w:sz w:val="21"/>
                <w:szCs w:val="21"/>
              </w:rPr>
            </w:pPr>
            <w:r>
              <w:rPr>
                <w:sz w:val="21"/>
                <w:szCs w:val="21"/>
                <w:lang w:val="zh-CN"/>
              </w:rPr>
              <w:t>0.134</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hint="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shd w:val="clear" w:color="auto" w:fill="auto"/>
            <w:noWrap/>
            <w:vAlign w:val="center"/>
          </w:tcPr>
          <w:p>
            <w:pPr>
              <w:widowControl/>
              <w:spacing w:line="300" w:lineRule="exact"/>
              <w:jc w:val="center"/>
              <w:rPr>
                <w:rFonts w:eastAsiaTheme="minorEastAsia"/>
                <w:kern w:val="0"/>
                <w:sz w:val="21"/>
                <w:szCs w:val="21"/>
              </w:rPr>
            </w:pPr>
          </w:p>
        </w:tc>
        <w:tc>
          <w:tcPr>
            <w:tcW w:w="1550" w:type="dxa"/>
            <w:vAlign w:val="center"/>
          </w:tcPr>
          <w:p>
            <w:pPr>
              <w:widowControl/>
              <w:spacing w:line="300" w:lineRule="exact"/>
              <w:jc w:val="center"/>
              <w:rPr>
                <w:rFonts w:eastAsiaTheme="minorEastAsia"/>
                <w:sz w:val="21"/>
                <w:szCs w:val="21"/>
                <w:lang w:val="zh-CN"/>
              </w:rPr>
            </w:pPr>
            <w:r>
              <w:rPr>
                <w:rFonts w:hint="eastAsia"/>
                <w:sz w:val="21"/>
                <w:szCs w:val="21"/>
                <w:lang w:val="zh-CN"/>
              </w:rPr>
              <w:t>NO</w:t>
            </w:r>
            <w:r>
              <w:rPr>
                <w:sz w:val="21"/>
                <w:szCs w:val="21"/>
                <w:lang w:val="zh-CN"/>
              </w:rPr>
              <w:t>x</w:t>
            </w:r>
          </w:p>
        </w:tc>
        <w:tc>
          <w:tcPr>
            <w:tcW w:w="1551" w:type="dxa"/>
            <w:shd w:val="clear" w:color="auto" w:fill="auto"/>
            <w:vAlign w:val="center"/>
          </w:tcPr>
          <w:p>
            <w:pPr>
              <w:widowControl/>
              <w:spacing w:line="300" w:lineRule="exact"/>
              <w:jc w:val="center"/>
              <w:rPr>
                <w:sz w:val="21"/>
                <w:szCs w:val="21"/>
                <w:lang w:val="zh-CN"/>
              </w:rPr>
            </w:pPr>
            <w:r>
              <w:rPr>
                <w:sz w:val="21"/>
                <w:szCs w:val="21"/>
                <w:lang w:val="zh-CN"/>
              </w:rPr>
              <w:t>0.677</w:t>
            </w:r>
          </w:p>
        </w:tc>
        <w:tc>
          <w:tcPr>
            <w:tcW w:w="1804" w:type="dxa"/>
            <w:shd w:val="clear" w:color="auto" w:fill="auto"/>
            <w:noWrap/>
            <w:vAlign w:val="center"/>
          </w:tcPr>
          <w:p>
            <w:pPr>
              <w:widowControl/>
              <w:spacing w:line="300" w:lineRule="exact"/>
              <w:jc w:val="center"/>
              <w:rPr>
                <w:sz w:val="21"/>
                <w:szCs w:val="21"/>
              </w:rPr>
            </w:pPr>
            <w:r>
              <w:rPr>
                <w:sz w:val="21"/>
                <w:szCs w:val="21"/>
                <w:lang w:val="zh-CN"/>
              </w:rPr>
              <w:t>0.75</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hint="eastAsia"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vAlign w:val="center"/>
          </w:tcPr>
          <w:p>
            <w:pPr>
              <w:widowControl/>
              <w:spacing w:line="300" w:lineRule="exact"/>
              <w:jc w:val="center"/>
              <w:rPr>
                <w:rFonts w:eastAsiaTheme="minorEastAsia"/>
                <w:kern w:val="0"/>
                <w:sz w:val="21"/>
                <w:szCs w:val="21"/>
              </w:rPr>
            </w:pPr>
            <w:r>
              <w:rPr>
                <w:rFonts w:eastAsiaTheme="minorEastAsia"/>
                <w:sz w:val="21"/>
                <w:szCs w:val="21"/>
                <w:lang w:val="zh-CN"/>
              </w:rPr>
              <w:t>硫酸雾</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0.174</w:t>
            </w:r>
          </w:p>
        </w:tc>
        <w:tc>
          <w:tcPr>
            <w:tcW w:w="1804" w:type="dxa"/>
            <w:shd w:val="clear" w:color="auto" w:fill="auto"/>
            <w:noWrap/>
            <w:vAlign w:val="center"/>
          </w:tcPr>
          <w:p>
            <w:pPr>
              <w:widowControl/>
              <w:spacing w:line="300" w:lineRule="exact"/>
              <w:jc w:val="center"/>
              <w:rPr>
                <w:rFonts w:eastAsiaTheme="minorEastAsia"/>
                <w:kern w:val="0"/>
                <w:sz w:val="21"/>
                <w:szCs w:val="21"/>
              </w:rPr>
            </w:pPr>
            <w:r>
              <w:rPr>
                <w:sz w:val="21"/>
                <w:szCs w:val="21"/>
                <w:lang w:val="zh-CN"/>
              </w:rPr>
              <w:t>0.191</w:t>
            </w:r>
          </w:p>
        </w:tc>
        <w:tc>
          <w:tcPr>
            <w:tcW w:w="2348" w:type="dxa"/>
            <w:shd w:val="clear" w:color="auto" w:fill="auto"/>
            <w:noWrap/>
            <w:vAlign w:val="bottom"/>
          </w:tcPr>
          <w:p>
            <w:pPr>
              <w:widowControl/>
              <w:spacing w:line="300" w:lineRule="exact"/>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vAlign w:val="center"/>
          </w:tcPr>
          <w:p>
            <w:pPr>
              <w:widowControl/>
              <w:spacing w:line="300" w:lineRule="exact"/>
              <w:jc w:val="center"/>
              <w:rPr>
                <w:rFonts w:eastAsiaTheme="minorEastAsia"/>
                <w:kern w:val="0"/>
                <w:sz w:val="21"/>
                <w:szCs w:val="21"/>
              </w:rPr>
            </w:pPr>
            <w:r>
              <w:rPr>
                <w:rFonts w:eastAsiaTheme="minorEastAsia"/>
                <w:sz w:val="21"/>
                <w:szCs w:val="21"/>
                <w:lang w:val="zh-CN"/>
              </w:rPr>
              <w:t>HF</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lang w:val="zh-CN"/>
              </w:rPr>
              <w:t>7.537</w:t>
            </w:r>
          </w:p>
        </w:tc>
        <w:tc>
          <w:tcPr>
            <w:tcW w:w="1804" w:type="dxa"/>
            <w:shd w:val="clear" w:color="auto" w:fill="auto"/>
            <w:noWrap/>
            <w:vAlign w:val="center"/>
          </w:tcPr>
          <w:p>
            <w:pPr>
              <w:widowControl/>
              <w:spacing w:line="300" w:lineRule="exact"/>
              <w:jc w:val="center"/>
              <w:rPr>
                <w:rFonts w:eastAsiaTheme="minorEastAsia"/>
                <w:kern w:val="0"/>
                <w:sz w:val="21"/>
                <w:szCs w:val="21"/>
              </w:rPr>
            </w:pPr>
            <w:r>
              <w:rPr>
                <w:sz w:val="21"/>
                <w:szCs w:val="21"/>
                <w:lang w:val="zh-CN"/>
              </w:rPr>
              <w:t>8.292</w:t>
            </w:r>
          </w:p>
        </w:tc>
        <w:tc>
          <w:tcPr>
            <w:tcW w:w="2348" w:type="dxa"/>
            <w:shd w:val="clear" w:color="auto" w:fill="auto"/>
            <w:noWrap/>
            <w:vAlign w:val="bottom"/>
          </w:tcPr>
          <w:p>
            <w:pPr>
              <w:widowControl/>
              <w:spacing w:line="300" w:lineRule="exact"/>
              <w:jc w:val="center"/>
              <w:rPr>
                <w:rFonts w:eastAsia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restart"/>
            <w:shd w:val="clear" w:color="auto" w:fill="auto"/>
            <w:noWrap/>
            <w:vAlign w:val="center"/>
          </w:tcPr>
          <w:p>
            <w:pPr>
              <w:widowControl/>
              <w:spacing w:line="300" w:lineRule="exact"/>
              <w:jc w:val="center"/>
              <w:rPr>
                <w:rFonts w:eastAsiaTheme="minorEastAsia"/>
                <w:kern w:val="0"/>
                <w:sz w:val="21"/>
                <w:szCs w:val="21"/>
              </w:rPr>
            </w:pPr>
            <w:r>
              <w:rPr>
                <w:rFonts w:eastAsiaTheme="minorEastAsia"/>
                <w:kern w:val="0"/>
                <w:sz w:val="21"/>
                <w:szCs w:val="21"/>
              </w:rPr>
              <w:t>合计</w:t>
            </w: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颗粒物</w:t>
            </w:r>
          </w:p>
        </w:tc>
        <w:tc>
          <w:tcPr>
            <w:tcW w:w="1551" w:type="dxa"/>
            <w:shd w:val="clear" w:color="auto" w:fill="auto"/>
            <w:noWrap/>
            <w:vAlign w:val="center"/>
          </w:tcPr>
          <w:p>
            <w:pPr>
              <w:widowControl/>
              <w:spacing w:line="300" w:lineRule="exact"/>
              <w:jc w:val="center"/>
              <w:rPr>
                <w:rFonts w:eastAsiaTheme="minorEastAsia"/>
                <w:kern w:val="0"/>
                <w:sz w:val="21"/>
                <w:szCs w:val="21"/>
              </w:rPr>
            </w:pPr>
            <w:r>
              <w:rPr>
                <w:sz w:val="21"/>
                <w:szCs w:val="21"/>
              </w:rPr>
              <w:t>32.139</w:t>
            </w:r>
          </w:p>
        </w:tc>
        <w:tc>
          <w:tcPr>
            <w:tcW w:w="1804" w:type="dxa"/>
            <w:shd w:val="clear" w:color="auto" w:fill="auto"/>
            <w:noWrap/>
            <w:vAlign w:val="center"/>
          </w:tcPr>
          <w:p>
            <w:pPr>
              <w:widowControl/>
              <w:spacing w:line="300" w:lineRule="exact"/>
              <w:jc w:val="center"/>
              <w:rPr>
                <w:rFonts w:eastAsiaTheme="minorEastAsia"/>
                <w:kern w:val="0"/>
                <w:sz w:val="21"/>
                <w:szCs w:val="21"/>
              </w:rPr>
            </w:pPr>
            <w:r>
              <w:rPr>
                <w:sz w:val="21"/>
                <w:szCs w:val="21"/>
              </w:rPr>
              <w:t>39.45</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39.4576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氟化物</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rPr>
              <w:t>18.842</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rPr>
              <w:t>23.495</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SO</w:t>
            </w:r>
            <w:r>
              <w:rPr>
                <w:rFonts w:eastAsiaTheme="minorEastAsia"/>
                <w:kern w:val="0"/>
                <w:sz w:val="21"/>
                <w:szCs w:val="21"/>
                <w:vertAlign w:val="subscript"/>
              </w:rPr>
              <w:t>2</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rPr>
              <w:t>12.541</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rPr>
              <w:t>15.717</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23.861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NOx</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rPr>
              <w:t>20.645</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rPr>
              <w:t>10.474</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47.835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vMerge w:val="continue"/>
            <w:vAlign w:val="center"/>
          </w:tcPr>
          <w:p>
            <w:pPr>
              <w:widowControl/>
              <w:spacing w:line="300" w:lineRule="exact"/>
              <w:jc w:val="left"/>
              <w:rPr>
                <w:rFonts w:eastAsiaTheme="minorEastAsia"/>
                <w:kern w:val="0"/>
                <w:sz w:val="21"/>
                <w:szCs w:val="21"/>
              </w:rPr>
            </w:pPr>
          </w:p>
        </w:tc>
        <w:tc>
          <w:tcPr>
            <w:tcW w:w="1550" w:type="dxa"/>
            <w:shd w:val="clear" w:color="auto" w:fill="auto"/>
            <w:vAlign w:val="center"/>
          </w:tcPr>
          <w:p>
            <w:pPr>
              <w:widowControl/>
              <w:spacing w:line="300" w:lineRule="exact"/>
              <w:jc w:val="center"/>
              <w:rPr>
                <w:rFonts w:eastAsiaTheme="minorEastAsia"/>
                <w:kern w:val="0"/>
                <w:sz w:val="21"/>
                <w:szCs w:val="21"/>
              </w:rPr>
            </w:pPr>
            <w:r>
              <w:rPr>
                <w:rFonts w:eastAsiaTheme="minorEastAsia"/>
                <w:kern w:val="0"/>
                <w:sz w:val="21"/>
                <w:szCs w:val="21"/>
              </w:rPr>
              <w:t>硫酸雾</w:t>
            </w:r>
          </w:p>
        </w:tc>
        <w:tc>
          <w:tcPr>
            <w:tcW w:w="1551" w:type="dxa"/>
            <w:shd w:val="clear" w:color="auto" w:fill="auto"/>
            <w:vAlign w:val="center"/>
          </w:tcPr>
          <w:p>
            <w:pPr>
              <w:widowControl/>
              <w:spacing w:line="300" w:lineRule="exact"/>
              <w:jc w:val="center"/>
              <w:rPr>
                <w:rFonts w:eastAsiaTheme="minorEastAsia"/>
                <w:kern w:val="0"/>
                <w:sz w:val="21"/>
                <w:szCs w:val="21"/>
              </w:rPr>
            </w:pPr>
            <w:r>
              <w:rPr>
                <w:sz w:val="21"/>
                <w:szCs w:val="21"/>
              </w:rPr>
              <w:t>0.435</w:t>
            </w:r>
          </w:p>
        </w:tc>
        <w:tc>
          <w:tcPr>
            <w:tcW w:w="1804" w:type="dxa"/>
            <w:shd w:val="clear" w:color="auto" w:fill="auto"/>
            <w:vAlign w:val="center"/>
          </w:tcPr>
          <w:p>
            <w:pPr>
              <w:widowControl/>
              <w:spacing w:line="300" w:lineRule="exact"/>
              <w:jc w:val="center"/>
              <w:rPr>
                <w:rFonts w:eastAsiaTheme="minorEastAsia"/>
                <w:kern w:val="0"/>
                <w:sz w:val="21"/>
                <w:szCs w:val="21"/>
              </w:rPr>
            </w:pPr>
            <w:r>
              <w:rPr>
                <w:sz w:val="21"/>
                <w:szCs w:val="21"/>
              </w:rPr>
              <w:t>0.479</w:t>
            </w:r>
          </w:p>
        </w:tc>
        <w:tc>
          <w:tcPr>
            <w:tcW w:w="2348" w:type="dxa"/>
            <w:shd w:val="clear" w:color="auto" w:fill="auto"/>
            <w:noWrap/>
            <w:vAlign w:val="bottom"/>
          </w:tcPr>
          <w:p>
            <w:pPr>
              <w:widowControl/>
              <w:spacing w:line="300" w:lineRule="exact"/>
              <w:jc w:val="center"/>
              <w:rPr>
                <w:rFonts w:eastAsiaTheme="minorEastAsia"/>
                <w:kern w:val="0"/>
                <w:sz w:val="21"/>
                <w:szCs w:val="21"/>
              </w:rPr>
            </w:pPr>
            <w:r>
              <w:rPr>
                <w:rFonts w:eastAsiaTheme="minorEastAsia"/>
                <w:kern w:val="0"/>
                <w:sz w:val="21"/>
                <w:szCs w:val="21"/>
              </w:rPr>
              <w:t>/</w:t>
            </w:r>
          </w:p>
        </w:tc>
      </w:tr>
    </w:tbl>
    <w:p>
      <w:pPr>
        <w:pStyle w:val="4"/>
        <w:spacing w:line="440" w:lineRule="exact"/>
        <w:rPr>
          <w:rFonts w:ascii="Times New Roman" w:hAnsi="Times New Roman" w:cs="Times New Roman"/>
          <w:spacing w:val="0"/>
        </w:rPr>
      </w:pPr>
      <w:r>
        <w:rPr>
          <w:rFonts w:hint="eastAsia" w:ascii="Times New Roman" w:hAnsi="Times New Roman" w:cs="Times New Roman"/>
          <w:spacing w:val="0"/>
        </w:rPr>
        <w:t>由表</w:t>
      </w:r>
      <w:r>
        <w:rPr>
          <w:rFonts w:ascii="Times New Roman" w:hAnsi="Times New Roman" w:cs="Times New Roman"/>
          <w:spacing w:val="0"/>
        </w:rPr>
        <w:t>3</w:t>
      </w:r>
      <w:r>
        <w:rPr>
          <w:rFonts w:hint="eastAsia" w:ascii="Times New Roman" w:hAnsi="Times New Roman" w:cs="Times New Roman"/>
          <w:spacing w:val="0"/>
        </w:rPr>
        <w:t>-</w:t>
      </w:r>
      <w:r>
        <w:rPr>
          <w:rFonts w:ascii="Times New Roman" w:hAnsi="Times New Roman" w:cs="Times New Roman"/>
          <w:spacing w:val="0"/>
        </w:rPr>
        <w:t>31</w:t>
      </w:r>
      <w:r>
        <w:rPr>
          <w:rFonts w:hint="eastAsia" w:ascii="Times New Roman" w:hAnsi="Times New Roman" w:cs="Times New Roman"/>
          <w:spacing w:val="0"/>
        </w:rPr>
        <w:t>可知，</w:t>
      </w:r>
      <w:r>
        <w:rPr>
          <w:rFonts w:ascii="Times New Roman" w:hAnsi="Times New Roman" w:cs="Times New Roman"/>
          <w:spacing w:val="0"/>
        </w:rPr>
        <w:t>企业现状</w:t>
      </w:r>
      <w:r>
        <w:rPr>
          <w:rFonts w:hint="eastAsia" w:ascii="Times New Roman" w:hAnsi="Times New Roman" w:cs="Times New Roman"/>
          <w:spacing w:val="0"/>
        </w:rPr>
        <w:t>及</w:t>
      </w:r>
      <w:r>
        <w:rPr>
          <w:rFonts w:ascii="Times New Roman" w:hAnsi="Times New Roman" w:cs="Times New Roman"/>
          <w:spacing w:val="0"/>
        </w:rPr>
        <w:t>达产各项废气排放量均在</w:t>
      </w:r>
      <w:r>
        <w:rPr>
          <w:rFonts w:hint="eastAsia" w:ascii="Times New Roman" w:hAnsi="Times New Roman" w:cs="Times New Roman"/>
          <w:spacing w:val="0"/>
        </w:rPr>
        <w:t>排污许可证</w:t>
      </w:r>
      <w:r>
        <w:rPr>
          <w:rFonts w:ascii="Times New Roman" w:hAnsi="Times New Roman" w:cs="Times New Roman"/>
          <w:spacing w:val="0"/>
        </w:rPr>
        <w:t>允许排放量</w:t>
      </w:r>
      <w:r>
        <w:rPr>
          <w:rFonts w:hint="eastAsia" w:ascii="Times New Roman" w:hAnsi="Times New Roman" w:cs="Times New Roman"/>
          <w:spacing w:val="0"/>
        </w:rPr>
        <w:t>内</w:t>
      </w:r>
      <w:r>
        <w:rPr>
          <w:rFonts w:ascii="Times New Roman" w:hAnsi="Times New Roman" w:cs="Times New Roman"/>
          <w:spacing w:val="0"/>
        </w:rPr>
        <w:t>。</w:t>
      </w:r>
    </w:p>
    <w:p>
      <w:pPr>
        <w:pStyle w:val="4"/>
        <w:spacing w:line="440" w:lineRule="exact"/>
        <w:outlineLvl w:val="3"/>
        <w:rPr>
          <w:rFonts w:ascii="Times New Roman" w:hAnsi="Times New Roman" w:cs="Times New Roman"/>
          <w:spacing w:val="0"/>
        </w:rPr>
      </w:pPr>
      <w:r>
        <w:rPr>
          <w:rFonts w:hint="eastAsia" w:ascii="Times New Roman" w:hAnsi="Times New Roman" w:cs="Times New Roman"/>
          <w:spacing w:val="0"/>
        </w:rPr>
        <w:t>2、废水</w:t>
      </w:r>
    </w:p>
    <w:p>
      <w:pPr>
        <w:pStyle w:val="4"/>
        <w:spacing w:line="440" w:lineRule="exact"/>
        <w:rPr>
          <w:rFonts w:ascii="Times New Roman" w:hAnsi="Times New Roman" w:cs="Times New Roman"/>
          <w:spacing w:val="0"/>
        </w:rPr>
      </w:pPr>
      <w:r>
        <w:rPr>
          <w:rFonts w:hint="eastAsia" w:ascii="Times New Roman" w:hAnsi="Times New Roman" w:cs="Times New Roman"/>
          <w:spacing w:val="0"/>
        </w:rPr>
        <w:t>根据企业统计资料，2018年废水排放量为46412t/a，根据凤凰污水处理厂现行出水标准(COD≤50mg/L、氨氮≤5mg/L)核算，COD排环境的量为2.307t/a、氨氮排环境量为0.231t/a，均在排污许可证允许排放量之内(排污许可证允许排放量为：COD5.152t/a、氨氮0.515t/a)。</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根据</w:t>
      </w:r>
      <w:r>
        <w:rPr>
          <w:rFonts w:ascii="Times New Roman" w:hAnsi="Times New Roman" w:cs="Times New Roman"/>
          <w:spacing w:val="0"/>
        </w:rPr>
        <w:t>调查，</w:t>
      </w:r>
      <w:r>
        <w:rPr>
          <w:rFonts w:hint="eastAsia" w:ascii="Times New Roman" w:hAnsi="Times New Roman" w:cs="Times New Roman"/>
          <w:spacing w:val="0"/>
        </w:rPr>
        <w:t>企业现状</w:t>
      </w:r>
      <w:r>
        <w:rPr>
          <w:rFonts w:ascii="Times New Roman" w:hAnsi="Times New Roman" w:cs="Times New Roman"/>
          <w:spacing w:val="0"/>
        </w:rPr>
        <w:t>炼钢一厂、炼钢二厂无废水排放</w:t>
      </w:r>
      <w:r>
        <w:rPr>
          <w:rFonts w:hint="eastAsia" w:ascii="Times New Roman" w:hAnsi="Times New Roman" w:cs="Times New Roman"/>
          <w:spacing w:val="0"/>
        </w:rPr>
        <w:t>，</w:t>
      </w:r>
      <w:r>
        <w:rPr>
          <w:rFonts w:ascii="Times New Roman" w:hAnsi="Times New Roman" w:cs="Times New Roman"/>
          <w:spacing w:val="0"/>
        </w:rPr>
        <w:t>轧钢厂有部分浊环水排放；精整酸洗车间废水经酸洗废水处理站处理后回用，钢渣车间无废水排放，</w:t>
      </w:r>
      <w:r>
        <w:rPr>
          <w:rFonts w:hint="eastAsia" w:ascii="Times New Roman" w:hAnsi="Times New Roman" w:cs="Times New Roman"/>
          <w:spacing w:val="0"/>
        </w:rPr>
        <w:t>另外</w:t>
      </w:r>
      <w:r>
        <w:rPr>
          <w:rFonts w:ascii="Times New Roman" w:hAnsi="Times New Roman" w:cs="Times New Roman"/>
          <w:spacing w:val="0"/>
        </w:rPr>
        <w:t>员工生活及食堂产生生活污水。</w:t>
      </w:r>
      <w:r>
        <w:rPr>
          <w:rFonts w:hint="eastAsia" w:ascii="Times New Roman" w:hAnsi="Times New Roman" w:cs="Times New Roman"/>
          <w:spacing w:val="0"/>
        </w:rPr>
        <w:t>根据现状达产时水平衡图</w:t>
      </w:r>
      <w:r>
        <w:rPr>
          <w:rFonts w:ascii="Times New Roman" w:hAnsi="Times New Roman" w:cs="Times New Roman"/>
          <w:spacing w:val="0"/>
        </w:rPr>
        <w:t>，达产时企业废水总</w:t>
      </w:r>
      <w:r>
        <w:rPr>
          <w:rFonts w:hint="eastAsia" w:ascii="Times New Roman" w:hAnsi="Times New Roman" w:cs="Times New Roman"/>
          <w:spacing w:val="0"/>
        </w:rPr>
        <w:t>排放量</w:t>
      </w:r>
      <w:r>
        <w:rPr>
          <w:rFonts w:ascii="Times New Roman" w:hAnsi="Times New Roman" w:cs="Times New Roman"/>
          <w:spacing w:val="0"/>
        </w:rPr>
        <w:t>为47915</w:t>
      </w:r>
      <w:r>
        <w:rPr>
          <w:rFonts w:hint="eastAsia" w:ascii="Times New Roman" w:hAnsi="Times New Roman" w:cs="Times New Roman"/>
          <w:spacing w:val="0"/>
        </w:rPr>
        <w:t>t/a，则达产时COD排环境的量为2.</w:t>
      </w:r>
      <w:r>
        <w:rPr>
          <w:rFonts w:ascii="Times New Roman" w:hAnsi="Times New Roman" w:cs="Times New Roman"/>
          <w:spacing w:val="0"/>
        </w:rPr>
        <w:t>64</w:t>
      </w:r>
      <w:r>
        <w:rPr>
          <w:rFonts w:hint="eastAsia" w:ascii="Times New Roman" w:hAnsi="Times New Roman" w:cs="Times New Roman"/>
          <w:spacing w:val="0"/>
        </w:rPr>
        <w:t>t/a、氨氮排环境量为0.2</w:t>
      </w:r>
      <w:r>
        <w:rPr>
          <w:rFonts w:ascii="Times New Roman" w:hAnsi="Times New Roman" w:cs="Times New Roman"/>
          <w:spacing w:val="0"/>
        </w:rPr>
        <w:t>64</w:t>
      </w:r>
      <w:r>
        <w:rPr>
          <w:rFonts w:hint="eastAsia" w:ascii="Times New Roman" w:hAnsi="Times New Roman" w:cs="Times New Roman"/>
          <w:spacing w:val="0"/>
        </w:rPr>
        <w:t>t/a，未超核定总量。</w:t>
      </w:r>
    </w:p>
    <w:p>
      <w:pPr>
        <w:pStyle w:val="4"/>
        <w:spacing w:line="480" w:lineRule="exact"/>
        <w:rPr>
          <w:rFonts w:ascii="Times New Roman" w:hAnsi="Times New Roman" w:cs="Times New Roman"/>
          <w:spacing w:val="0"/>
        </w:rPr>
      </w:pPr>
      <w:r>
        <w:rPr>
          <w:rFonts w:ascii="Times New Roman" w:hAnsi="Times New Roman" w:cs="Times New Roman"/>
          <w:spacing w:val="0"/>
        </w:rPr>
        <w:t>为了解</w:t>
      </w:r>
      <w:r>
        <w:rPr>
          <w:rFonts w:hint="eastAsia" w:ascii="Times New Roman" w:hAnsi="Times New Roman" w:cs="Times New Roman"/>
          <w:spacing w:val="0"/>
        </w:rPr>
        <w:t>企业</w:t>
      </w:r>
      <w:r>
        <w:rPr>
          <w:rFonts w:ascii="Times New Roman" w:hAnsi="Times New Roman" w:cs="Times New Roman"/>
          <w:spacing w:val="0"/>
        </w:rPr>
        <w:t>现有水污染物的达标性，</w:t>
      </w:r>
      <w:r>
        <w:rPr>
          <w:rFonts w:hint="eastAsia" w:ascii="Times New Roman" w:hAnsi="Times New Roman" w:cs="Times New Roman"/>
          <w:spacing w:val="0"/>
        </w:rPr>
        <w:t>本环评引用2</w:t>
      </w:r>
      <w:r>
        <w:rPr>
          <w:rFonts w:ascii="Times New Roman" w:hAnsi="Times New Roman" w:cs="Times New Roman"/>
          <w:spacing w:val="0"/>
        </w:rPr>
        <w:t>01</w:t>
      </w:r>
      <w:r>
        <w:rPr>
          <w:rFonts w:hint="eastAsia" w:ascii="Times New Roman" w:hAnsi="Times New Roman" w:cs="Times New Roman"/>
          <w:spacing w:val="0"/>
        </w:rPr>
        <w:t>8年</w:t>
      </w:r>
      <w:r>
        <w:rPr>
          <w:rFonts w:ascii="Times New Roman" w:hAnsi="Times New Roman" w:cs="Times New Roman"/>
          <w:spacing w:val="0"/>
        </w:rPr>
        <w:t>监督性监测数据</w:t>
      </w:r>
      <w:r>
        <w:rPr>
          <w:rFonts w:hint="eastAsia" w:ascii="Times New Roman" w:hAnsi="Times New Roman" w:cs="Times New Roman"/>
          <w:spacing w:val="0"/>
        </w:rPr>
        <w:t>、《</w:t>
      </w:r>
      <w:r>
        <w:rPr>
          <w:rFonts w:ascii="Times New Roman" w:hAnsi="Times New Roman" w:cs="Times New Roman"/>
          <w:spacing w:val="0"/>
        </w:rPr>
        <w:t>年产</w:t>
      </w:r>
      <w:r>
        <w:rPr>
          <w:rFonts w:hint="eastAsia" w:ascii="Times New Roman" w:hAnsi="Times New Roman" w:cs="Times New Roman"/>
          <w:spacing w:val="0"/>
        </w:rPr>
        <w:t>25万</w:t>
      </w:r>
      <w:r>
        <w:rPr>
          <w:rFonts w:ascii="Times New Roman" w:hAnsi="Times New Roman" w:cs="Times New Roman"/>
          <w:spacing w:val="0"/>
        </w:rPr>
        <w:t>吨高品质不锈钢和特种合金棒线项目竣工环境保护验收监测数据</w:t>
      </w:r>
      <w:r>
        <w:rPr>
          <w:rFonts w:hint="eastAsia" w:ascii="Times New Roman" w:hAnsi="Times New Roman" w:cs="Times New Roman"/>
          <w:spacing w:val="0"/>
        </w:rPr>
        <w:t>》进行评价</w:t>
      </w:r>
      <w:r>
        <w:rPr>
          <w:rFonts w:ascii="Times New Roman" w:hAnsi="Times New Roman" w:cs="Times New Roman"/>
          <w:spacing w:val="0"/>
        </w:rPr>
        <w:t>，</w:t>
      </w:r>
      <w:r>
        <w:rPr>
          <w:rFonts w:hint="eastAsia" w:ascii="Times New Roman" w:hAnsi="Times New Roman" w:cs="Times New Roman"/>
          <w:spacing w:val="0"/>
        </w:rPr>
        <w:t>监测时企业正常生产，轧钢</w:t>
      </w:r>
      <w:r>
        <w:rPr>
          <w:rFonts w:ascii="Times New Roman" w:hAnsi="Times New Roman" w:cs="Times New Roman"/>
          <w:spacing w:val="0"/>
        </w:rPr>
        <w:t>废水监测数据见表3-32</w:t>
      </w:r>
      <w:r>
        <w:rPr>
          <w:rFonts w:hint="eastAsia" w:ascii="Times New Roman" w:hAnsi="Times New Roman" w:cs="Times New Roman"/>
          <w:spacing w:val="0"/>
        </w:rPr>
        <w:t>、</w:t>
      </w:r>
      <w:r>
        <w:rPr>
          <w:rFonts w:ascii="Times New Roman" w:hAnsi="Times New Roman" w:cs="Times New Roman"/>
          <w:spacing w:val="0"/>
        </w:rPr>
        <w:t>企业废水总排口监测数据见表</w:t>
      </w:r>
      <w:r>
        <w:rPr>
          <w:rFonts w:hint="eastAsia" w:ascii="Times New Roman" w:hAnsi="Times New Roman" w:cs="Times New Roman"/>
          <w:spacing w:val="0"/>
        </w:rPr>
        <w:t>3-33</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rPr>
        <w:t>轧钢</w:t>
      </w:r>
      <w:r>
        <w:rPr>
          <w:rFonts w:ascii="Times New Roman" w:hAnsi="Times New Roman"/>
        </w:rPr>
        <w:t>废水监测结果</w:t>
      </w:r>
      <w:r>
        <w:rPr>
          <w:rFonts w:hint="eastAsia" w:ascii="Times New Roman" w:hAnsi="Times New Roman"/>
        </w:rPr>
        <w:t xml:space="preserve">   </w:t>
      </w:r>
      <w:r>
        <w:rPr>
          <w:rFonts w:ascii="Times New Roman" w:hAnsi="Times New Roman"/>
        </w:rPr>
        <w:t>单位：除pH外均为mg/L</w:t>
      </w:r>
    </w:p>
    <w:tbl>
      <w:tblPr>
        <w:tblStyle w:val="87"/>
        <w:tblW w:w="88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3"/>
        <w:gridCol w:w="1064"/>
        <w:gridCol w:w="751"/>
        <w:gridCol w:w="752"/>
        <w:gridCol w:w="752"/>
        <w:gridCol w:w="752"/>
        <w:gridCol w:w="752"/>
        <w:gridCol w:w="752"/>
        <w:gridCol w:w="752"/>
        <w:gridCol w:w="752"/>
        <w:gridCol w:w="593"/>
        <w:gridCol w:w="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restart"/>
            <w:vAlign w:val="center"/>
          </w:tcPr>
          <w:p>
            <w:pPr>
              <w:widowControl/>
              <w:adjustRightInd w:val="0"/>
              <w:snapToGrid w:val="0"/>
              <w:spacing w:line="360" w:lineRule="exact"/>
              <w:jc w:val="center"/>
              <w:rPr>
                <w:rFonts w:eastAsia="宋体"/>
                <w:sz w:val="18"/>
                <w:szCs w:val="18"/>
              </w:rPr>
            </w:pPr>
            <w:r>
              <w:rPr>
                <w:rFonts w:hint="eastAsia" w:eastAsia="宋体"/>
                <w:sz w:val="18"/>
                <w:szCs w:val="18"/>
              </w:rPr>
              <w:t>采样位置</w:t>
            </w:r>
          </w:p>
        </w:tc>
        <w:tc>
          <w:tcPr>
            <w:tcW w:w="1064" w:type="dxa"/>
            <w:vMerge w:val="restart"/>
            <w:vAlign w:val="center"/>
          </w:tcPr>
          <w:p>
            <w:pPr>
              <w:widowControl/>
              <w:adjustRightInd w:val="0"/>
              <w:snapToGrid w:val="0"/>
              <w:spacing w:line="360" w:lineRule="exact"/>
              <w:jc w:val="center"/>
              <w:rPr>
                <w:rFonts w:eastAsia="宋体"/>
                <w:sz w:val="18"/>
                <w:szCs w:val="18"/>
              </w:rPr>
            </w:pPr>
            <w:r>
              <w:rPr>
                <w:rFonts w:hint="eastAsia" w:eastAsia="宋体"/>
                <w:sz w:val="18"/>
                <w:szCs w:val="18"/>
              </w:rPr>
              <w:t>检验项目</w:t>
            </w:r>
          </w:p>
        </w:tc>
        <w:tc>
          <w:tcPr>
            <w:tcW w:w="6015" w:type="dxa"/>
            <w:gridSpan w:val="8"/>
            <w:vAlign w:val="center"/>
          </w:tcPr>
          <w:p>
            <w:pPr>
              <w:widowControl/>
              <w:adjustRightInd w:val="0"/>
              <w:snapToGrid w:val="0"/>
              <w:spacing w:line="360" w:lineRule="exact"/>
              <w:jc w:val="center"/>
              <w:rPr>
                <w:rFonts w:eastAsia="宋体"/>
                <w:sz w:val="18"/>
                <w:szCs w:val="18"/>
              </w:rPr>
            </w:pPr>
            <w:r>
              <w:rPr>
                <w:rFonts w:hint="eastAsia" w:eastAsia="宋体"/>
                <w:sz w:val="18"/>
                <w:szCs w:val="18"/>
              </w:rPr>
              <w:t>监测结果</w:t>
            </w:r>
          </w:p>
        </w:tc>
        <w:tc>
          <w:tcPr>
            <w:tcW w:w="593" w:type="dxa"/>
            <w:vMerge w:val="restart"/>
            <w:vAlign w:val="center"/>
          </w:tcPr>
          <w:p>
            <w:pPr>
              <w:widowControl/>
              <w:adjustRightInd w:val="0"/>
              <w:snapToGrid w:val="0"/>
              <w:spacing w:line="360" w:lineRule="exact"/>
              <w:jc w:val="center"/>
              <w:rPr>
                <w:rFonts w:eastAsia="宋体"/>
                <w:sz w:val="18"/>
                <w:szCs w:val="18"/>
              </w:rPr>
            </w:pPr>
            <w:r>
              <w:rPr>
                <w:rFonts w:hint="eastAsia" w:eastAsia="宋体"/>
                <w:sz w:val="18"/>
                <w:szCs w:val="18"/>
              </w:rPr>
              <w:t>标准限值</w:t>
            </w:r>
          </w:p>
        </w:tc>
        <w:tc>
          <w:tcPr>
            <w:tcW w:w="616" w:type="dxa"/>
            <w:vMerge w:val="restart"/>
            <w:vAlign w:val="center"/>
          </w:tcPr>
          <w:p>
            <w:pPr>
              <w:widowControl/>
              <w:adjustRightInd w:val="0"/>
              <w:snapToGrid w:val="0"/>
              <w:spacing w:line="360" w:lineRule="exact"/>
              <w:jc w:val="center"/>
              <w:rPr>
                <w:rFonts w:eastAsia="宋体"/>
                <w:sz w:val="18"/>
                <w:szCs w:val="18"/>
              </w:rPr>
            </w:pPr>
            <w:r>
              <w:rPr>
                <w:rFonts w:hint="eastAsia" w:eastAsia="宋体"/>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Merge w:val="continue"/>
            <w:vAlign w:val="center"/>
          </w:tcPr>
          <w:p>
            <w:pPr>
              <w:widowControl/>
              <w:adjustRightInd w:val="0"/>
              <w:snapToGrid w:val="0"/>
              <w:spacing w:line="360" w:lineRule="exact"/>
              <w:jc w:val="center"/>
              <w:rPr>
                <w:rFonts w:eastAsia="宋体"/>
                <w:sz w:val="18"/>
                <w:szCs w:val="18"/>
              </w:rPr>
            </w:pP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2</w:t>
            </w:r>
            <w:r>
              <w:rPr>
                <w:rFonts w:eastAsia="宋体"/>
                <w:sz w:val="18"/>
                <w:szCs w:val="18"/>
              </w:rPr>
              <w:t>018.7.5</w:t>
            </w:r>
          </w:p>
        </w:tc>
        <w:tc>
          <w:tcPr>
            <w:tcW w:w="3008"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2018.7.6</w:t>
            </w:r>
          </w:p>
        </w:tc>
        <w:tc>
          <w:tcPr>
            <w:tcW w:w="593" w:type="dxa"/>
            <w:vMerge w:val="continue"/>
            <w:vAlign w:val="center"/>
          </w:tcPr>
          <w:p>
            <w:pPr>
              <w:widowControl/>
              <w:adjustRightInd w:val="0"/>
              <w:snapToGrid w:val="0"/>
              <w:spacing w:line="360" w:lineRule="exact"/>
              <w:jc w:val="center"/>
              <w:rPr>
                <w:rFonts w:eastAsia="宋体"/>
                <w:sz w:val="18"/>
                <w:szCs w:val="18"/>
              </w:rPr>
            </w:pPr>
          </w:p>
        </w:tc>
        <w:tc>
          <w:tcPr>
            <w:tcW w:w="616" w:type="dxa"/>
            <w:vMerge w:val="continue"/>
            <w:vAlign w:val="center"/>
          </w:tcPr>
          <w:p>
            <w:pPr>
              <w:widowControl/>
              <w:adjustRightInd w:val="0"/>
              <w:snapToGrid w:val="0"/>
              <w:spacing w:line="360" w:lineRule="exact"/>
              <w:jc w:val="center"/>
              <w:rPr>
                <w:rFonts w:eastAsia="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restart"/>
            <w:vAlign w:val="center"/>
          </w:tcPr>
          <w:p>
            <w:pPr>
              <w:widowControl/>
              <w:adjustRightInd w:val="0"/>
              <w:snapToGrid w:val="0"/>
              <w:spacing w:line="360" w:lineRule="exact"/>
              <w:jc w:val="center"/>
              <w:rPr>
                <w:rFonts w:eastAsia="宋体"/>
                <w:sz w:val="18"/>
                <w:szCs w:val="18"/>
              </w:rPr>
            </w:pPr>
            <w:r>
              <w:rPr>
                <w:rFonts w:hint="eastAsia" w:eastAsia="宋体"/>
                <w:sz w:val="18"/>
                <w:szCs w:val="18"/>
              </w:rPr>
              <w:t>轧钢废水</w:t>
            </w: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pH值</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7.86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7.84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7.81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7.83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7.77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7.79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7.74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7.80</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悬浮物</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48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52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47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55</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化学需氧量</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31.3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149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145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137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152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173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165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162</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氨氮</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0.946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1.01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0.854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0.961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0.670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0.608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0.792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0.700</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总氮</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1.42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1.55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1.92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1.42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1.86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1.79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1.73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1.71</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石油类</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2.93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3.49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3.10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3.26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3.41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2.57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2.80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3.19</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eastAsia="宋体"/>
                <w:sz w:val="18"/>
                <w:szCs w:val="18"/>
              </w:rPr>
              <w:t>总磷</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0.108</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挥发酚</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0.726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0.901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0.800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0.753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0.901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0.699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1.03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0.881</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总氰化物</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0.020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0.017</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氟化物</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0.648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0.696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0.739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0.702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0.660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0.688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0.644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0.624</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总铁</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0.0974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0.106</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0.168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0.187</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0.182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0.162</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总锌</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＜0.005</w:t>
            </w:r>
          </w:p>
        </w:tc>
        <w:tc>
          <w:tcPr>
            <w:tcW w:w="3008" w:type="dxa"/>
            <w:gridSpan w:val="4"/>
          </w:tcPr>
          <w:p>
            <w:pPr>
              <w:widowControl/>
              <w:adjustRightInd w:val="0"/>
              <w:snapToGrid w:val="0"/>
              <w:spacing w:line="360" w:lineRule="exact"/>
              <w:jc w:val="center"/>
              <w:rPr>
                <w:rFonts w:eastAsia="宋体"/>
                <w:sz w:val="18"/>
                <w:szCs w:val="18"/>
              </w:rPr>
            </w:pPr>
            <w:r>
              <w:rPr>
                <w:rFonts w:hint="eastAsia" w:eastAsia="宋体"/>
                <w:sz w:val="18"/>
                <w:szCs w:val="18"/>
              </w:rPr>
              <w:t>＜0.005</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总铜</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＜0.01</w:t>
            </w:r>
          </w:p>
        </w:tc>
        <w:tc>
          <w:tcPr>
            <w:tcW w:w="3008" w:type="dxa"/>
            <w:gridSpan w:val="4"/>
          </w:tcPr>
          <w:p>
            <w:pPr>
              <w:widowControl/>
              <w:adjustRightInd w:val="0"/>
              <w:snapToGrid w:val="0"/>
              <w:spacing w:line="360" w:lineRule="exact"/>
              <w:jc w:val="center"/>
              <w:rPr>
                <w:rFonts w:eastAsia="宋体"/>
                <w:sz w:val="18"/>
                <w:szCs w:val="18"/>
              </w:rPr>
            </w:pPr>
            <w:r>
              <w:rPr>
                <w:rFonts w:hint="eastAsia" w:eastAsia="宋体"/>
                <w:sz w:val="18"/>
                <w:szCs w:val="18"/>
              </w:rPr>
              <w:t>＜0.01</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c>
          <w:tcPr>
            <w:tcW w:w="616"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总砷</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0.00273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0.00691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0.00354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0.00712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0.00961</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0.0130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0.00693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0.00869</w:t>
            </w:r>
          </w:p>
        </w:tc>
        <w:tc>
          <w:tcPr>
            <w:tcW w:w="593"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0.5</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六价铬</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＜0.004</w:t>
            </w:r>
          </w:p>
        </w:tc>
        <w:tc>
          <w:tcPr>
            <w:tcW w:w="3008" w:type="dxa"/>
            <w:gridSpan w:val="4"/>
          </w:tcPr>
          <w:p>
            <w:pPr>
              <w:widowControl/>
              <w:adjustRightInd w:val="0"/>
              <w:snapToGrid w:val="0"/>
              <w:spacing w:line="360" w:lineRule="exact"/>
              <w:jc w:val="center"/>
              <w:rPr>
                <w:rFonts w:eastAsia="宋体"/>
                <w:sz w:val="18"/>
                <w:szCs w:val="18"/>
              </w:rPr>
            </w:pPr>
            <w:r>
              <w:rPr>
                <w:rFonts w:hint="eastAsia" w:eastAsia="宋体"/>
                <w:sz w:val="18"/>
                <w:szCs w:val="18"/>
              </w:rPr>
              <w:t>＜0.004</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0.5</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总铬</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3</w:t>
            </w:r>
          </w:p>
        </w:tc>
        <w:tc>
          <w:tcPr>
            <w:tcW w:w="3008" w:type="dxa"/>
            <w:gridSpan w:val="4"/>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3</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1.5</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总铅</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0</w:t>
            </w:r>
            <w:r>
              <w:rPr>
                <w:rFonts w:hint="eastAsia" w:eastAsia="宋体"/>
                <w:sz w:val="18"/>
                <w:szCs w:val="18"/>
              </w:rPr>
              <w:t>04</w:t>
            </w:r>
          </w:p>
        </w:tc>
        <w:tc>
          <w:tcPr>
            <w:tcW w:w="3008" w:type="dxa"/>
            <w:gridSpan w:val="4"/>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0</w:t>
            </w:r>
            <w:r>
              <w:rPr>
                <w:rFonts w:hint="eastAsia" w:eastAsia="宋体"/>
                <w:sz w:val="18"/>
                <w:szCs w:val="18"/>
              </w:rPr>
              <w:t>04</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1.0</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总镍</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0.113</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0.0979</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0.0970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0.104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0.0914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0.0830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0.0914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0.0868</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1.0</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总镉</w:t>
            </w:r>
          </w:p>
        </w:tc>
        <w:tc>
          <w:tcPr>
            <w:tcW w:w="751"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0.000322</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0.000345</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0.000298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0.000260</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0.000324</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0.000258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0.000268</w:t>
            </w:r>
          </w:p>
        </w:tc>
        <w:tc>
          <w:tcPr>
            <w:tcW w:w="752"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0.000260</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0.1</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513" w:type="dxa"/>
            <w:vMerge w:val="continue"/>
            <w:vAlign w:val="center"/>
          </w:tcPr>
          <w:p>
            <w:pPr>
              <w:widowControl/>
              <w:adjustRightInd w:val="0"/>
              <w:snapToGrid w:val="0"/>
              <w:spacing w:line="360" w:lineRule="exact"/>
              <w:jc w:val="center"/>
              <w:rPr>
                <w:rFonts w:eastAsia="宋体"/>
                <w:sz w:val="18"/>
                <w:szCs w:val="18"/>
              </w:rPr>
            </w:pPr>
          </w:p>
        </w:tc>
        <w:tc>
          <w:tcPr>
            <w:tcW w:w="1064" w:type="dxa"/>
            <w:vAlign w:val="center"/>
          </w:tcPr>
          <w:p>
            <w:pPr>
              <w:widowControl/>
              <w:adjustRightInd w:val="0"/>
              <w:snapToGrid w:val="0"/>
              <w:spacing w:line="360" w:lineRule="exact"/>
              <w:jc w:val="center"/>
              <w:rPr>
                <w:rFonts w:eastAsia="宋体"/>
                <w:sz w:val="18"/>
                <w:szCs w:val="18"/>
              </w:rPr>
            </w:pPr>
            <w:r>
              <w:rPr>
                <w:rFonts w:hint="eastAsia" w:eastAsia="宋体"/>
                <w:sz w:val="18"/>
                <w:szCs w:val="18"/>
              </w:rPr>
              <w:t>总汞</w:t>
            </w:r>
          </w:p>
        </w:tc>
        <w:tc>
          <w:tcPr>
            <w:tcW w:w="3007"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00</w:t>
            </w:r>
            <w:r>
              <w:rPr>
                <w:rFonts w:hint="eastAsia" w:eastAsia="宋体"/>
                <w:sz w:val="18"/>
                <w:szCs w:val="18"/>
              </w:rPr>
              <w:t>04</w:t>
            </w:r>
          </w:p>
        </w:tc>
        <w:tc>
          <w:tcPr>
            <w:tcW w:w="3008" w:type="dxa"/>
            <w:gridSpan w:val="4"/>
            <w:vAlign w:val="center"/>
          </w:tcPr>
          <w:p>
            <w:pPr>
              <w:widowControl/>
              <w:adjustRightInd w:val="0"/>
              <w:snapToGrid w:val="0"/>
              <w:spacing w:line="360" w:lineRule="exact"/>
              <w:jc w:val="center"/>
              <w:rPr>
                <w:rFonts w:eastAsia="宋体"/>
                <w:sz w:val="18"/>
                <w:szCs w:val="18"/>
              </w:rPr>
            </w:pPr>
            <w:r>
              <w:rPr>
                <w:rFonts w:hint="eastAsia" w:eastAsia="宋体"/>
                <w:sz w:val="18"/>
                <w:szCs w:val="18"/>
              </w:rPr>
              <w:t>＜0.0</w:t>
            </w:r>
            <w:r>
              <w:rPr>
                <w:rFonts w:eastAsia="宋体"/>
                <w:sz w:val="18"/>
                <w:szCs w:val="18"/>
              </w:rPr>
              <w:t>00</w:t>
            </w:r>
            <w:r>
              <w:rPr>
                <w:rFonts w:hint="eastAsia" w:eastAsia="宋体"/>
                <w:sz w:val="18"/>
                <w:szCs w:val="18"/>
              </w:rPr>
              <w:t>04</w:t>
            </w:r>
          </w:p>
        </w:tc>
        <w:tc>
          <w:tcPr>
            <w:tcW w:w="593" w:type="dxa"/>
            <w:vAlign w:val="center"/>
          </w:tcPr>
          <w:p>
            <w:pPr>
              <w:widowControl/>
              <w:adjustRightInd w:val="0"/>
              <w:snapToGrid w:val="0"/>
              <w:spacing w:line="360" w:lineRule="exact"/>
              <w:jc w:val="center"/>
              <w:rPr>
                <w:rFonts w:eastAsia="宋体"/>
                <w:sz w:val="18"/>
                <w:szCs w:val="18"/>
              </w:rPr>
            </w:pPr>
            <w:r>
              <w:rPr>
                <w:rFonts w:eastAsia="宋体"/>
                <w:sz w:val="18"/>
                <w:szCs w:val="18"/>
              </w:rPr>
              <w:t>0.05</w:t>
            </w:r>
          </w:p>
        </w:tc>
        <w:tc>
          <w:tcPr>
            <w:tcW w:w="616" w:type="dxa"/>
          </w:tcPr>
          <w:p>
            <w:pPr>
              <w:widowControl/>
              <w:adjustRightInd w:val="0"/>
              <w:snapToGrid w:val="0"/>
              <w:spacing w:line="360" w:lineRule="exact"/>
              <w:jc w:val="center"/>
              <w:rPr>
                <w:rFonts w:eastAsia="宋体"/>
                <w:sz w:val="18"/>
                <w:szCs w:val="18"/>
              </w:rPr>
            </w:pPr>
            <w:r>
              <w:rPr>
                <w:rFonts w:hint="eastAsia" w:eastAsia="宋体"/>
                <w:sz w:val="18"/>
                <w:szCs w:val="18"/>
              </w:rPr>
              <w:t>达标</w:t>
            </w:r>
          </w:p>
        </w:tc>
      </w:tr>
    </w:tbl>
    <w:p>
      <w:pPr>
        <w:pStyle w:val="313"/>
        <w:tabs>
          <w:tab w:val="clear" w:pos="3908"/>
        </w:tabs>
        <w:ind w:left="1122" w:hanging="561"/>
        <w:rPr>
          <w:rFonts w:ascii="Times New Roman" w:hAnsi="Times New Roman"/>
        </w:rPr>
        <w:sectPr>
          <w:footerReference r:id="rId12" w:type="default"/>
          <w:pgSz w:w="11907" w:h="16840"/>
          <w:pgMar w:top="1531" w:right="1406" w:bottom="1531" w:left="1406" w:header="964" w:footer="851" w:gutter="284"/>
          <w:pgNumType w:fmt="numberInDash"/>
          <w:cols w:space="720" w:num="1"/>
          <w:docGrid w:type="linesAndChars" w:linePitch="421" w:charSpace="640"/>
        </w:sectPr>
      </w:pPr>
    </w:p>
    <w:p>
      <w:pPr>
        <w:pStyle w:val="313"/>
        <w:tabs>
          <w:tab w:val="clear" w:pos="3908"/>
        </w:tabs>
        <w:ind w:left="1122" w:hanging="561"/>
        <w:rPr>
          <w:rFonts w:ascii="Times New Roman" w:hAnsi="Times New Roman"/>
        </w:rPr>
      </w:pPr>
      <w:r>
        <w:rPr>
          <w:rFonts w:hint="eastAsia" w:ascii="Times New Roman" w:hAnsi="Times New Roman"/>
        </w:rPr>
        <w:t>企业</w:t>
      </w:r>
      <w:r>
        <w:rPr>
          <w:rFonts w:ascii="Times New Roman" w:hAnsi="Times New Roman"/>
        </w:rPr>
        <w:t>废水总排口监测结果</w:t>
      </w:r>
      <w:r>
        <w:rPr>
          <w:rFonts w:hint="eastAsia" w:ascii="Times New Roman" w:hAnsi="Times New Roman"/>
        </w:rPr>
        <w:t xml:space="preserve">   </w:t>
      </w:r>
      <w:r>
        <w:rPr>
          <w:rFonts w:ascii="Times New Roman" w:hAnsi="Times New Roman"/>
        </w:rPr>
        <w:t>单位：除pH外均为mg/L</w:t>
      </w:r>
    </w:p>
    <w:tbl>
      <w:tblPr>
        <w:tblStyle w:val="87"/>
        <w:tblW w:w="137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80"/>
        <w:gridCol w:w="1420"/>
        <w:gridCol w:w="1269"/>
        <w:gridCol w:w="1388"/>
        <w:gridCol w:w="810"/>
        <w:gridCol w:w="865"/>
        <w:gridCol w:w="810"/>
        <w:gridCol w:w="810"/>
        <w:gridCol w:w="826"/>
        <w:gridCol w:w="810"/>
        <w:gridCol w:w="810"/>
        <w:gridCol w:w="810"/>
        <w:gridCol w:w="933"/>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restart"/>
            <w:vAlign w:val="center"/>
          </w:tcPr>
          <w:p>
            <w:pPr>
              <w:widowControl/>
              <w:adjustRightInd w:val="0"/>
              <w:snapToGrid w:val="0"/>
              <w:spacing w:line="360" w:lineRule="exact"/>
              <w:jc w:val="center"/>
              <w:rPr>
                <w:rFonts w:eastAsia="宋体"/>
                <w:sz w:val="21"/>
                <w:szCs w:val="21"/>
              </w:rPr>
            </w:pPr>
            <w:r>
              <w:rPr>
                <w:rFonts w:hint="eastAsia" w:eastAsia="宋体"/>
                <w:sz w:val="21"/>
                <w:szCs w:val="21"/>
              </w:rPr>
              <w:t>采样位置</w:t>
            </w:r>
          </w:p>
        </w:tc>
        <w:tc>
          <w:tcPr>
            <w:tcW w:w="1420" w:type="dxa"/>
            <w:vMerge w:val="restart"/>
            <w:vAlign w:val="center"/>
          </w:tcPr>
          <w:p>
            <w:pPr>
              <w:widowControl/>
              <w:adjustRightInd w:val="0"/>
              <w:snapToGrid w:val="0"/>
              <w:spacing w:line="360" w:lineRule="exact"/>
              <w:jc w:val="center"/>
              <w:rPr>
                <w:rFonts w:eastAsia="宋体"/>
                <w:sz w:val="21"/>
                <w:szCs w:val="21"/>
              </w:rPr>
            </w:pPr>
            <w:r>
              <w:rPr>
                <w:rFonts w:hint="eastAsia" w:eastAsia="宋体"/>
                <w:sz w:val="21"/>
                <w:szCs w:val="21"/>
              </w:rPr>
              <w:t>检验项目</w:t>
            </w:r>
          </w:p>
        </w:tc>
        <w:tc>
          <w:tcPr>
            <w:tcW w:w="9208" w:type="dxa"/>
            <w:gridSpan w:val="10"/>
            <w:vAlign w:val="center"/>
          </w:tcPr>
          <w:p>
            <w:pPr>
              <w:widowControl/>
              <w:adjustRightInd w:val="0"/>
              <w:snapToGrid w:val="0"/>
              <w:spacing w:line="360" w:lineRule="exact"/>
              <w:jc w:val="center"/>
              <w:rPr>
                <w:rFonts w:eastAsia="宋体"/>
                <w:sz w:val="21"/>
                <w:szCs w:val="21"/>
              </w:rPr>
            </w:pPr>
            <w:r>
              <w:rPr>
                <w:rFonts w:hint="eastAsia" w:eastAsia="宋体"/>
                <w:sz w:val="21"/>
                <w:szCs w:val="21"/>
              </w:rPr>
              <w:t>监测结果</w:t>
            </w:r>
          </w:p>
        </w:tc>
        <w:tc>
          <w:tcPr>
            <w:tcW w:w="933" w:type="dxa"/>
            <w:vMerge w:val="restart"/>
            <w:vAlign w:val="center"/>
          </w:tcPr>
          <w:p>
            <w:pPr>
              <w:widowControl/>
              <w:adjustRightInd w:val="0"/>
              <w:snapToGrid w:val="0"/>
              <w:spacing w:line="360" w:lineRule="exact"/>
              <w:jc w:val="center"/>
              <w:rPr>
                <w:rFonts w:eastAsia="宋体"/>
                <w:sz w:val="21"/>
                <w:szCs w:val="21"/>
              </w:rPr>
            </w:pPr>
            <w:r>
              <w:rPr>
                <w:rFonts w:hint="eastAsia" w:eastAsia="宋体"/>
                <w:sz w:val="21"/>
                <w:szCs w:val="21"/>
              </w:rPr>
              <w:t>标准限值</w:t>
            </w:r>
          </w:p>
        </w:tc>
        <w:tc>
          <w:tcPr>
            <w:tcW w:w="1027" w:type="dxa"/>
            <w:vMerge w:val="restart"/>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Merge w:val="continue"/>
            <w:vAlign w:val="center"/>
          </w:tcPr>
          <w:p>
            <w:pPr>
              <w:widowControl/>
              <w:adjustRightInd w:val="0"/>
              <w:snapToGrid w:val="0"/>
              <w:spacing w:line="360" w:lineRule="exact"/>
              <w:jc w:val="center"/>
              <w:rPr>
                <w:rFonts w:eastAsia="宋体"/>
                <w:sz w:val="21"/>
                <w:szCs w:val="21"/>
              </w:rPr>
            </w:pPr>
          </w:p>
        </w:tc>
        <w:tc>
          <w:tcPr>
            <w:tcW w:w="2657" w:type="dxa"/>
            <w:gridSpan w:val="2"/>
            <w:vAlign w:val="center"/>
          </w:tcPr>
          <w:p>
            <w:pPr>
              <w:widowControl/>
              <w:adjustRightInd w:val="0"/>
              <w:snapToGrid w:val="0"/>
              <w:spacing w:line="360" w:lineRule="exact"/>
              <w:jc w:val="center"/>
              <w:rPr>
                <w:rFonts w:eastAsia="宋体"/>
                <w:sz w:val="21"/>
                <w:szCs w:val="21"/>
              </w:rPr>
            </w:pPr>
            <w:r>
              <w:rPr>
                <w:rFonts w:hint="eastAsia" w:eastAsia="宋体"/>
                <w:sz w:val="21"/>
                <w:szCs w:val="21"/>
              </w:rPr>
              <w:t>2018.3.9</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2</w:t>
            </w:r>
            <w:r>
              <w:rPr>
                <w:rFonts w:eastAsia="宋体"/>
                <w:sz w:val="21"/>
                <w:szCs w:val="21"/>
              </w:rPr>
              <w:t>018.7.5</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2018.</w:t>
            </w:r>
            <w:r>
              <w:rPr>
                <w:rFonts w:eastAsia="宋体"/>
                <w:sz w:val="21"/>
                <w:szCs w:val="21"/>
              </w:rPr>
              <w:t>7</w:t>
            </w:r>
            <w:r>
              <w:rPr>
                <w:rFonts w:hint="eastAsia" w:eastAsia="宋体"/>
                <w:sz w:val="21"/>
                <w:szCs w:val="21"/>
              </w:rPr>
              <w:t>.6</w:t>
            </w:r>
          </w:p>
        </w:tc>
        <w:tc>
          <w:tcPr>
            <w:tcW w:w="933" w:type="dxa"/>
            <w:vMerge w:val="continue"/>
            <w:vAlign w:val="center"/>
          </w:tcPr>
          <w:p>
            <w:pPr>
              <w:widowControl/>
              <w:adjustRightInd w:val="0"/>
              <w:snapToGrid w:val="0"/>
              <w:spacing w:line="360" w:lineRule="exact"/>
              <w:jc w:val="center"/>
              <w:rPr>
                <w:rFonts w:eastAsia="宋体"/>
                <w:sz w:val="21"/>
                <w:szCs w:val="21"/>
              </w:rPr>
            </w:pPr>
          </w:p>
        </w:tc>
        <w:tc>
          <w:tcPr>
            <w:tcW w:w="1027" w:type="dxa"/>
            <w:vMerge w:val="continue"/>
            <w:vAlign w:val="center"/>
          </w:tcPr>
          <w:p>
            <w:pPr>
              <w:widowControl/>
              <w:adjustRightInd w:val="0"/>
              <w:snapToGrid w:val="0"/>
              <w:spacing w:line="36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restart"/>
            <w:vAlign w:val="center"/>
          </w:tcPr>
          <w:p>
            <w:pPr>
              <w:widowControl/>
              <w:adjustRightInd w:val="0"/>
              <w:snapToGrid w:val="0"/>
              <w:spacing w:line="360" w:lineRule="exact"/>
              <w:jc w:val="center"/>
              <w:rPr>
                <w:rFonts w:eastAsia="宋体"/>
                <w:sz w:val="21"/>
                <w:szCs w:val="21"/>
              </w:rPr>
            </w:pPr>
            <w:r>
              <w:rPr>
                <w:rFonts w:hint="eastAsia" w:eastAsia="宋体"/>
                <w:sz w:val="21"/>
                <w:szCs w:val="21"/>
              </w:rPr>
              <w:t>废水总排口</w:t>
            </w: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pH值</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7.84</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7.81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7.12</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7.17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7.19</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7.15</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7.64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7.58</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7.62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7.55</w:t>
            </w:r>
          </w:p>
        </w:tc>
        <w:tc>
          <w:tcPr>
            <w:tcW w:w="933"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6-9</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悬浮物</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12</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8</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w:t>
            </w:r>
            <w:r>
              <w:rPr>
                <w:rFonts w:eastAsia="宋体"/>
                <w:sz w:val="21"/>
                <w:szCs w:val="21"/>
              </w:rPr>
              <w:t>4</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15</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12</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18</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16</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100</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化学需氧量</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34</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30</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69.0</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71.9</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77.4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75.8</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80.2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72.6</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76.1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70.0</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200</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氨氮</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3.47</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3.12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0.085</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0.091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0.036</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0.061</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0.067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0.103</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0.091</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15</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总氮</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2.53</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3.47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3.08</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3.54</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3.23</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3.14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3.71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2.99</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35</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石油类</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0.06</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0.06</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.04</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.04</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eastAsia="宋体"/>
                <w:sz w:val="21"/>
                <w:szCs w:val="21"/>
              </w:rPr>
              <w:t>总磷</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0.183</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.195</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0.058</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0.049</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0.055</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0.056</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0.056</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0.058</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2.0</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挥发酚</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0.0013</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0.0017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0.160</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0.173</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0.207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0.187</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0.227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0.153</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0.160</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0.133</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总氰化物</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.004</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.004</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0.5</w:t>
            </w:r>
          </w:p>
        </w:tc>
        <w:tc>
          <w:tcPr>
            <w:tcW w:w="1027"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氟化物</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0.22</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0.24</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0.464</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0.492</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0.430</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469</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0.477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0.520</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0.429</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0.473</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20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总铁</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0.380</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0.324</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.03</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w:t>
            </w:r>
            <w:r>
              <w:rPr>
                <w:rFonts w:eastAsia="宋体"/>
                <w:sz w:val="21"/>
                <w:szCs w:val="21"/>
              </w:rPr>
              <w:t>.03</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总锌</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0.030</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0.026</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＜0.005</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＜0.005</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4.0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总铜</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0.006</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0.005</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＜0.01</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＜0.01</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总砷</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0.000693</w:t>
            </w:r>
          </w:p>
        </w:tc>
        <w:tc>
          <w:tcPr>
            <w:tcW w:w="865"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0.000367</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0.000671</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0.000686</w:t>
            </w:r>
          </w:p>
        </w:tc>
        <w:tc>
          <w:tcPr>
            <w:tcW w:w="826"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0.00076</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0.000769</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0.000833</w:t>
            </w:r>
          </w:p>
        </w:tc>
        <w:tc>
          <w:tcPr>
            <w:tcW w:w="81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0.000404</w:t>
            </w:r>
          </w:p>
        </w:tc>
        <w:tc>
          <w:tcPr>
            <w:tcW w:w="933"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0.5</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六价铬</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＜0.004</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0.5</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总铬</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0.016</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0.014</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3</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3</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1.5</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总镍</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0.077</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0.074</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05</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05</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总铅</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w:t>
            </w:r>
            <w:r>
              <w:rPr>
                <w:rFonts w:hint="eastAsia" w:eastAsia="宋体"/>
                <w:sz w:val="21"/>
                <w:szCs w:val="21"/>
              </w:rPr>
              <w:t>04</w:t>
            </w:r>
          </w:p>
        </w:tc>
        <w:tc>
          <w:tcPr>
            <w:tcW w:w="3256" w:type="dxa"/>
            <w:gridSpan w:val="4"/>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w:t>
            </w:r>
            <w:r>
              <w:rPr>
                <w:rFonts w:hint="eastAsia" w:eastAsia="宋体"/>
                <w:sz w:val="21"/>
                <w:szCs w:val="21"/>
              </w:rPr>
              <w:t>04</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1.0</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总镉</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001</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001</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0.1</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180" w:type="dxa"/>
            <w:vMerge w:val="continue"/>
            <w:vAlign w:val="center"/>
          </w:tcPr>
          <w:p>
            <w:pPr>
              <w:widowControl/>
              <w:adjustRightInd w:val="0"/>
              <w:snapToGrid w:val="0"/>
              <w:spacing w:line="360" w:lineRule="exact"/>
              <w:jc w:val="center"/>
              <w:rPr>
                <w:rFonts w:eastAsia="宋体"/>
                <w:sz w:val="21"/>
                <w:szCs w:val="21"/>
              </w:rPr>
            </w:pPr>
          </w:p>
        </w:tc>
        <w:tc>
          <w:tcPr>
            <w:tcW w:w="1420"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总汞</w:t>
            </w:r>
          </w:p>
        </w:tc>
        <w:tc>
          <w:tcPr>
            <w:tcW w:w="1269"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1388" w:type="dxa"/>
            <w:vAlign w:val="center"/>
          </w:tcPr>
          <w:p>
            <w:pPr>
              <w:widowControl/>
              <w:adjustRightInd w:val="0"/>
              <w:snapToGrid w:val="0"/>
              <w:spacing w:line="360" w:lineRule="exact"/>
              <w:jc w:val="center"/>
              <w:rPr>
                <w:rFonts w:eastAsia="宋体"/>
                <w:sz w:val="21"/>
                <w:szCs w:val="21"/>
              </w:rPr>
            </w:pPr>
            <w:r>
              <w:rPr>
                <w:rFonts w:hint="eastAsia" w:eastAsia="宋体"/>
                <w:sz w:val="21"/>
                <w:szCs w:val="21"/>
              </w:rPr>
              <w:t>/</w:t>
            </w:r>
          </w:p>
        </w:tc>
        <w:tc>
          <w:tcPr>
            <w:tcW w:w="3295"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00</w:t>
            </w:r>
            <w:r>
              <w:rPr>
                <w:rFonts w:hint="eastAsia" w:eastAsia="宋体"/>
                <w:sz w:val="21"/>
                <w:szCs w:val="21"/>
              </w:rPr>
              <w:t>04</w:t>
            </w:r>
          </w:p>
        </w:tc>
        <w:tc>
          <w:tcPr>
            <w:tcW w:w="3256" w:type="dxa"/>
            <w:gridSpan w:val="4"/>
            <w:vAlign w:val="center"/>
          </w:tcPr>
          <w:p>
            <w:pPr>
              <w:widowControl/>
              <w:adjustRightInd w:val="0"/>
              <w:snapToGrid w:val="0"/>
              <w:spacing w:line="360" w:lineRule="exact"/>
              <w:jc w:val="center"/>
              <w:rPr>
                <w:rFonts w:eastAsia="宋体"/>
                <w:sz w:val="21"/>
                <w:szCs w:val="21"/>
              </w:rPr>
            </w:pPr>
            <w:r>
              <w:rPr>
                <w:rFonts w:hint="eastAsia" w:eastAsia="宋体"/>
                <w:sz w:val="21"/>
                <w:szCs w:val="21"/>
              </w:rPr>
              <w:t>＜0.0</w:t>
            </w:r>
            <w:r>
              <w:rPr>
                <w:rFonts w:eastAsia="宋体"/>
                <w:sz w:val="21"/>
                <w:szCs w:val="21"/>
              </w:rPr>
              <w:t>00</w:t>
            </w:r>
            <w:r>
              <w:rPr>
                <w:rFonts w:hint="eastAsia" w:eastAsia="宋体"/>
                <w:sz w:val="21"/>
                <w:szCs w:val="21"/>
              </w:rPr>
              <w:t>04</w:t>
            </w:r>
          </w:p>
        </w:tc>
        <w:tc>
          <w:tcPr>
            <w:tcW w:w="933" w:type="dxa"/>
            <w:vAlign w:val="center"/>
          </w:tcPr>
          <w:p>
            <w:pPr>
              <w:widowControl/>
              <w:adjustRightInd w:val="0"/>
              <w:snapToGrid w:val="0"/>
              <w:spacing w:line="360" w:lineRule="exact"/>
              <w:jc w:val="center"/>
              <w:rPr>
                <w:rFonts w:eastAsia="宋体"/>
                <w:sz w:val="21"/>
                <w:szCs w:val="21"/>
              </w:rPr>
            </w:pPr>
            <w:r>
              <w:rPr>
                <w:rFonts w:eastAsia="宋体"/>
                <w:sz w:val="21"/>
                <w:szCs w:val="21"/>
              </w:rPr>
              <w:t>0.05</w:t>
            </w:r>
          </w:p>
        </w:tc>
        <w:tc>
          <w:tcPr>
            <w:tcW w:w="1027" w:type="dxa"/>
          </w:tcPr>
          <w:p>
            <w:pPr>
              <w:widowControl/>
              <w:adjustRightInd w:val="0"/>
              <w:snapToGrid w:val="0"/>
              <w:spacing w:line="360" w:lineRule="exact"/>
              <w:jc w:val="center"/>
              <w:rPr>
                <w:rFonts w:eastAsia="宋体"/>
                <w:sz w:val="21"/>
                <w:szCs w:val="21"/>
              </w:rPr>
            </w:pPr>
            <w:r>
              <w:rPr>
                <w:rFonts w:hint="eastAsia" w:eastAsia="宋体"/>
                <w:sz w:val="21"/>
                <w:szCs w:val="21"/>
              </w:rPr>
              <w:t>达标</w:t>
            </w:r>
          </w:p>
        </w:tc>
      </w:tr>
    </w:tbl>
    <w:p>
      <w:pPr>
        <w:pStyle w:val="4"/>
        <w:spacing w:line="480" w:lineRule="exact"/>
        <w:rPr>
          <w:rFonts w:ascii="Times New Roman" w:hAnsi="Times New Roman" w:cs="Times New Roman"/>
          <w:spacing w:val="0"/>
        </w:rPr>
        <w:sectPr>
          <w:pgSz w:w="16840" w:h="11907" w:orient="landscape"/>
          <w:pgMar w:top="1406" w:right="1531" w:bottom="1406" w:left="1531" w:header="964" w:footer="851" w:gutter="284"/>
          <w:pgNumType w:fmt="numberInDash"/>
          <w:cols w:space="720" w:num="1"/>
          <w:docGrid w:type="linesAndChars" w:linePitch="421" w:charSpace="640"/>
        </w:sectPr>
      </w:pP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rPr>
        <w:t>企业</w:t>
      </w:r>
      <w:r>
        <w:rPr>
          <w:rFonts w:ascii="Times New Roman" w:hAnsi="Times New Roman" w:cs="Times New Roman"/>
          <w:spacing w:val="0"/>
        </w:rPr>
        <w:t>现状废水排放量为</w:t>
      </w:r>
      <w:r>
        <w:rPr>
          <w:rFonts w:hint="eastAsia" w:ascii="Times New Roman" w:hAnsi="Times New Roman" w:cs="Times New Roman"/>
          <w:spacing w:val="0"/>
        </w:rPr>
        <w:t>46412t/a</w:t>
      </w:r>
      <w:r>
        <w:rPr>
          <w:rFonts w:ascii="Times New Roman" w:hAnsi="Times New Roman" w:cs="Times New Roman"/>
          <w:spacing w:val="0"/>
        </w:rPr>
        <w:t>，</w:t>
      </w:r>
      <w:r>
        <w:rPr>
          <w:rFonts w:hint="eastAsia" w:ascii="Times New Roman" w:hAnsi="Times New Roman" w:cs="Times New Roman"/>
          <w:spacing w:val="0"/>
        </w:rPr>
        <w:t>合计粗钢产量</w:t>
      </w:r>
      <w:r>
        <w:rPr>
          <w:rFonts w:ascii="Times New Roman" w:hAnsi="Times New Roman" w:cs="Times New Roman"/>
          <w:spacing w:val="0"/>
        </w:rPr>
        <w:t>为</w:t>
      </w:r>
      <w:r>
        <w:rPr>
          <w:rFonts w:hint="eastAsia" w:ascii="Times New Roman" w:hAnsi="Times New Roman" w:cs="Times New Roman"/>
          <w:spacing w:val="0"/>
        </w:rPr>
        <w:t>29.6万t/a</w:t>
      </w:r>
      <w:r>
        <w:rPr>
          <w:rFonts w:ascii="Times New Roman" w:hAnsi="Times New Roman" w:cs="Times New Roman"/>
          <w:spacing w:val="0"/>
        </w:rPr>
        <w:t>，单位产品基准排水量为</w:t>
      </w:r>
      <w:r>
        <w:rPr>
          <w:rFonts w:hint="eastAsia" w:ascii="Times New Roman" w:hAnsi="Times New Roman" w:cs="Times New Roman"/>
          <w:spacing w:val="0"/>
        </w:rPr>
        <w:t>0.16</w:t>
      </w:r>
      <w:r>
        <w:rPr>
          <w:rFonts w:ascii="Times New Roman" w:hAnsi="Times New Roman" w:cs="Times New Roman"/>
          <w:spacing w:val="0"/>
        </w:rPr>
        <w:t>m</w:t>
      </w:r>
      <w:r>
        <w:rPr>
          <w:rFonts w:ascii="Times New Roman" w:hAnsi="Times New Roman" w:cs="Times New Roman"/>
          <w:spacing w:val="0"/>
          <w:vertAlign w:val="superscript"/>
        </w:rPr>
        <w:t>3</w:t>
      </w:r>
      <w:r>
        <w:rPr>
          <w:rFonts w:ascii="Times New Roman" w:hAnsi="Times New Roman" w:cs="Times New Roman"/>
          <w:spacing w:val="0"/>
        </w:rPr>
        <w:t>/t，小于钢铁联合企业单位产品基准排水量为1.8m</w:t>
      </w:r>
      <w:r>
        <w:rPr>
          <w:rFonts w:ascii="Times New Roman" w:hAnsi="Times New Roman" w:cs="Times New Roman"/>
          <w:spacing w:val="0"/>
          <w:vertAlign w:val="superscript"/>
        </w:rPr>
        <w:t>3</w:t>
      </w:r>
      <w:r>
        <w:rPr>
          <w:rFonts w:ascii="Times New Roman" w:hAnsi="Times New Roman" w:cs="Times New Roman"/>
          <w:spacing w:val="0"/>
        </w:rPr>
        <w:t>/t</w:t>
      </w:r>
      <w:r>
        <w:rPr>
          <w:rFonts w:hint="eastAsia" w:ascii="Times New Roman" w:hAnsi="Times New Roman" w:cs="Times New Roman"/>
          <w:spacing w:val="0"/>
        </w:rPr>
        <w:t>。由表3-32可知</w:t>
      </w:r>
      <w:r>
        <w:rPr>
          <w:rFonts w:ascii="Times New Roman" w:hAnsi="Times New Roman" w:cs="Times New Roman"/>
          <w:spacing w:val="0"/>
        </w:rPr>
        <w:t>，轧钢浊环水排放水一类污染物均能达到</w:t>
      </w:r>
      <w:r>
        <w:rPr>
          <w:rFonts w:ascii="Times New Roman" w:hAnsi="Times New Roman" w:cs="Times New Roman"/>
          <w:spacing w:val="0"/>
          <w:szCs w:val="24"/>
        </w:rPr>
        <w:t>《</w:t>
      </w:r>
      <w:r>
        <w:rPr>
          <w:rFonts w:hint="eastAsia" w:ascii="Times New Roman" w:hAnsi="Times New Roman" w:cs="Times New Roman" w:eastAsiaTheme="minorEastAsia"/>
          <w:spacing w:val="0"/>
          <w:szCs w:val="24"/>
        </w:rPr>
        <w:t>钢铁工业</w:t>
      </w:r>
      <w:r>
        <w:rPr>
          <w:rFonts w:ascii="Times New Roman" w:hAnsi="Times New Roman" w:cs="Times New Roman" w:eastAsiaTheme="minorEastAsia"/>
          <w:spacing w:val="0"/>
          <w:szCs w:val="24"/>
        </w:rPr>
        <w:t>水污染物排放标准》(GB13456-2012)中</w:t>
      </w:r>
      <w:r>
        <w:rPr>
          <w:rFonts w:hint="eastAsia" w:ascii="Times New Roman" w:hAnsi="Times New Roman" w:cs="Times New Roman" w:eastAsiaTheme="minorEastAsia"/>
          <w:spacing w:val="0"/>
          <w:szCs w:val="24"/>
        </w:rPr>
        <w:t>表2生产</w:t>
      </w:r>
      <w:r>
        <w:rPr>
          <w:rFonts w:ascii="Times New Roman" w:hAnsi="Times New Roman" w:cs="Times New Roman" w:eastAsiaTheme="minorEastAsia"/>
          <w:spacing w:val="0"/>
          <w:szCs w:val="24"/>
        </w:rPr>
        <w:t>设施废水排放口要求；</w:t>
      </w:r>
      <w:r>
        <w:rPr>
          <w:rFonts w:hint="eastAsia" w:ascii="Times New Roman" w:hAnsi="Times New Roman" w:cs="Times New Roman"/>
          <w:spacing w:val="0"/>
        </w:rPr>
        <w:t>根据表3-3</w:t>
      </w:r>
      <w:r>
        <w:rPr>
          <w:rFonts w:ascii="Times New Roman" w:hAnsi="Times New Roman" w:cs="Times New Roman"/>
          <w:spacing w:val="0"/>
        </w:rPr>
        <w:t>3</w:t>
      </w:r>
      <w:r>
        <w:rPr>
          <w:rFonts w:hint="eastAsia" w:ascii="Times New Roman" w:hAnsi="Times New Roman" w:cs="Times New Roman"/>
          <w:spacing w:val="0"/>
        </w:rPr>
        <w:t>，</w:t>
      </w:r>
      <w:r>
        <w:rPr>
          <w:rFonts w:ascii="Times New Roman" w:hAnsi="Times New Roman" w:cs="Times New Roman"/>
          <w:spacing w:val="0"/>
          <w:szCs w:val="24"/>
        </w:rPr>
        <w:t>在监测期间，废水总排口中各监测因子的监测值均能达到《</w:t>
      </w:r>
      <w:r>
        <w:rPr>
          <w:rFonts w:hint="eastAsia" w:ascii="Times New Roman" w:hAnsi="Times New Roman" w:cs="Times New Roman" w:eastAsiaTheme="minorEastAsia"/>
          <w:spacing w:val="0"/>
          <w:szCs w:val="24"/>
        </w:rPr>
        <w:t>钢铁工业</w:t>
      </w:r>
      <w:r>
        <w:rPr>
          <w:rFonts w:ascii="Times New Roman" w:hAnsi="Times New Roman" w:cs="Times New Roman" w:eastAsiaTheme="minorEastAsia"/>
          <w:spacing w:val="0"/>
          <w:szCs w:val="24"/>
        </w:rPr>
        <w:t>水污染物排放标准》(GB13456-2012)中</w:t>
      </w:r>
      <w:r>
        <w:rPr>
          <w:rFonts w:hint="eastAsia" w:ascii="Times New Roman" w:hAnsi="Times New Roman" w:cs="Times New Roman" w:eastAsiaTheme="minorEastAsia"/>
          <w:spacing w:val="0"/>
          <w:szCs w:val="24"/>
        </w:rPr>
        <w:t>表2新建</w:t>
      </w:r>
      <w:r>
        <w:rPr>
          <w:rFonts w:ascii="Times New Roman" w:hAnsi="Times New Roman" w:cs="Times New Roman" w:eastAsiaTheme="minorEastAsia"/>
          <w:spacing w:val="0"/>
          <w:szCs w:val="24"/>
        </w:rPr>
        <w:t>企业水污染物排放浓度限值及单位产品基准排水量要求</w:t>
      </w:r>
      <w:r>
        <w:rPr>
          <w:rFonts w:hint="eastAsia" w:ascii="Times New Roman" w:hAnsi="Times New Roman" w:cs="Times New Roman" w:eastAsiaTheme="minorEastAsia"/>
          <w:spacing w:val="0"/>
          <w:szCs w:val="24"/>
        </w:rPr>
        <w:t>。</w:t>
      </w:r>
      <w:r>
        <w:rPr>
          <w:rFonts w:ascii="Times New Roman" w:hAnsi="Times New Roman" w:cs="Times New Roman"/>
          <w:spacing w:val="0"/>
          <w:szCs w:val="24"/>
        </w:rPr>
        <w:t xml:space="preserve"> </w:t>
      </w:r>
    </w:p>
    <w:p>
      <w:pPr>
        <w:pStyle w:val="4"/>
        <w:rPr>
          <w:rFonts w:ascii="Times New Roman" w:hAnsi="Times New Roman" w:cs="Times New Roman"/>
          <w:spacing w:val="0"/>
          <w:szCs w:val="24"/>
        </w:rPr>
      </w:pPr>
      <w:r>
        <w:rPr>
          <w:rFonts w:hint="eastAsia" w:ascii="Times New Roman" w:hAnsi="Times New Roman" w:cs="Times New Roman"/>
          <w:spacing w:val="0"/>
          <w:szCs w:val="24"/>
        </w:rPr>
        <w:t>3、噪声</w:t>
      </w:r>
    </w:p>
    <w:p>
      <w:pPr>
        <w:pStyle w:val="4"/>
        <w:rPr>
          <w:rFonts w:ascii="Times New Roman" w:hAnsi="Times New Roman" w:cs="Times New Roman"/>
          <w:snapToGrid w:val="0"/>
          <w:spacing w:val="0"/>
          <w:kern w:val="0"/>
        </w:rPr>
      </w:pPr>
      <w:r>
        <w:rPr>
          <w:rFonts w:hint="eastAsia" w:ascii="Times New Roman" w:hAnsi="Times New Roman" w:cs="Times New Roman"/>
          <w:snapToGrid w:val="0"/>
          <w:spacing w:val="0"/>
          <w:kern w:val="0"/>
        </w:rPr>
        <w:t>企业正产生产时，两个地块厂界边界噪声监测情况详见表3-</w:t>
      </w:r>
      <w:r>
        <w:rPr>
          <w:rFonts w:ascii="Times New Roman" w:hAnsi="Times New Roman" w:cs="Times New Roman"/>
          <w:snapToGrid w:val="0"/>
          <w:spacing w:val="0"/>
          <w:kern w:val="0"/>
        </w:rPr>
        <w:t>34</w:t>
      </w:r>
      <w:r>
        <w:rPr>
          <w:rFonts w:hint="eastAsia" w:ascii="Times New Roman" w:hAnsi="Times New Roman" w:cs="Times New Roman"/>
          <w:snapToGrid w:val="0"/>
          <w:spacing w:val="0"/>
          <w:kern w:val="0"/>
        </w:rPr>
        <w:t>。</w:t>
      </w:r>
    </w:p>
    <w:p>
      <w:pPr>
        <w:pStyle w:val="313"/>
        <w:tabs>
          <w:tab w:val="clear" w:pos="3908"/>
        </w:tabs>
        <w:ind w:left="1122" w:hanging="561"/>
        <w:rPr>
          <w:rFonts w:ascii="Times New Roman" w:hAnsi="Times New Roman"/>
        </w:rPr>
      </w:pPr>
      <w:r>
        <w:rPr>
          <w:rFonts w:hint="eastAsia" w:ascii="Times New Roman" w:hAnsi="Times New Roman"/>
          <w:lang w:eastAsia="zh-CN"/>
        </w:rPr>
        <w:t>企业噪声</w:t>
      </w:r>
      <w:r>
        <w:rPr>
          <w:rFonts w:ascii="Times New Roman" w:hAnsi="Times New Roman"/>
        </w:rPr>
        <w:t>监测结果</w:t>
      </w:r>
      <w:r>
        <w:rPr>
          <w:rFonts w:hint="eastAsia" w:ascii="Times New Roman" w:hAnsi="Times New Roman"/>
          <w:lang w:eastAsia="zh-CN"/>
        </w:rPr>
        <w:t xml:space="preserve">   </w:t>
      </w:r>
      <w:r>
        <w:rPr>
          <w:rFonts w:ascii="Times New Roman" w:hAnsi="Times New Roman"/>
        </w:rPr>
        <w:t>单位：</w:t>
      </w:r>
      <w:r>
        <w:rPr>
          <w:rFonts w:hint="eastAsia" w:ascii="Times New Roman" w:hAnsi="Times New Roman"/>
          <w:lang w:eastAsia="zh-CN"/>
        </w:rPr>
        <w:t>dB(</w:t>
      </w:r>
      <w:r>
        <w:rPr>
          <w:rFonts w:ascii="Times New Roman" w:hAnsi="Times New Roman"/>
          <w:lang w:eastAsia="zh-CN"/>
        </w:rPr>
        <w:t>A</w:t>
      </w:r>
      <w:r>
        <w:rPr>
          <w:rFonts w:hint="eastAsia" w:ascii="Times New Roman" w:hAnsi="Times New Roman"/>
          <w:lang w:eastAsia="zh-CN"/>
        </w:rPr>
        <w:t>)</w:t>
      </w:r>
    </w:p>
    <w:tbl>
      <w:tblPr>
        <w:tblStyle w:val="87"/>
        <w:tblW w:w="87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
        <w:gridCol w:w="1151"/>
        <w:gridCol w:w="1554"/>
        <w:gridCol w:w="1835"/>
        <w:gridCol w:w="1439"/>
        <w:gridCol w:w="1006"/>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550" w:type="dxa"/>
            <w:gridSpan w:val="2"/>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采样位置</w:t>
            </w:r>
          </w:p>
        </w:tc>
        <w:tc>
          <w:tcPr>
            <w:tcW w:w="1554"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监测时间</w:t>
            </w:r>
          </w:p>
        </w:tc>
        <w:tc>
          <w:tcPr>
            <w:tcW w:w="3274" w:type="dxa"/>
            <w:gridSpan w:val="2"/>
            <w:vAlign w:val="center"/>
          </w:tcPr>
          <w:p>
            <w:pPr>
              <w:widowControl/>
              <w:adjustRightInd w:val="0"/>
              <w:snapToGrid w:val="0"/>
              <w:spacing w:line="320" w:lineRule="exact"/>
              <w:jc w:val="center"/>
              <w:rPr>
                <w:rFonts w:eastAsia="宋体"/>
                <w:sz w:val="21"/>
                <w:szCs w:val="21"/>
              </w:rPr>
            </w:pPr>
            <w:r>
              <w:rPr>
                <w:rFonts w:hint="eastAsia" w:eastAsia="宋体"/>
                <w:sz w:val="21"/>
                <w:szCs w:val="21"/>
              </w:rPr>
              <w:t>监测结果</w:t>
            </w:r>
          </w:p>
        </w:tc>
        <w:tc>
          <w:tcPr>
            <w:tcW w:w="1006"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标准限值</w:t>
            </w:r>
          </w:p>
        </w:tc>
        <w:tc>
          <w:tcPr>
            <w:tcW w:w="1348"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1550" w:type="dxa"/>
            <w:gridSpan w:val="2"/>
            <w:vMerge w:val="continue"/>
            <w:vAlign w:val="center"/>
          </w:tcPr>
          <w:p>
            <w:pPr>
              <w:widowControl/>
              <w:adjustRightInd w:val="0"/>
              <w:snapToGrid w:val="0"/>
              <w:spacing w:line="320" w:lineRule="exact"/>
              <w:jc w:val="center"/>
              <w:rPr>
                <w:rFonts w:eastAsia="宋体"/>
                <w:sz w:val="21"/>
                <w:szCs w:val="21"/>
              </w:rPr>
            </w:pPr>
          </w:p>
        </w:tc>
        <w:tc>
          <w:tcPr>
            <w:tcW w:w="1554" w:type="dxa"/>
            <w:vMerge w:val="continue"/>
            <w:vAlign w:val="center"/>
          </w:tcPr>
          <w:p>
            <w:pPr>
              <w:widowControl/>
              <w:adjustRightInd w:val="0"/>
              <w:snapToGrid w:val="0"/>
              <w:spacing w:line="320" w:lineRule="exact"/>
              <w:jc w:val="center"/>
              <w:rPr>
                <w:rFonts w:eastAsia="宋体"/>
                <w:sz w:val="21"/>
                <w:szCs w:val="21"/>
              </w:rPr>
            </w:pP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2018.9.19</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2018.12.12</w:t>
            </w:r>
          </w:p>
        </w:tc>
        <w:tc>
          <w:tcPr>
            <w:tcW w:w="1006" w:type="dxa"/>
            <w:vMerge w:val="continue"/>
            <w:vAlign w:val="center"/>
          </w:tcPr>
          <w:p>
            <w:pPr>
              <w:widowControl/>
              <w:adjustRightInd w:val="0"/>
              <w:snapToGrid w:val="0"/>
              <w:spacing w:line="320" w:lineRule="exact"/>
              <w:jc w:val="center"/>
              <w:rPr>
                <w:rFonts w:eastAsia="宋体"/>
                <w:sz w:val="21"/>
                <w:szCs w:val="21"/>
              </w:rPr>
            </w:pPr>
          </w:p>
        </w:tc>
        <w:tc>
          <w:tcPr>
            <w:tcW w:w="1348" w:type="dxa"/>
            <w:vMerge w:val="continue"/>
            <w:vAlign w:val="center"/>
          </w:tcPr>
          <w:p>
            <w:pPr>
              <w:widowControl/>
              <w:adjustRightInd w:val="0"/>
              <w:snapToGrid w:val="0"/>
              <w:spacing w:line="32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西地块</w:t>
            </w:r>
          </w:p>
          <w:p>
            <w:pPr>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东厂界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58.8</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55.1</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70</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47.9</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46.7</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南厂界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58.3</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55.6</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65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45.8</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46.4</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西厂界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56.8</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56.3</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65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44.7</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47.2</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北厂界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58.5</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56.3</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70</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43.0</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46.7</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东地块</w:t>
            </w: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东厂界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58.4</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58.0</w:t>
            </w:r>
          </w:p>
        </w:tc>
        <w:tc>
          <w:tcPr>
            <w:tcW w:w="1006" w:type="dxa"/>
            <w:vAlign w:val="center"/>
          </w:tcPr>
          <w:p>
            <w:pPr>
              <w:widowControl/>
              <w:adjustRightInd w:val="0"/>
              <w:snapToGrid w:val="0"/>
              <w:spacing w:line="320" w:lineRule="exact"/>
              <w:jc w:val="center"/>
              <w:rPr>
                <w:rFonts w:eastAsia="宋体"/>
                <w:sz w:val="21"/>
                <w:szCs w:val="21"/>
              </w:rPr>
            </w:pPr>
            <w:r>
              <w:rPr>
                <w:rFonts w:eastAsia="宋体"/>
                <w:sz w:val="21"/>
                <w:szCs w:val="21"/>
              </w:rPr>
              <w:t>70</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45.6</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50.9</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南厂界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57.4</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59.4</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65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46.3</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51.5</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西厂界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58.4</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58.8</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70</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48.4</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50.6</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restart"/>
            <w:vAlign w:val="center"/>
          </w:tcPr>
          <w:p>
            <w:pPr>
              <w:widowControl/>
              <w:adjustRightInd w:val="0"/>
              <w:snapToGrid w:val="0"/>
              <w:spacing w:line="320" w:lineRule="exact"/>
              <w:jc w:val="center"/>
              <w:rPr>
                <w:rFonts w:eastAsia="宋体"/>
                <w:sz w:val="21"/>
                <w:szCs w:val="21"/>
              </w:rPr>
            </w:pPr>
            <w:r>
              <w:rPr>
                <w:rFonts w:hint="eastAsia" w:eastAsia="宋体"/>
                <w:sz w:val="21"/>
                <w:szCs w:val="21"/>
              </w:rPr>
              <w:t>北厂界</w:t>
            </w: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昼间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58.5</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58.4</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65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399" w:type="dxa"/>
            <w:vMerge w:val="continue"/>
            <w:vAlign w:val="center"/>
          </w:tcPr>
          <w:p>
            <w:pPr>
              <w:widowControl/>
              <w:adjustRightInd w:val="0"/>
              <w:snapToGrid w:val="0"/>
              <w:spacing w:line="320" w:lineRule="exact"/>
              <w:jc w:val="center"/>
              <w:rPr>
                <w:rFonts w:eastAsia="宋体"/>
                <w:sz w:val="21"/>
                <w:szCs w:val="21"/>
              </w:rPr>
            </w:pPr>
          </w:p>
        </w:tc>
        <w:tc>
          <w:tcPr>
            <w:tcW w:w="1151" w:type="dxa"/>
            <w:vMerge w:val="continue"/>
            <w:vAlign w:val="center"/>
          </w:tcPr>
          <w:p>
            <w:pPr>
              <w:widowControl/>
              <w:adjustRightInd w:val="0"/>
              <w:snapToGrid w:val="0"/>
              <w:spacing w:line="320" w:lineRule="exact"/>
              <w:jc w:val="center"/>
              <w:rPr>
                <w:rFonts w:eastAsia="宋体"/>
                <w:sz w:val="21"/>
                <w:szCs w:val="21"/>
              </w:rPr>
            </w:pPr>
          </w:p>
        </w:tc>
        <w:tc>
          <w:tcPr>
            <w:tcW w:w="1554"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夜间</w:t>
            </w:r>
          </w:p>
        </w:tc>
        <w:tc>
          <w:tcPr>
            <w:tcW w:w="1835"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44.0</w:t>
            </w:r>
          </w:p>
        </w:tc>
        <w:tc>
          <w:tcPr>
            <w:tcW w:w="1439"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50.3</w:t>
            </w:r>
          </w:p>
        </w:tc>
        <w:tc>
          <w:tcPr>
            <w:tcW w:w="1006"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55</w:t>
            </w:r>
          </w:p>
        </w:tc>
        <w:tc>
          <w:tcPr>
            <w:tcW w:w="1348" w:type="dxa"/>
            <w:vAlign w:val="center"/>
          </w:tcPr>
          <w:p>
            <w:pPr>
              <w:widowControl/>
              <w:adjustRightInd w:val="0"/>
              <w:snapToGrid w:val="0"/>
              <w:spacing w:line="320" w:lineRule="exact"/>
              <w:jc w:val="center"/>
              <w:rPr>
                <w:rFonts w:eastAsia="宋体"/>
                <w:sz w:val="21"/>
                <w:szCs w:val="21"/>
              </w:rPr>
            </w:pPr>
            <w:r>
              <w:rPr>
                <w:rFonts w:hint="eastAsia" w:eastAsia="宋体"/>
                <w:sz w:val="21"/>
                <w:szCs w:val="21"/>
              </w:rPr>
              <w:t>达标</w:t>
            </w:r>
          </w:p>
        </w:tc>
      </w:tr>
    </w:tbl>
    <w:p>
      <w:pPr>
        <w:pStyle w:val="4"/>
        <w:rPr>
          <w:rFonts w:ascii="Times New Roman" w:hAnsi="Times New Roman" w:cs="Times New Roman"/>
          <w:snapToGrid w:val="0"/>
          <w:spacing w:val="0"/>
          <w:kern w:val="0"/>
        </w:rPr>
      </w:pPr>
      <w:r>
        <w:rPr>
          <w:rFonts w:ascii="Times New Roman" w:hAnsi="Times New Roman" w:cs="Times New Roman"/>
          <w:spacing w:val="0"/>
        </w:rPr>
        <w:t>根据</w:t>
      </w:r>
      <w:r>
        <w:rPr>
          <w:rFonts w:hint="eastAsia" w:ascii="Times New Roman" w:hAnsi="Times New Roman" w:cs="Times New Roman"/>
          <w:spacing w:val="0"/>
        </w:rPr>
        <w:t>表3-</w:t>
      </w:r>
      <w:r>
        <w:rPr>
          <w:rFonts w:ascii="Times New Roman" w:hAnsi="Times New Roman" w:cs="Times New Roman"/>
          <w:spacing w:val="0"/>
        </w:rPr>
        <w:t>34</w:t>
      </w:r>
      <w:r>
        <w:rPr>
          <w:rFonts w:hint="eastAsia" w:ascii="Times New Roman" w:hAnsi="Times New Roman" w:cs="Times New Roman"/>
          <w:spacing w:val="0"/>
        </w:rPr>
        <w:t>可知</w:t>
      </w:r>
      <w:r>
        <w:rPr>
          <w:rFonts w:ascii="Times New Roman" w:hAnsi="Times New Roman" w:cs="Times New Roman"/>
          <w:spacing w:val="0"/>
        </w:rPr>
        <w:t>，</w:t>
      </w:r>
      <w:r>
        <w:rPr>
          <w:rFonts w:hint="eastAsia" w:ascii="Times New Roman" w:hAnsi="Times New Roman" w:cs="Times New Roman"/>
          <w:spacing w:val="0"/>
        </w:rPr>
        <w:t>企业正常生产条件下，</w:t>
      </w:r>
      <w:r>
        <w:rPr>
          <w:rFonts w:hint="eastAsia" w:ascii="Times New Roman" w:hAnsi="Times New Roman" w:cs="Times New Roman"/>
          <w:snapToGrid w:val="0"/>
          <w:spacing w:val="0"/>
          <w:kern w:val="0"/>
        </w:rPr>
        <w:t>东地块、西地块厂界噪声能达到</w:t>
      </w:r>
      <w:r>
        <w:rPr>
          <w:rFonts w:ascii="Times New Roman" w:hAnsi="Times New Roman" w:cs="Times New Roman"/>
          <w:spacing w:val="0"/>
        </w:rPr>
        <w:t>《工业企业厂界环境噪声排放标准》（GB12348-2008）中的3类</w:t>
      </w:r>
      <w:r>
        <w:rPr>
          <w:rFonts w:hint="eastAsia" w:ascii="Times New Roman" w:hAnsi="Times New Roman" w:cs="Times New Roman"/>
          <w:spacing w:val="0"/>
        </w:rPr>
        <w:t>、4类</w:t>
      </w:r>
      <w:r>
        <w:rPr>
          <w:rFonts w:ascii="Times New Roman" w:hAnsi="Times New Roman" w:cs="Times New Roman"/>
          <w:spacing w:val="0"/>
        </w:rPr>
        <w:t>标准</w:t>
      </w:r>
      <w:r>
        <w:rPr>
          <w:rFonts w:hint="eastAsia" w:ascii="Times New Roman" w:hAnsi="Times New Roman" w:cs="Times New Roman"/>
          <w:spacing w:val="0"/>
        </w:rPr>
        <w:t>。</w:t>
      </w:r>
    </w:p>
    <w:p>
      <w:pPr>
        <w:pStyle w:val="4"/>
        <w:outlineLvl w:val="3"/>
        <w:rPr>
          <w:rFonts w:ascii="Times New Roman" w:hAnsi="Times New Roman" w:cs="Times New Roman"/>
          <w:spacing w:val="0"/>
        </w:rPr>
      </w:pPr>
      <w:r>
        <w:rPr>
          <w:rFonts w:hint="eastAsia" w:ascii="Times New Roman" w:hAnsi="Times New Roman" w:cs="Times New Roman"/>
          <w:spacing w:val="0"/>
        </w:rPr>
        <w:t>4、固体废物</w:t>
      </w:r>
    </w:p>
    <w:p>
      <w:pPr>
        <w:pStyle w:val="4"/>
        <w:rPr>
          <w:rFonts w:ascii="Times New Roman" w:hAnsi="Times New Roman" w:cs="Times New Roman"/>
          <w:spacing w:val="0"/>
        </w:rPr>
      </w:pPr>
      <w:r>
        <w:rPr>
          <w:rFonts w:hint="eastAsia" w:ascii="Times New Roman" w:hAnsi="Times New Roman"/>
          <w:spacing w:val="0"/>
        </w:rPr>
        <w:t>根据</w:t>
      </w:r>
      <w:r>
        <w:rPr>
          <w:rFonts w:ascii="Times New Roman" w:hAnsi="Times New Roman"/>
          <w:spacing w:val="0"/>
        </w:rPr>
        <w:t>现状调查，企业废酸再生过程</w:t>
      </w:r>
      <w:r>
        <w:rPr>
          <w:rFonts w:hint="eastAsia" w:ascii="Times New Roman" w:hAnsi="Times New Roman"/>
          <w:spacing w:val="0"/>
        </w:rPr>
        <w:t>的</w:t>
      </w:r>
      <w:r>
        <w:rPr>
          <w:rFonts w:ascii="Times New Roman" w:hAnsi="Times New Roman"/>
          <w:spacing w:val="0"/>
        </w:rPr>
        <w:t>离子交换树脂</w:t>
      </w:r>
      <w:r>
        <w:rPr>
          <w:rFonts w:hint="eastAsia" w:ascii="Times New Roman" w:hAnsi="Times New Roman"/>
          <w:spacing w:val="0"/>
        </w:rPr>
        <w:t>企业至今</w:t>
      </w:r>
      <w:r>
        <w:rPr>
          <w:rFonts w:ascii="Times New Roman" w:hAnsi="Times New Roman"/>
          <w:spacing w:val="0"/>
        </w:rPr>
        <w:t>未更换过</w:t>
      </w:r>
      <w:r>
        <w:rPr>
          <w:rFonts w:hint="eastAsia" w:ascii="Times New Roman" w:hAnsi="Times New Roman"/>
          <w:spacing w:val="0"/>
        </w:rPr>
        <w:t>，</w:t>
      </w:r>
      <w:r>
        <w:rPr>
          <w:rFonts w:ascii="Times New Roman" w:hAnsi="Times New Roman"/>
          <w:spacing w:val="0"/>
        </w:rPr>
        <w:t>无废离子交换树脂产生。废酸液再</w:t>
      </w:r>
      <w:r>
        <w:rPr>
          <w:rFonts w:hint="eastAsia" w:ascii="Times New Roman" w:hAnsi="Times New Roman"/>
          <w:spacing w:val="0"/>
        </w:rPr>
        <w:t>生</w:t>
      </w:r>
      <w:r>
        <w:rPr>
          <w:rFonts w:ascii="Times New Roman" w:hAnsi="Times New Roman"/>
          <w:spacing w:val="0"/>
        </w:rPr>
        <w:t>过程中产生的废酸液纳入</w:t>
      </w:r>
      <w:r>
        <w:rPr>
          <w:rFonts w:hint="eastAsia" w:ascii="Times New Roman" w:hAnsi="Times New Roman"/>
          <w:spacing w:val="0"/>
        </w:rPr>
        <w:t>酸洗</w:t>
      </w:r>
      <w:r>
        <w:rPr>
          <w:rFonts w:ascii="Times New Roman" w:hAnsi="Times New Roman"/>
          <w:spacing w:val="0"/>
        </w:rPr>
        <w:t>废水处理站，经处理后回用于酸洗</w:t>
      </w:r>
      <w:r>
        <w:rPr>
          <w:rFonts w:hint="eastAsia" w:ascii="Times New Roman" w:hAnsi="Times New Roman"/>
          <w:spacing w:val="0"/>
        </w:rPr>
        <w:t>。</w:t>
      </w:r>
      <w:r>
        <w:rPr>
          <w:rFonts w:hint="eastAsia" w:ascii="Times New Roman" w:hAnsi="Times New Roman" w:cs="Times New Roman"/>
          <w:spacing w:val="0"/>
        </w:rPr>
        <w:t>企业现有固体废物主要为废包装桶、废包装材料、废润滑油、酸洗废水处理站污泥、槽渣、废耐火材料和生活垃圾等。企业现有各类固体废物处置情况见表3</w:t>
      </w:r>
      <w:r>
        <w:rPr>
          <w:rFonts w:ascii="Times New Roman" w:hAnsi="Times New Roman" w:cs="Times New Roman"/>
          <w:spacing w:val="0"/>
        </w:rPr>
        <w:t>-35</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企业现状</w:t>
      </w:r>
      <w:r>
        <w:rPr>
          <w:rFonts w:ascii="Times New Roman" w:hAnsi="Times New Roman"/>
        </w:rPr>
        <w:t>固体废物产生</w:t>
      </w:r>
      <w:r>
        <w:rPr>
          <w:rFonts w:hint="eastAsia" w:ascii="Times New Roman" w:hAnsi="Times New Roman"/>
          <w:lang w:eastAsia="zh-CN"/>
        </w:rPr>
        <w:t>及处置</w:t>
      </w:r>
      <w:r>
        <w:rPr>
          <w:rFonts w:ascii="Times New Roman" w:hAnsi="Times New Roman"/>
        </w:rPr>
        <w:t>情况</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414"/>
        <w:gridCol w:w="1764"/>
        <w:gridCol w:w="1279"/>
        <w:gridCol w:w="1020"/>
        <w:gridCol w:w="857"/>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固体废物名称</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主要成分</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固废属性</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处置方式</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2018年产生量（t/a）</w:t>
            </w:r>
          </w:p>
        </w:tc>
        <w:tc>
          <w:tcPr>
            <w:tcW w:w="857"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排放量（t/a）</w:t>
            </w: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废包装桶</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含矿物油的铁桶</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危险废物（H</w:t>
            </w:r>
            <w:r>
              <w:rPr>
                <w:rFonts w:ascii="Times New Roman" w:hAnsi="Times New Roman" w:cs="Times New Roman"/>
                <w:spacing w:val="0"/>
                <w:sz w:val="21"/>
                <w:szCs w:val="21"/>
                <w:lang w:val="zh-CN"/>
              </w:rPr>
              <w:t>W49</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900-041-49</w:t>
            </w:r>
            <w:r>
              <w:rPr>
                <w:rFonts w:hint="eastAsia" w:ascii="Times New Roman" w:hAnsi="Times New Roman" w:cs="Times New Roman"/>
                <w:spacing w:val="0"/>
                <w:sz w:val="21"/>
                <w:szCs w:val="21"/>
                <w:lang w:val="zh-CN"/>
              </w:rPr>
              <w:t>）</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5.76</w:t>
            </w:r>
          </w:p>
        </w:tc>
        <w:tc>
          <w:tcPr>
            <w:tcW w:w="857" w:type="dxa"/>
            <w:vMerge w:val="restart"/>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0</w:t>
            </w: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废包装材料</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一般包装材料</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36</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废润滑油、</w:t>
            </w:r>
            <w:r>
              <w:rPr>
                <w:rFonts w:ascii="Times New Roman" w:hAnsi="Times New Roman" w:cs="Times New Roman"/>
                <w:spacing w:val="0"/>
                <w:sz w:val="21"/>
                <w:szCs w:val="21"/>
                <w:lang w:val="zh-CN"/>
              </w:rPr>
              <w:t>废油</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废矿物油</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危险废物（H</w:t>
            </w:r>
            <w:r>
              <w:rPr>
                <w:rFonts w:ascii="Times New Roman" w:hAnsi="Times New Roman" w:cs="Times New Roman"/>
                <w:spacing w:val="0"/>
                <w:sz w:val="21"/>
                <w:szCs w:val="21"/>
                <w:lang w:val="zh-CN"/>
              </w:rPr>
              <w:t>W</w:t>
            </w:r>
            <w:r>
              <w:rPr>
                <w:rFonts w:hint="eastAsia" w:ascii="Times New Roman" w:hAnsi="Times New Roman" w:cs="Times New Roman"/>
                <w:spacing w:val="0"/>
                <w:sz w:val="21"/>
                <w:szCs w:val="21"/>
                <w:lang w:val="zh-CN"/>
              </w:rPr>
              <w:t>08、</w:t>
            </w:r>
            <w:r>
              <w:rPr>
                <w:rFonts w:ascii="Times New Roman" w:hAnsi="Times New Roman" w:cs="Times New Roman"/>
                <w:spacing w:val="0"/>
                <w:sz w:val="21"/>
                <w:szCs w:val="21"/>
                <w:lang w:val="zh-CN"/>
              </w:rPr>
              <w:t>900-</w:t>
            </w:r>
            <w:r>
              <w:rPr>
                <w:rFonts w:hint="eastAsia" w:ascii="Times New Roman" w:hAnsi="Times New Roman" w:cs="Times New Roman"/>
                <w:spacing w:val="0"/>
                <w:sz w:val="21"/>
                <w:szCs w:val="21"/>
                <w:lang w:val="zh-CN"/>
              </w:rPr>
              <w:t>210</w:t>
            </w:r>
            <w:r>
              <w:rPr>
                <w:rFonts w:ascii="Times New Roman" w:hAnsi="Times New Roman" w:cs="Times New Roman"/>
                <w:spacing w:val="0"/>
                <w:sz w:val="21"/>
                <w:szCs w:val="21"/>
                <w:lang w:val="zh-CN"/>
              </w:rPr>
              <w:t>-</w:t>
            </w:r>
            <w:r>
              <w:rPr>
                <w:rFonts w:hint="eastAsia" w:ascii="Times New Roman" w:hAnsi="Times New Roman" w:cs="Times New Roman"/>
                <w:spacing w:val="0"/>
                <w:sz w:val="21"/>
                <w:szCs w:val="21"/>
                <w:lang w:val="zh-CN"/>
              </w:rPr>
              <w:t>08）</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63.12</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rPr>
              <w:t>表面处理污泥(含水率43-45</w:t>
            </w:r>
            <w:r>
              <w:rPr>
                <w:rFonts w:ascii="Times New Roman" w:hAnsi="Times New Roman" w:cs="Times New Roman"/>
                <w:spacing w:val="0"/>
                <w:sz w:val="21"/>
                <w:szCs w:val="21"/>
              </w:rPr>
              <w:t>%</w:t>
            </w:r>
            <w:r>
              <w:rPr>
                <w:rFonts w:hint="eastAsia" w:ascii="Times New Roman" w:hAnsi="Times New Roman" w:cs="Times New Roman"/>
                <w:spacing w:val="0"/>
                <w:sz w:val="21"/>
                <w:szCs w:val="21"/>
              </w:rPr>
              <w:t>)</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酸洗泥</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危险废物（H</w:t>
            </w:r>
            <w:r>
              <w:rPr>
                <w:rFonts w:ascii="Times New Roman" w:hAnsi="Times New Roman" w:cs="Times New Roman"/>
                <w:spacing w:val="0"/>
                <w:sz w:val="21"/>
                <w:szCs w:val="21"/>
                <w:lang w:val="zh-CN"/>
              </w:rPr>
              <w:t>W17</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336-0</w:t>
            </w:r>
            <w:r>
              <w:rPr>
                <w:rFonts w:hint="eastAsia" w:ascii="Times New Roman" w:hAnsi="Times New Roman" w:cs="Times New Roman"/>
                <w:spacing w:val="0"/>
                <w:sz w:val="21"/>
                <w:szCs w:val="21"/>
                <w:lang w:val="zh-CN"/>
              </w:rPr>
              <w:t>64</w:t>
            </w:r>
            <w:r>
              <w:rPr>
                <w:rFonts w:ascii="Times New Roman" w:hAnsi="Times New Roman" w:cs="Times New Roman"/>
                <w:spacing w:val="0"/>
                <w:sz w:val="21"/>
                <w:szCs w:val="21"/>
                <w:lang w:val="zh-CN"/>
              </w:rPr>
              <w:t>-17</w:t>
            </w:r>
            <w:r>
              <w:rPr>
                <w:rFonts w:hint="eastAsia" w:ascii="Times New Roman" w:hAnsi="Times New Roman" w:cs="Times New Roman"/>
                <w:spacing w:val="0"/>
                <w:sz w:val="21"/>
                <w:szCs w:val="21"/>
                <w:lang w:val="zh-CN"/>
              </w:rPr>
              <w:t>）</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9649.1</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酸洗槽槽渣</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槽渣</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危险废物（H</w:t>
            </w:r>
            <w:r>
              <w:rPr>
                <w:rFonts w:ascii="Times New Roman" w:hAnsi="Times New Roman" w:cs="Times New Roman"/>
                <w:spacing w:val="0"/>
                <w:sz w:val="21"/>
                <w:szCs w:val="21"/>
                <w:lang w:val="zh-CN"/>
              </w:rPr>
              <w:t>W17</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336-0</w:t>
            </w:r>
            <w:r>
              <w:rPr>
                <w:rFonts w:hint="eastAsia" w:ascii="Times New Roman" w:hAnsi="Times New Roman" w:cs="Times New Roman"/>
                <w:spacing w:val="0"/>
                <w:sz w:val="21"/>
                <w:szCs w:val="21"/>
                <w:lang w:val="zh-CN"/>
              </w:rPr>
              <w:t>64</w:t>
            </w:r>
            <w:r>
              <w:rPr>
                <w:rFonts w:ascii="Times New Roman" w:hAnsi="Times New Roman" w:cs="Times New Roman"/>
                <w:spacing w:val="0"/>
                <w:sz w:val="21"/>
                <w:szCs w:val="21"/>
                <w:lang w:val="zh-CN"/>
              </w:rPr>
              <w:t>-17</w:t>
            </w:r>
            <w:r>
              <w:rPr>
                <w:rFonts w:hint="eastAsia" w:ascii="Times New Roman" w:hAnsi="Times New Roman" w:cs="Times New Roman"/>
                <w:spacing w:val="0"/>
                <w:sz w:val="21"/>
                <w:szCs w:val="21"/>
                <w:lang w:val="zh-CN"/>
              </w:rPr>
              <w:t>）</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89.56</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除尘灰</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含铬、铁等</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危险废物（H</w:t>
            </w:r>
            <w:r>
              <w:rPr>
                <w:rFonts w:ascii="Times New Roman" w:hAnsi="Times New Roman" w:cs="Times New Roman"/>
                <w:spacing w:val="0"/>
                <w:sz w:val="21"/>
                <w:szCs w:val="21"/>
                <w:lang w:val="zh-CN"/>
              </w:rPr>
              <w:t>W</w:t>
            </w:r>
            <w:r>
              <w:rPr>
                <w:rFonts w:hint="eastAsia" w:ascii="Times New Roman" w:hAnsi="Times New Roman" w:cs="Times New Roman"/>
                <w:spacing w:val="0"/>
                <w:sz w:val="21"/>
                <w:szCs w:val="21"/>
                <w:lang w:val="zh-CN"/>
              </w:rPr>
              <w:t>21、</w:t>
            </w:r>
            <w:r>
              <w:rPr>
                <w:rFonts w:ascii="Times New Roman" w:hAnsi="Times New Roman" w:cs="Times New Roman"/>
                <w:spacing w:val="0"/>
                <w:sz w:val="21"/>
                <w:szCs w:val="21"/>
                <w:lang w:val="zh-CN"/>
              </w:rPr>
              <w:t>3</w:t>
            </w:r>
            <w:r>
              <w:rPr>
                <w:rFonts w:hint="eastAsia" w:ascii="Times New Roman" w:hAnsi="Times New Roman" w:cs="Times New Roman"/>
                <w:spacing w:val="0"/>
                <w:sz w:val="21"/>
                <w:szCs w:val="21"/>
                <w:lang w:val="zh-CN"/>
              </w:rPr>
              <w:t>15</w:t>
            </w:r>
            <w:r>
              <w:rPr>
                <w:rFonts w:ascii="Times New Roman" w:hAnsi="Times New Roman" w:cs="Times New Roman"/>
                <w:spacing w:val="0"/>
                <w:sz w:val="21"/>
                <w:szCs w:val="21"/>
                <w:lang w:val="zh-CN"/>
              </w:rPr>
              <w:t>-0</w:t>
            </w:r>
            <w:r>
              <w:rPr>
                <w:rFonts w:hint="eastAsia" w:ascii="Times New Roman" w:hAnsi="Times New Roman" w:cs="Times New Roman"/>
                <w:spacing w:val="0"/>
                <w:sz w:val="21"/>
                <w:szCs w:val="21"/>
                <w:lang w:val="zh-CN"/>
              </w:rPr>
              <w:t>02</w:t>
            </w:r>
            <w:r>
              <w:rPr>
                <w:rFonts w:ascii="Times New Roman" w:hAnsi="Times New Roman" w:cs="Times New Roman"/>
                <w:spacing w:val="0"/>
                <w:sz w:val="21"/>
                <w:szCs w:val="21"/>
                <w:lang w:val="zh-CN"/>
              </w:rPr>
              <w:t>-</w:t>
            </w:r>
            <w:r>
              <w:rPr>
                <w:rFonts w:hint="eastAsia" w:ascii="Times New Roman" w:hAnsi="Times New Roman" w:cs="Times New Roman"/>
                <w:spacing w:val="0"/>
                <w:sz w:val="21"/>
                <w:szCs w:val="21"/>
                <w:lang w:val="zh-CN"/>
              </w:rPr>
              <w:t>21）</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5265.9</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氧化铁皮</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氧化铁皮</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2301</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切割渣</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切割渣</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644</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sz w:val="21"/>
                <w:szCs w:val="21"/>
              </w:rPr>
              <w:t>废</w:t>
            </w:r>
            <w:r>
              <w:rPr>
                <w:rFonts w:hint="eastAsia"/>
                <w:sz w:val="21"/>
                <w:szCs w:val="21"/>
              </w:rPr>
              <w:t>渣</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炉渣</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4891</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1423" w:type="dxa"/>
            <w:vAlign w:val="center"/>
          </w:tcPr>
          <w:p>
            <w:pPr>
              <w:pStyle w:val="4"/>
              <w:adjustRightInd w:val="0"/>
              <w:snapToGrid w:val="0"/>
              <w:spacing w:line="240" w:lineRule="auto"/>
              <w:ind w:firstLine="0"/>
              <w:jc w:val="center"/>
              <w:rPr>
                <w:sz w:val="21"/>
                <w:szCs w:val="21"/>
              </w:rPr>
            </w:pPr>
            <w:r>
              <w:rPr>
                <w:rFonts w:hint="eastAsia"/>
                <w:sz w:val="21"/>
                <w:szCs w:val="21"/>
              </w:rPr>
              <w:t>修磨屑</w:t>
            </w:r>
          </w:p>
        </w:tc>
        <w:tc>
          <w:tcPr>
            <w:tcW w:w="1414" w:type="dxa"/>
            <w:vAlign w:val="center"/>
          </w:tcPr>
          <w:p>
            <w:pPr>
              <w:pStyle w:val="4"/>
              <w:adjustRightInd w:val="0"/>
              <w:snapToGrid w:val="0"/>
              <w:spacing w:line="240" w:lineRule="auto"/>
              <w:ind w:firstLine="0"/>
              <w:jc w:val="center"/>
              <w:rPr>
                <w:sz w:val="21"/>
                <w:szCs w:val="21"/>
              </w:rPr>
            </w:pPr>
            <w:r>
              <w:rPr>
                <w:rFonts w:hint="eastAsia"/>
                <w:sz w:val="21"/>
                <w:szCs w:val="21"/>
              </w:rPr>
              <w:t>铁屑</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233</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sz w:val="21"/>
                <w:szCs w:val="21"/>
              </w:rPr>
            </w:pPr>
            <w:r>
              <w:rPr>
                <w:rFonts w:hint="eastAsia"/>
                <w:sz w:val="21"/>
                <w:szCs w:val="21"/>
              </w:rPr>
              <w:t>废边角料、废刚盘丝等废铁</w:t>
            </w:r>
          </w:p>
        </w:tc>
        <w:tc>
          <w:tcPr>
            <w:tcW w:w="1414" w:type="dxa"/>
            <w:vAlign w:val="center"/>
          </w:tcPr>
          <w:p>
            <w:pPr>
              <w:pStyle w:val="4"/>
              <w:adjustRightInd w:val="0"/>
              <w:snapToGrid w:val="0"/>
              <w:spacing w:line="240" w:lineRule="auto"/>
              <w:ind w:firstLine="0"/>
              <w:jc w:val="center"/>
              <w:rPr>
                <w:sz w:val="21"/>
                <w:szCs w:val="21"/>
              </w:rPr>
            </w:pPr>
            <w:r>
              <w:rPr>
                <w:rFonts w:hint="eastAsia"/>
                <w:sz w:val="21"/>
                <w:szCs w:val="21"/>
              </w:rPr>
              <w:t>铁屑、铁丝等</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395</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废耐火材料</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废耐火材料</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5743</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废砂轮片</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废砂轮片</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29.7</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废电极</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废电极</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32</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废碳钢</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sz w:val="21"/>
                <w:szCs w:val="21"/>
              </w:rPr>
              <w:t>废碳钢</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收集后外卖处置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489</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sz w:val="21"/>
                <w:szCs w:val="21"/>
              </w:rPr>
            </w:pPr>
            <w:r>
              <w:rPr>
                <w:rFonts w:hint="eastAsia"/>
                <w:sz w:val="21"/>
                <w:szCs w:val="21"/>
              </w:rPr>
              <w:t>废除尘布袋</w:t>
            </w:r>
          </w:p>
        </w:tc>
        <w:tc>
          <w:tcPr>
            <w:tcW w:w="1414" w:type="dxa"/>
            <w:vAlign w:val="center"/>
          </w:tcPr>
          <w:p>
            <w:pPr>
              <w:pStyle w:val="4"/>
              <w:adjustRightInd w:val="0"/>
              <w:snapToGrid w:val="0"/>
              <w:spacing w:line="240" w:lineRule="auto"/>
              <w:ind w:firstLine="0"/>
              <w:jc w:val="center"/>
              <w:rPr>
                <w:sz w:val="21"/>
                <w:szCs w:val="21"/>
              </w:rPr>
            </w:pPr>
            <w:r>
              <w:rPr>
                <w:rFonts w:hint="eastAsia"/>
                <w:sz w:val="21"/>
                <w:szCs w:val="21"/>
              </w:rPr>
              <w:t>沾染</w:t>
            </w:r>
            <w:r>
              <w:rPr>
                <w:sz w:val="21"/>
                <w:szCs w:val="21"/>
              </w:rPr>
              <w:t>除尘灰的废布袋</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危险废物</w:t>
            </w:r>
          </w:p>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（H</w:t>
            </w:r>
            <w:r>
              <w:rPr>
                <w:rFonts w:ascii="Times New Roman" w:hAnsi="Times New Roman" w:cs="Times New Roman"/>
                <w:spacing w:val="0"/>
                <w:sz w:val="21"/>
                <w:szCs w:val="21"/>
                <w:lang w:val="zh-CN"/>
              </w:rPr>
              <w:t>W49</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900-041-49</w:t>
            </w:r>
            <w:r>
              <w:rPr>
                <w:rFonts w:hint="eastAsia" w:ascii="Times New Roman" w:hAnsi="Times New Roman" w:cs="Times New Roman"/>
                <w:spacing w:val="0"/>
                <w:sz w:val="21"/>
                <w:szCs w:val="21"/>
                <w:lang w:val="zh-CN"/>
              </w:rPr>
              <w:t>1）</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委托有资质单位处置</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13.838</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3"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生活垃圾</w:t>
            </w:r>
          </w:p>
        </w:tc>
        <w:tc>
          <w:tcPr>
            <w:tcW w:w="141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生活垃圾</w:t>
            </w:r>
          </w:p>
        </w:tc>
        <w:tc>
          <w:tcPr>
            <w:tcW w:w="1764"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一般固废</w:t>
            </w:r>
          </w:p>
        </w:tc>
        <w:tc>
          <w:tcPr>
            <w:tcW w:w="1279"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环卫部门清运</w:t>
            </w:r>
          </w:p>
        </w:tc>
        <w:tc>
          <w:tcPr>
            <w:tcW w:w="102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126</w:t>
            </w:r>
          </w:p>
        </w:tc>
        <w:tc>
          <w:tcPr>
            <w:tcW w:w="857" w:type="dxa"/>
            <w:vMerge w:val="continue"/>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p>
        </w:tc>
        <w:tc>
          <w:tcPr>
            <w:tcW w:w="1010" w:type="dxa"/>
            <w:vAlign w:val="center"/>
          </w:tcPr>
          <w:p>
            <w:pPr>
              <w:pStyle w:val="4"/>
              <w:adjustRightInd w:val="0"/>
              <w:snapToGrid w:val="0"/>
              <w:spacing w:line="240" w:lineRule="auto"/>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符合</w:t>
            </w:r>
          </w:p>
        </w:tc>
      </w:tr>
    </w:tbl>
    <w:p>
      <w:pPr>
        <w:pStyle w:val="4"/>
        <w:rPr>
          <w:rFonts w:ascii="Times New Roman" w:hAnsi="Times New Roman" w:cs="Times New Roman"/>
          <w:spacing w:val="0"/>
          <w:lang w:val="zh-CN"/>
        </w:rPr>
      </w:pPr>
      <w:r>
        <w:rPr>
          <w:rFonts w:hint="eastAsia" w:ascii="Times New Roman" w:hAnsi="Times New Roman" w:cs="Times New Roman"/>
          <w:spacing w:val="0"/>
          <w:lang w:val="zh-CN"/>
        </w:rPr>
        <w:t>由上表可知，企业现状各项固废处置均符合相关环保要求。</w:t>
      </w:r>
    </w:p>
    <w:p>
      <w:pPr>
        <w:pStyle w:val="4"/>
        <w:rPr>
          <w:rFonts w:ascii="Times New Roman" w:hAnsi="Times New Roman" w:cs="Times New Roman"/>
          <w:spacing w:val="0"/>
          <w:lang w:val="zh-CN"/>
        </w:rPr>
      </w:pPr>
      <w:r>
        <w:rPr>
          <w:rFonts w:hint="eastAsia" w:ascii="Times New Roman" w:hAnsi="Times New Roman" w:cs="Times New Roman"/>
          <w:spacing w:val="0"/>
          <w:lang w:val="zh-CN"/>
        </w:rPr>
        <w:t>企业现状已设立规范化的一般固废暂存场所和危险废物暂存场所，具体详见表3-</w:t>
      </w:r>
      <w:r>
        <w:rPr>
          <w:rFonts w:ascii="Times New Roman" w:hAnsi="Times New Roman" w:cs="Times New Roman"/>
          <w:spacing w:val="0"/>
          <w:lang w:val="zh-CN"/>
        </w:rPr>
        <w:t>35</w:t>
      </w:r>
      <w:r>
        <w:rPr>
          <w:rFonts w:hint="eastAsia" w:ascii="Times New Roman" w:hAnsi="Times New Roman" w:cs="Times New Roman"/>
          <w:spacing w:val="0"/>
          <w:lang w:val="zh-CN"/>
        </w:rPr>
        <w:t>，</w:t>
      </w:r>
      <w:r>
        <w:rPr>
          <w:rFonts w:ascii="Times New Roman" w:hAnsi="Times New Roman" w:cs="Times New Roman"/>
          <w:spacing w:val="0"/>
          <w:lang w:val="zh-CN"/>
        </w:rPr>
        <w:t>具体位置详见图</w:t>
      </w:r>
      <w:r>
        <w:rPr>
          <w:rFonts w:hint="eastAsia" w:ascii="Times New Roman" w:hAnsi="Times New Roman" w:cs="Times New Roman"/>
          <w:spacing w:val="0"/>
          <w:lang w:val="zh-CN"/>
        </w:rPr>
        <w:t>3-1</w:t>
      </w:r>
      <w:r>
        <w:rPr>
          <w:rFonts w:ascii="Times New Roman" w:hAnsi="Times New Roman" w:cs="Times New Roman"/>
          <w:spacing w:val="0"/>
          <w:lang w:val="zh-CN"/>
        </w:rPr>
        <w:t>4</w:t>
      </w:r>
      <w:r>
        <w:rPr>
          <w:rFonts w:hint="eastAsia" w:ascii="Times New Roman" w:hAnsi="Times New Roman" w:cs="Times New Roman"/>
          <w:spacing w:val="0"/>
          <w:lang w:val="zh-CN"/>
        </w:rPr>
        <w:t>。</w:t>
      </w:r>
    </w:p>
    <w:p>
      <w:pPr>
        <w:pStyle w:val="313"/>
        <w:tabs>
          <w:tab w:val="clear" w:pos="3908"/>
        </w:tabs>
        <w:ind w:left="1122" w:hanging="561"/>
        <w:rPr>
          <w:rFonts w:ascii="Times New Roman" w:hAnsi="Times New Roman"/>
        </w:rPr>
      </w:pPr>
      <w:r>
        <w:rPr>
          <w:rFonts w:hint="eastAsia" w:ascii="Times New Roman" w:hAnsi="Times New Roman"/>
          <w:lang w:eastAsia="zh-CN"/>
        </w:rPr>
        <w:t>现状各类固废场所基本信息表</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706"/>
        <w:gridCol w:w="1876"/>
        <w:gridCol w:w="3087"/>
        <w:gridCol w:w="1488"/>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785" w:type="dxa"/>
            <w:tcBorders>
              <w:right w:val="single" w:color="auto" w:sz="2" w:space="0"/>
            </w:tcBorders>
            <w:vAlign w:val="center"/>
          </w:tcPr>
          <w:p>
            <w:pPr>
              <w:pStyle w:val="1614"/>
              <w:spacing w:line="300" w:lineRule="exact"/>
              <w:ind w:left="-141" w:leftChars="-50" w:right="-141" w:rightChars="-50"/>
              <w:jc w:val="center"/>
              <w:rPr>
                <w:rFonts w:eastAsiaTheme="minorEastAsia"/>
                <w:sz w:val="21"/>
                <w:szCs w:val="21"/>
              </w:rPr>
            </w:pPr>
            <w:r>
              <w:rPr>
                <w:rFonts w:eastAsiaTheme="minorEastAsia"/>
                <w:sz w:val="21"/>
                <w:szCs w:val="21"/>
              </w:rPr>
              <w:t>固废堆</w:t>
            </w:r>
          </w:p>
          <w:p>
            <w:pPr>
              <w:pStyle w:val="1614"/>
              <w:spacing w:line="300" w:lineRule="exact"/>
              <w:ind w:left="-141" w:leftChars="-50" w:right="-141" w:rightChars="-50"/>
              <w:jc w:val="center"/>
              <w:rPr>
                <w:rFonts w:eastAsiaTheme="minorEastAsia"/>
                <w:sz w:val="21"/>
                <w:szCs w:val="21"/>
              </w:rPr>
            </w:pPr>
            <w:r>
              <w:rPr>
                <w:rFonts w:eastAsiaTheme="minorEastAsia"/>
                <w:sz w:val="21"/>
                <w:szCs w:val="21"/>
              </w:rPr>
              <w:t>场类别</w:t>
            </w:r>
          </w:p>
        </w:tc>
        <w:tc>
          <w:tcPr>
            <w:tcW w:w="706" w:type="dxa"/>
            <w:tcBorders>
              <w:left w:val="single" w:color="auto" w:sz="2" w:space="0"/>
            </w:tcBorders>
            <w:vAlign w:val="center"/>
          </w:tcPr>
          <w:p>
            <w:pPr>
              <w:pStyle w:val="1614"/>
              <w:spacing w:line="300" w:lineRule="exact"/>
              <w:ind w:right="108"/>
              <w:jc w:val="center"/>
              <w:rPr>
                <w:rFonts w:eastAsiaTheme="minorEastAsia"/>
                <w:sz w:val="21"/>
                <w:szCs w:val="21"/>
              </w:rPr>
            </w:pPr>
            <w:r>
              <w:rPr>
                <w:rFonts w:eastAsiaTheme="minorEastAsia"/>
                <w:sz w:val="21"/>
                <w:szCs w:val="21"/>
              </w:rPr>
              <w:t>序号</w:t>
            </w:r>
          </w:p>
        </w:tc>
        <w:tc>
          <w:tcPr>
            <w:tcW w:w="1876" w:type="dxa"/>
            <w:vAlign w:val="center"/>
          </w:tcPr>
          <w:p>
            <w:pPr>
              <w:pStyle w:val="1614"/>
              <w:spacing w:line="300" w:lineRule="exact"/>
              <w:ind w:left="168" w:right="158"/>
              <w:jc w:val="center"/>
              <w:rPr>
                <w:rFonts w:eastAsiaTheme="minorEastAsia"/>
                <w:sz w:val="21"/>
                <w:szCs w:val="21"/>
              </w:rPr>
            </w:pPr>
            <w:r>
              <w:rPr>
                <w:rFonts w:eastAsiaTheme="minorEastAsia"/>
                <w:sz w:val="21"/>
                <w:szCs w:val="21"/>
              </w:rPr>
              <w:t>名称</w:t>
            </w:r>
          </w:p>
        </w:tc>
        <w:tc>
          <w:tcPr>
            <w:tcW w:w="3087" w:type="dxa"/>
            <w:tcBorders>
              <w:right w:val="single" w:color="auto" w:sz="2" w:space="0"/>
            </w:tcBorders>
            <w:vAlign w:val="center"/>
          </w:tcPr>
          <w:p>
            <w:pPr>
              <w:pStyle w:val="1614"/>
              <w:spacing w:line="300" w:lineRule="exact"/>
              <w:ind w:left="168" w:right="158"/>
              <w:jc w:val="center"/>
              <w:rPr>
                <w:rFonts w:eastAsiaTheme="minorEastAsia"/>
                <w:sz w:val="21"/>
                <w:szCs w:val="21"/>
              </w:rPr>
            </w:pPr>
            <w:r>
              <w:rPr>
                <w:rFonts w:eastAsiaTheme="minorEastAsia"/>
                <w:sz w:val="21"/>
                <w:szCs w:val="21"/>
              </w:rPr>
              <w:t>主要功能</w:t>
            </w:r>
          </w:p>
        </w:tc>
        <w:tc>
          <w:tcPr>
            <w:tcW w:w="1488" w:type="dxa"/>
            <w:tcBorders>
              <w:left w:val="single" w:color="auto" w:sz="2" w:space="0"/>
            </w:tcBorders>
            <w:vAlign w:val="center"/>
          </w:tcPr>
          <w:p>
            <w:pPr>
              <w:pStyle w:val="1614"/>
              <w:spacing w:line="300" w:lineRule="exact"/>
              <w:ind w:right="158"/>
              <w:jc w:val="center"/>
              <w:rPr>
                <w:rFonts w:eastAsiaTheme="minorEastAsia"/>
                <w:sz w:val="21"/>
                <w:szCs w:val="21"/>
              </w:rPr>
            </w:pPr>
            <w:r>
              <w:rPr>
                <w:rFonts w:hint="eastAsia" w:eastAsiaTheme="minorEastAsia"/>
                <w:sz w:val="21"/>
                <w:szCs w:val="21"/>
              </w:rPr>
              <w:t>位置</w:t>
            </w:r>
          </w:p>
        </w:tc>
        <w:tc>
          <w:tcPr>
            <w:tcW w:w="825" w:type="dxa"/>
            <w:vAlign w:val="center"/>
          </w:tcPr>
          <w:p>
            <w:pPr>
              <w:pStyle w:val="1614"/>
              <w:spacing w:line="300" w:lineRule="exact"/>
              <w:ind w:left="95" w:right="87"/>
              <w:jc w:val="center"/>
              <w:rPr>
                <w:rFonts w:eastAsiaTheme="minorEastAsia"/>
                <w:sz w:val="21"/>
                <w:szCs w:val="21"/>
              </w:rPr>
            </w:pPr>
            <w:r>
              <w:rPr>
                <w:rFonts w:eastAsiaTheme="minorEastAsia"/>
                <w:sz w:val="21"/>
                <w:szCs w:val="21"/>
              </w:rPr>
              <w:t>库容</w:t>
            </w:r>
            <w:r>
              <w:rPr>
                <w:rFonts w:hint="eastAsia" w:eastAsiaTheme="minorEastAsia"/>
                <w:sz w:val="21"/>
                <w:szCs w:val="21"/>
              </w:rPr>
              <w:t>(</w:t>
            </w:r>
            <w:r>
              <w:rPr>
                <w:rFonts w:eastAsiaTheme="minorEastAsia"/>
                <w:sz w:val="21"/>
                <w:szCs w:val="21"/>
              </w:rPr>
              <w:t>m</w:t>
            </w:r>
            <w:r>
              <w:rPr>
                <w:rFonts w:eastAsiaTheme="minorEastAsia"/>
                <w:sz w:val="21"/>
                <w:szCs w:val="21"/>
                <w:vertAlign w:val="superscript"/>
              </w:rPr>
              <w:t>3</w:t>
            </w: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restart"/>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一般固废暂存场所</w:t>
            </w:r>
          </w:p>
        </w:tc>
        <w:tc>
          <w:tcPr>
            <w:tcW w:w="706" w:type="dxa"/>
            <w:tcBorders>
              <w:left w:val="single" w:color="auto" w:sz="2" w:space="0"/>
            </w:tcBorders>
            <w:vAlign w:val="center"/>
          </w:tcPr>
          <w:p>
            <w:pPr>
              <w:spacing w:line="300" w:lineRule="exact"/>
              <w:jc w:val="center"/>
              <w:rPr>
                <w:rFonts w:eastAsiaTheme="minorEastAsia"/>
                <w:sz w:val="21"/>
                <w:szCs w:val="21"/>
              </w:rPr>
            </w:pPr>
            <w:r>
              <w:rPr>
                <w:rFonts w:eastAsiaTheme="minorEastAsia"/>
                <w:sz w:val="21"/>
                <w:szCs w:val="21"/>
              </w:rPr>
              <w:t>1</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废碳钢</w:t>
            </w:r>
            <w:r>
              <w:rPr>
                <w:rFonts w:hint="eastAsia" w:ascii="Times New Roman" w:hAnsi="Times New Roman" w:cs="Times New Roman" w:eastAsiaTheme="minorEastAsia"/>
                <w:sz w:val="21"/>
                <w:szCs w:val="21"/>
              </w:rPr>
              <w:t>1仓库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贮存盘条铁丝</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轧钢</w:t>
            </w:r>
            <w:r>
              <w:rPr>
                <w:rFonts w:eastAsiaTheme="minorEastAsia"/>
                <w:sz w:val="21"/>
                <w:szCs w:val="21"/>
              </w:rPr>
              <w:t>厂</w:t>
            </w:r>
            <w:r>
              <w:rPr>
                <w:rFonts w:hint="eastAsia" w:eastAsiaTheme="minorEastAsia"/>
                <w:sz w:val="21"/>
                <w:szCs w:val="21"/>
              </w:rPr>
              <w:t>东南角</w:t>
            </w:r>
          </w:p>
        </w:tc>
        <w:tc>
          <w:tcPr>
            <w:tcW w:w="825" w:type="dxa"/>
            <w:vAlign w:val="center"/>
          </w:tcPr>
          <w:p>
            <w:pPr>
              <w:spacing w:line="300" w:lineRule="exact"/>
              <w:jc w:val="center"/>
              <w:rPr>
                <w:rFonts w:eastAsiaTheme="minorEastAsia"/>
                <w:sz w:val="21"/>
                <w:szCs w:val="21"/>
              </w:rPr>
            </w:pPr>
            <w:r>
              <w:rPr>
                <w:rFonts w:eastAsiaTheme="minorEastAsia"/>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2</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废碳钢2仓库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贮存</w:t>
            </w:r>
            <w:r>
              <w:rPr>
                <w:rFonts w:eastAsiaTheme="minorEastAsia"/>
                <w:sz w:val="21"/>
                <w:szCs w:val="21"/>
              </w:rPr>
              <w:t>废</w:t>
            </w:r>
            <w:r>
              <w:rPr>
                <w:rFonts w:hint="eastAsia" w:eastAsiaTheme="minorEastAsia"/>
                <w:sz w:val="21"/>
                <w:szCs w:val="21"/>
              </w:rPr>
              <w:t>圆</w:t>
            </w:r>
            <w:r>
              <w:rPr>
                <w:rFonts w:eastAsiaTheme="minorEastAsia"/>
                <w:sz w:val="21"/>
                <w:szCs w:val="21"/>
              </w:rPr>
              <w:t>钢</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酸洗</w:t>
            </w:r>
            <w:r>
              <w:rPr>
                <w:rFonts w:eastAsiaTheme="minorEastAsia"/>
                <w:sz w:val="21"/>
                <w:szCs w:val="21"/>
              </w:rPr>
              <w:t>废水处理站西侧</w:t>
            </w:r>
          </w:p>
        </w:tc>
        <w:tc>
          <w:tcPr>
            <w:tcW w:w="825" w:type="dxa"/>
            <w:vAlign w:val="center"/>
          </w:tcPr>
          <w:p>
            <w:pPr>
              <w:spacing w:line="300" w:lineRule="exact"/>
              <w:jc w:val="center"/>
              <w:rPr>
                <w:rFonts w:eastAsiaTheme="minorEastAsia"/>
                <w:sz w:val="21"/>
                <w:szCs w:val="21"/>
              </w:rPr>
            </w:pPr>
            <w:r>
              <w:rPr>
                <w:rFonts w:hint="eastAsia"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3</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pacing w:val="0"/>
                <w:sz w:val="21"/>
                <w:szCs w:val="21"/>
                <w:lang w:val="zh-CN"/>
              </w:rPr>
            </w:pPr>
            <w:r>
              <w:rPr>
                <w:rFonts w:ascii="Times New Roman" w:hAnsi="Times New Roman" w:cs="Times New Roman" w:eastAsiaTheme="minorEastAsia"/>
                <w:spacing w:val="0"/>
                <w:sz w:val="21"/>
                <w:szCs w:val="21"/>
                <w:lang w:val="zh-CN"/>
              </w:rPr>
              <w:t>氧化铁皮</w:t>
            </w:r>
            <w:r>
              <w:rPr>
                <w:rFonts w:hint="eastAsia" w:ascii="Times New Roman" w:hAnsi="Times New Roman" w:cs="Times New Roman" w:eastAsiaTheme="minorEastAsia"/>
                <w:spacing w:val="0"/>
                <w:sz w:val="21"/>
                <w:szCs w:val="21"/>
                <w:lang w:val="zh-CN"/>
              </w:rPr>
              <w:t>等</w:t>
            </w:r>
            <w:r>
              <w:rPr>
                <w:rFonts w:hint="eastAsia" w:ascii="Times New Roman" w:hAnsi="Times New Roman" w:cs="Times New Roman" w:eastAsiaTheme="minorEastAsia"/>
                <w:sz w:val="21"/>
                <w:szCs w:val="21"/>
              </w:rPr>
              <w:t>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面积约50m</w:t>
            </w:r>
            <w:r>
              <w:rPr>
                <w:rFonts w:hint="eastAsia" w:eastAsiaTheme="minorEastAsia"/>
                <w:sz w:val="21"/>
                <w:szCs w:val="21"/>
                <w:vertAlign w:val="superscript"/>
              </w:rPr>
              <w:t>2</w:t>
            </w:r>
            <w:r>
              <w:rPr>
                <w:rFonts w:eastAsiaTheme="minorEastAsia"/>
                <w:sz w:val="21"/>
                <w:szCs w:val="21"/>
              </w:rPr>
              <w:t>，主要临时暂存氧化铁皮、</w:t>
            </w:r>
            <w:r>
              <w:rPr>
                <w:rFonts w:hint="eastAsia" w:eastAsiaTheme="minorEastAsia"/>
                <w:sz w:val="21"/>
                <w:szCs w:val="21"/>
              </w:rPr>
              <w:t>磨屑</w:t>
            </w:r>
            <w:r>
              <w:rPr>
                <w:rFonts w:eastAsiaTheme="minorEastAsia"/>
                <w:sz w:val="21"/>
                <w:szCs w:val="21"/>
              </w:rPr>
              <w:t>、砂轮片</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炼钢一厂</w:t>
            </w:r>
            <w:r>
              <w:rPr>
                <w:rFonts w:eastAsiaTheme="minorEastAsia"/>
                <w:sz w:val="21"/>
                <w:szCs w:val="21"/>
              </w:rPr>
              <w:t>东侧</w:t>
            </w:r>
          </w:p>
        </w:tc>
        <w:tc>
          <w:tcPr>
            <w:tcW w:w="825" w:type="dxa"/>
            <w:vAlign w:val="center"/>
          </w:tcPr>
          <w:p>
            <w:pPr>
              <w:spacing w:line="300" w:lineRule="exact"/>
              <w:jc w:val="center"/>
              <w:rPr>
                <w:rFonts w:eastAsiaTheme="minorEastAsia"/>
                <w:sz w:val="21"/>
                <w:szCs w:val="21"/>
              </w:rPr>
            </w:pPr>
            <w:r>
              <w:rPr>
                <w:rFonts w:eastAsiaTheme="minorEastAsia"/>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4</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pacing w:val="0"/>
                <w:sz w:val="21"/>
                <w:szCs w:val="21"/>
                <w:lang w:val="zh-CN"/>
              </w:rPr>
            </w:pPr>
            <w:r>
              <w:rPr>
                <w:rFonts w:ascii="Times New Roman" w:hAnsi="Times New Roman" w:cs="Times New Roman" w:eastAsiaTheme="minorEastAsia"/>
                <w:sz w:val="21"/>
                <w:szCs w:val="21"/>
              </w:rPr>
              <w:t>废电极</w:t>
            </w:r>
            <w:r>
              <w:rPr>
                <w:rFonts w:hint="eastAsia" w:ascii="Times New Roman" w:hAnsi="Times New Roman" w:cs="Times New Roman" w:eastAsiaTheme="minorEastAsia"/>
                <w:sz w:val="21"/>
                <w:szCs w:val="21"/>
              </w:rPr>
              <w:t>1仓库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面积20m</w:t>
            </w:r>
            <w:r>
              <w:rPr>
                <w:rFonts w:hint="eastAsia" w:eastAsiaTheme="minorEastAsia"/>
                <w:sz w:val="21"/>
                <w:szCs w:val="21"/>
                <w:vertAlign w:val="superscript"/>
              </w:rPr>
              <w:t>2</w:t>
            </w:r>
            <w:r>
              <w:rPr>
                <w:rFonts w:eastAsiaTheme="minorEastAsia"/>
                <w:sz w:val="21"/>
                <w:szCs w:val="21"/>
              </w:rPr>
              <w:t>，主要临时存放废电极</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eastAsiaTheme="minorEastAsia"/>
                <w:sz w:val="21"/>
                <w:szCs w:val="21"/>
              </w:rPr>
              <w:t>炼钢一厂</w:t>
            </w:r>
            <w:r>
              <w:rPr>
                <w:rFonts w:hint="eastAsia" w:eastAsiaTheme="minorEastAsia"/>
                <w:sz w:val="21"/>
                <w:szCs w:val="21"/>
              </w:rPr>
              <w:t>内</w:t>
            </w:r>
          </w:p>
        </w:tc>
        <w:tc>
          <w:tcPr>
            <w:tcW w:w="825" w:type="dxa"/>
            <w:vAlign w:val="center"/>
          </w:tcPr>
          <w:p>
            <w:pPr>
              <w:spacing w:line="300" w:lineRule="exact"/>
              <w:jc w:val="center"/>
              <w:rPr>
                <w:rFonts w:eastAsiaTheme="minorEastAsia"/>
                <w:sz w:val="21"/>
                <w:szCs w:val="21"/>
              </w:rPr>
            </w:pPr>
            <w:r>
              <w:rPr>
                <w:rFonts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5</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废电极2仓库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面积约30m</w:t>
            </w:r>
            <w:r>
              <w:rPr>
                <w:rFonts w:hint="eastAsia" w:eastAsiaTheme="minorEastAsia"/>
                <w:sz w:val="21"/>
                <w:szCs w:val="21"/>
                <w:vertAlign w:val="superscript"/>
              </w:rPr>
              <w:t>2</w:t>
            </w:r>
            <w:r>
              <w:rPr>
                <w:rFonts w:hint="eastAsia" w:eastAsiaTheme="minorEastAsia"/>
                <w:sz w:val="21"/>
                <w:szCs w:val="21"/>
              </w:rPr>
              <w:t>，</w:t>
            </w:r>
            <w:r>
              <w:rPr>
                <w:rFonts w:eastAsiaTheme="minorEastAsia"/>
                <w:sz w:val="21"/>
                <w:szCs w:val="21"/>
              </w:rPr>
              <w:t>主要临时存放废电极</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eastAsiaTheme="minorEastAsia"/>
                <w:sz w:val="21"/>
                <w:szCs w:val="21"/>
              </w:rPr>
              <w:t>炼钢二厂</w:t>
            </w:r>
            <w:r>
              <w:rPr>
                <w:rFonts w:hint="eastAsia" w:eastAsiaTheme="minorEastAsia"/>
                <w:sz w:val="21"/>
                <w:szCs w:val="21"/>
              </w:rPr>
              <w:t>内</w:t>
            </w:r>
          </w:p>
        </w:tc>
        <w:tc>
          <w:tcPr>
            <w:tcW w:w="825" w:type="dxa"/>
            <w:vAlign w:val="center"/>
          </w:tcPr>
          <w:p>
            <w:pPr>
              <w:spacing w:line="300" w:lineRule="exact"/>
              <w:jc w:val="center"/>
              <w:rPr>
                <w:rFonts w:eastAsiaTheme="minorEastAsia"/>
                <w:sz w:val="21"/>
                <w:szCs w:val="21"/>
              </w:rPr>
            </w:pPr>
            <w:r>
              <w:rPr>
                <w:rFonts w:hint="eastAsia"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6</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废耐火材料</w:t>
            </w:r>
            <w:r>
              <w:rPr>
                <w:rFonts w:hint="eastAsia" w:ascii="Times New Roman" w:hAnsi="Times New Roman" w:cs="Times New Roman" w:eastAsiaTheme="minorEastAsia"/>
                <w:sz w:val="21"/>
                <w:szCs w:val="21"/>
              </w:rPr>
              <w:t>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面积约400m</w:t>
            </w:r>
            <w:r>
              <w:rPr>
                <w:rFonts w:hint="eastAsia" w:eastAsiaTheme="minorEastAsia"/>
                <w:sz w:val="21"/>
                <w:szCs w:val="21"/>
                <w:vertAlign w:val="superscript"/>
              </w:rPr>
              <w:t>2</w:t>
            </w:r>
            <w:r>
              <w:rPr>
                <w:rFonts w:eastAsiaTheme="minorEastAsia"/>
                <w:sz w:val="21"/>
                <w:szCs w:val="21"/>
              </w:rPr>
              <w:t>，主要存放各种耐火材料</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炼钢</w:t>
            </w:r>
            <w:r>
              <w:rPr>
                <w:rFonts w:eastAsiaTheme="minorEastAsia"/>
                <w:sz w:val="21"/>
                <w:szCs w:val="21"/>
              </w:rPr>
              <w:t>一厂、炼钢二厂</w:t>
            </w:r>
          </w:p>
        </w:tc>
        <w:tc>
          <w:tcPr>
            <w:tcW w:w="825" w:type="dxa"/>
            <w:vAlign w:val="center"/>
          </w:tcPr>
          <w:p>
            <w:pPr>
              <w:spacing w:line="300" w:lineRule="exact"/>
              <w:jc w:val="center"/>
              <w:rPr>
                <w:rFonts w:eastAsiaTheme="minorEastAsia"/>
                <w:sz w:val="21"/>
                <w:szCs w:val="21"/>
              </w:rPr>
            </w:pPr>
            <w:r>
              <w:rPr>
                <w:rFonts w:eastAsiaTheme="minorEastAsia"/>
                <w:sz w:val="21"/>
                <w:szCs w:val="21"/>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7</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钢</w:t>
            </w:r>
            <w:r>
              <w:rPr>
                <w:rFonts w:ascii="Times New Roman" w:hAnsi="Times New Roman" w:cs="Times New Roman" w:eastAsiaTheme="minorEastAsia"/>
                <w:sz w:val="21"/>
                <w:szCs w:val="21"/>
              </w:rPr>
              <w:t>渣</w:t>
            </w:r>
            <w:r>
              <w:rPr>
                <w:rFonts w:hint="eastAsia" w:ascii="Times New Roman" w:hAnsi="Times New Roman" w:cs="Times New Roman" w:eastAsiaTheme="minorEastAsia"/>
                <w:sz w:val="21"/>
                <w:szCs w:val="21"/>
              </w:rPr>
              <w:t>(炉渣)仓库</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面积约120m</w:t>
            </w:r>
            <w:r>
              <w:rPr>
                <w:rFonts w:hint="eastAsia" w:eastAsiaTheme="minorEastAsia"/>
                <w:sz w:val="21"/>
                <w:szCs w:val="21"/>
                <w:vertAlign w:val="superscript"/>
              </w:rPr>
              <w:t>2</w:t>
            </w:r>
            <w:r>
              <w:rPr>
                <w:rFonts w:hint="eastAsia" w:eastAsiaTheme="minorEastAsia"/>
                <w:sz w:val="21"/>
                <w:szCs w:val="21"/>
              </w:rPr>
              <w:t>，</w:t>
            </w:r>
            <w:r>
              <w:rPr>
                <w:rFonts w:eastAsiaTheme="minorEastAsia"/>
                <w:sz w:val="21"/>
                <w:szCs w:val="21"/>
              </w:rPr>
              <w:t>主要临时暂存炉渣</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危废暂存库</w:t>
            </w:r>
            <w:r>
              <w:rPr>
                <w:rFonts w:eastAsiaTheme="minorEastAsia"/>
                <w:sz w:val="21"/>
                <w:szCs w:val="21"/>
              </w:rPr>
              <w:t>西侧</w:t>
            </w:r>
          </w:p>
        </w:tc>
        <w:tc>
          <w:tcPr>
            <w:tcW w:w="825" w:type="dxa"/>
            <w:vAlign w:val="center"/>
          </w:tcPr>
          <w:p>
            <w:pPr>
              <w:spacing w:line="300" w:lineRule="exact"/>
              <w:jc w:val="center"/>
              <w:rPr>
                <w:rFonts w:eastAsiaTheme="minorEastAsia"/>
                <w:sz w:val="21"/>
                <w:szCs w:val="21"/>
              </w:rPr>
            </w:pPr>
            <w:r>
              <w:rPr>
                <w:rFonts w:eastAsiaTheme="minorEastAsia"/>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8</w:t>
            </w:r>
          </w:p>
        </w:tc>
        <w:tc>
          <w:tcPr>
            <w:tcW w:w="1876" w:type="dxa"/>
            <w:vAlign w:val="center"/>
          </w:tcPr>
          <w:p>
            <w:pPr>
              <w:pStyle w:val="4"/>
              <w:adjustRightInd w:val="0"/>
              <w:snapToGrid w:val="0"/>
              <w:spacing w:line="300" w:lineRule="exact"/>
              <w:ind w:firstLine="0"/>
              <w:jc w:val="center"/>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废渣</w:t>
            </w:r>
          </w:p>
        </w:tc>
        <w:tc>
          <w:tcPr>
            <w:tcW w:w="3087" w:type="dxa"/>
            <w:tcBorders>
              <w:righ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面积约1150</w:t>
            </w:r>
            <w:r>
              <w:rPr>
                <w:rFonts w:eastAsiaTheme="minorEastAsia"/>
                <w:sz w:val="21"/>
                <w:szCs w:val="21"/>
              </w:rPr>
              <w:t>m</w:t>
            </w:r>
            <w:r>
              <w:rPr>
                <w:rFonts w:hint="eastAsia" w:eastAsiaTheme="minorEastAsia"/>
                <w:sz w:val="21"/>
                <w:szCs w:val="21"/>
                <w:vertAlign w:val="superscript"/>
              </w:rPr>
              <w:t>2</w:t>
            </w:r>
            <w:r>
              <w:rPr>
                <w:rFonts w:hint="eastAsia" w:eastAsiaTheme="minorEastAsia"/>
                <w:sz w:val="21"/>
                <w:szCs w:val="21"/>
              </w:rPr>
              <w:t>，主要暂存废渣</w:t>
            </w:r>
          </w:p>
        </w:tc>
        <w:tc>
          <w:tcPr>
            <w:tcW w:w="1488" w:type="dxa"/>
            <w:tcBorders>
              <w:left w:val="single" w:color="auto" w:sz="2" w:space="0"/>
            </w:tcBorders>
            <w:vAlign w:val="center"/>
          </w:tcPr>
          <w:p>
            <w:pPr>
              <w:spacing w:line="300" w:lineRule="exact"/>
              <w:jc w:val="center"/>
              <w:rPr>
                <w:rFonts w:eastAsiaTheme="minorEastAsia"/>
                <w:sz w:val="21"/>
                <w:szCs w:val="21"/>
              </w:rPr>
            </w:pPr>
            <w:r>
              <w:rPr>
                <w:rFonts w:hint="eastAsia" w:eastAsiaTheme="minorEastAsia"/>
                <w:sz w:val="21"/>
                <w:szCs w:val="21"/>
              </w:rPr>
              <w:t>钢渣车间西侧</w:t>
            </w:r>
          </w:p>
        </w:tc>
        <w:tc>
          <w:tcPr>
            <w:tcW w:w="825" w:type="dxa"/>
            <w:vAlign w:val="center"/>
          </w:tcPr>
          <w:p>
            <w:pPr>
              <w:spacing w:line="300" w:lineRule="exact"/>
              <w:jc w:val="center"/>
              <w:rPr>
                <w:rFonts w:eastAsiaTheme="minorEastAsia"/>
                <w:sz w:val="21"/>
                <w:szCs w:val="21"/>
              </w:rPr>
            </w:pPr>
            <w:r>
              <w:rPr>
                <w:rFonts w:hint="eastAsia" w:eastAsiaTheme="minorEastAsia"/>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restart"/>
            <w:tcBorders>
              <w:right w:val="single" w:color="auto" w:sz="2" w:space="0"/>
            </w:tcBorders>
            <w:vAlign w:val="center"/>
          </w:tcPr>
          <w:p>
            <w:pPr>
              <w:spacing w:line="300" w:lineRule="exact"/>
              <w:jc w:val="center"/>
              <w:rPr>
                <w:rFonts w:eastAsiaTheme="minorEastAsia"/>
                <w:sz w:val="21"/>
                <w:szCs w:val="21"/>
              </w:rPr>
            </w:pPr>
            <w:r>
              <w:rPr>
                <w:rFonts w:eastAsiaTheme="minorEastAsia"/>
                <w:sz w:val="21"/>
                <w:szCs w:val="21"/>
              </w:rPr>
              <w:t>危险废物暂存场所</w:t>
            </w:r>
          </w:p>
        </w:tc>
        <w:tc>
          <w:tcPr>
            <w:tcW w:w="706" w:type="dxa"/>
            <w:tcBorders>
              <w:left w:val="single" w:color="auto" w:sz="2" w:space="0"/>
            </w:tcBorders>
            <w:vAlign w:val="center"/>
          </w:tcPr>
          <w:p>
            <w:pPr>
              <w:pStyle w:val="1614"/>
              <w:spacing w:line="300" w:lineRule="exact"/>
              <w:ind w:left="11"/>
              <w:jc w:val="center"/>
              <w:rPr>
                <w:rFonts w:eastAsiaTheme="minorEastAsia"/>
                <w:sz w:val="21"/>
                <w:szCs w:val="21"/>
              </w:rPr>
            </w:pPr>
            <w:r>
              <w:rPr>
                <w:rFonts w:hint="eastAsia" w:eastAsiaTheme="minorEastAsia"/>
                <w:sz w:val="21"/>
                <w:szCs w:val="21"/>
              </w:rPr>
              <w:t>9</w:t>
            </w:r>
          </w:p>
        </w:tc>
        <w:tc>
          <w:tcPr>
            <w:tcW w:w="1876" w:type="dxa"/>
            <w:vAlign w:val="center"/>
          </w:tcPr>
          <w:p>
            <w:pPr>
              <w:pStyle w:val="1614"/>
              <w:spacing w:line="300" w:lineRule="exact"/>
              <w:ind w:left="168" w:right="158"/>
              <w:jc w:val="center"/>
              <w:rPr>
                <w:rFonts w:eastAsiaTheme="minorEastAsia"/>
                <w:sz w:val="21"/>
                <w:szCs w:val="21"/>
              </w:rPr>
            </w:pPr>
            <w:r>
              <w:rPr>
                <w:rFonts w:hint="eastAsia" w:eastAsiaTheme="minorEastAsia"/>
                <w:sz w:val="21"/>
                <w:szCs w:val="21"/>
              </w:rPr>
              <w:t>危废总仓库</w:t>
            </w:r>
          </w:p>
        </w:tc>
        <w:tc>
          <w:tcPr>
            <w:tcW w:w="3087" w:type="dxa"/>
            <w:tcBorders>
              <w:right w:val="single" w:color="auto" w:sz="2" w:space="0"/>
            </w:tcBorders>
            <w:vAlign w:val="center"/>
          </w:tcPr>
          <w:p>
            <w:pPr>
              <w:pStyle w:val="1614"/>
              <w:spacing w:line="300" w:lineRule="exact"/>
              <w:ind w:left="107"/>
              <w:jc w:val="center"/>
              <w:rPr>
                <w:rFonts w:eastAsiaTheme="minorEastAsia"/>
                <w:sz w:val="21"/>
                <w:szCs w:val="21"/>
              </w:rPr>
            </w:pPr>
            <w:r>
              <w:rPr>
                <w:rFonts w:eastAsiaTheme="minorEastAsia"/>
                <w:spacing w:val="-12"/>
                <w:sz w:val="21"/>
                <w:szCs w:val="21"/>
              </w:rPr>
              <w:t xml:space="preserve">建筑面积 </w:t>
            </w:r>
            <w:r>
              <w:rPr>
                <w:rFonts w:eastAsiaTheme="minorEastAsia"/>
                <w:spacing w:val="-11"/>
                <w:sz w:val="21"/>
                <w:szCs w:val="21"/>
              </w:rPr>
              <w:t>624m</w:t>
            </w:r>
            <w:r>
              <w:rPr>
                <w:rFonts w:eastAsiaTheme="minorEastAsia"/>
                <w:spacing w:val="-11"/>
                <w:sz w:val="21"/>
                <w:szCs w:val="21"/>
                <w:vertAlign w:val="superscript"/>
              </w:rPr>
              <w:t>2</w:t>
            </w:r>
            <w:r>
              <w:rPr>
                <w:rFonts w:eastAsiaTheme="minorEastAsia"/>
                <w:spacing w:val="-11"/>
                <w:sz w:val="21"/>
                <w:szCs w:val="21"/>
              </w:rPr>
              <w:t xml:space="preserve">，主要临时暂存 </w:t>
            </w:r>
            <w:r>
              <w:rPr>
                <w:rFonts w:eastAsiaTheme="minorEastAsia"/>
                <w:sz w:val="21"/>
                <w:szCs w:val="21"/>
              </w:rPr>
              <w:t>HW17</w:t>
            </w:r>
            <w:r>
              <w:rPr>
                <w:rFonts w:eastAsiaTheme="minorEastAsia"/>
                <w:spacing w:val="-10"/>
                <w:sz w:val="21"/>
                <w:szCs w:val="21"/>
              </w:rPr>
              <w:t>表面处理污</w:t>
            </w:r>
            <w:r>
              <w:rPr>
                <w:rFonts w:eastAsiaTheme="minorEastAsia"/>
                <w:spacing w:val="2"/>
                <w:sz w:val="21"/>
                <w:szCs w:val="21"/>
              </w:rPr>
              <w:t>泥、</w:t>
            </w:r>
            <w:r>
              <w:rPr>
                <w:rFonts w:eastAsiaTheme="minorEastAsia"/>
                <w:sz w:val="21"/>
                <w:szCs w:val="21"/>
              </w:rPr>
              <w:t>HW21</w:t>
            </w:r>
            <w:r>
              <w:rPr>
                <w:rFonts w:eastAsiaTheme="minorEastAsia"/>
                <w:spacing w:val="-9"/>
                <w:sz w:val="21"/>
                <w:szCs w:val="21"/>
              </w:rPr>
              <w:t xml:space="preserve"> 含铬废物、</w:t>
            </w:r>
            <w:r>
              <w:rPr>
                <w:rFonts w:eastAsiaTheme="minorEastAsia"/>
                <w:sz w:val="21"/>
                <w:szCs w:val="21"/>
              </w:rPr>
              <w:t>HW08</w:t>
            </w:r>
            <w:r>
              <w:rPr>
                <w:rFonts w:eastAsiaTheme="minorEastAsia"/>
                <w:spacing w:val="-8"/>
                <w:sz w:val="21"/>
                <w:szCs w:val="21"/>
              </w:rPr>
              <w:t>废矿物油、</w:t>
            </w:r>
            <w:r>
              <w:rPr>
                <w:rFonts w:eastAsiaTheme="minorEastAsia"/>
                <w:sz w:val="21"/>
                <w:szCs w:val="21"/>
              </w:rPr>
              <w:t>HW49</w:t>
            </w:r>
            <w:r>
              <w:rPr>
                <w:rFonts w:eastAsiaTheme="minorEastAsia"/>
                <w:spacing w:val="-18"/>
                <w:sz w:val="21"/>
                <w:szCs w:val="21"/>
              </w:rPr>
              <w:t xml:space="preserve"> 废包装桶、废除尘器布袋</w:t>
            </w:r>
          </w:p>
        </w:tc>
        <w:tc>
          <w:tcPr>
            <w:tcW w:w="1488" w:type="dxa"/>
            <w:tcBorders>
              <w:left w:val="single" w:color="auto" w:sz="2" w:space="0"/>
            </w:tcBorders>
            <w:vAlign w:val="center"/>
          </w:tcPr>
          <w:p>
            <w:pPr>
              <w:pStyle w:val="1614"/>
              <w:spacing w:line="300" w:lineRule="exact"/>
              <w:ind w:left="107"/>
              <w:jc w:val="center"/>
              <w:rPr>
                <w:rFonts w:eastAsiaTheme="minorEastAsia"/>
                <w:sz w:val="21"/>
                <w:szCs w:val="21"/>
              </w:rPr>
            </w:pPr>
            <w:r>
              <w:rPr>
                <w:rFonts w:hint="eastAsia" w:eastAsiaTheme="minorEastAsia"/>
                <w:sz w:val="21"/>
                <w:szCs w:val="21"/>
              </w:rPr>
              <w:t>厂区</w:t>
            </w:r>
            <w:r>
              <w:rPr>
                <w:rFonts w:eastAsiaTheme="minorEastAsia"/>
                <w:sz w:val="21"/>
                <w:szCs w:val="21"/>
              </w:rPr>
              <w:t>西侧</w:t>
            </w:r>
          </w:p>
        </w:tc>
        <w:tc>
          <w:tcPr>
            <w:tcW w:w="825" w:type="dxa"/>
            <w:vAlign w:val="center"/>
          </w:tcPr>
          <w:p>
            <w:pPr>
              <w:pStyle w:val="1614"/>
              <w:spacing w:line="300" w:lineRule="exact"/>
              <w:ind w:left="95" w:right="87"/>
              <w:jc w:val="center"/>
              <w:rPr>
                <w:rFonts w:eastAsiaTheme="minorEastAsia"/>
                <w:sz w:val="21"/>
                <w:szCs w:val="21"/>
              </w:rPr>
            </w:pPr>
            <w:r>
              <w:rPr>
                <w:rFonts w:eastAsiaTheme="minorEastAsia"/>
                <w:sz w:val="21"/>
                <w:szCs w:val="21"/>
              </w:rPr>
              <w:t>2195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pStyle w:val="1614"/>
              <w:spacing w:line="300" w:lineRule="exact"/>
              <w:ind w:left="11"/>
              <w:jc w:val="center"/>
              <w:rPr>
                <w:rFonts w:eastAsiaTheme="minorEastAsia"/>
                <w:sz w:val="21"/>
                <w:szCs w:val="21"/>
              </w:rPr>
            </w:pPr>
            <w:r>
              <w:rPr>
                <w:rFonts w:hint="eastAsia" w:eastAsiaTheme="minorEastAsia"/>
                <w:sz w:val="21"/>
                <w:szCs w:val="21"/>
              </w:rPr>
              <w:t>1</w:t>
            </w:r>
            <w:r>
              <w:rPr>
                <w:rFonts w:eastAsiaTheme="minorEastAsia"/>
                <w:sz w:val="21"/>
                <w:szCs w:val="21"/>
              </w:rPr>
              <w:t>0</w:t>
            </w:r>
          </w:p>
        </w:tc>
        <w:tc>
          <w:tcPr>
            <w:tcW w:w="1876" w:type="dxa"/>
            <w:vAlign w:val="center"/>
          </w:tcPr>
          <w:p>
            <w:pPr>
              <w:pStyle w:val="1614"/>
              <w:spacing w:line="300" w:lineRule="exact"/>
              <w:ind w:left="168" w:right="158"/>
              <w:jc w:val="center"/>
              <w:rPr>
                <w:rFonts w:eastAsiaTheme="minorEastAsia"/>
                <w:sz w:val="21"/>
                <w:szCs w:val="21"/>
              </w:rPr>
            </w:pPr>
            <w:r>
              <w:rPr>
                <w:rFonts w:hint="eastAsia" w:eastAsiaTheme="minorEastAsia"/>
                <w:sz w:val="21"/>
                <w:szCs w:val="21"/>
              </w:rPr>
              <w:t>炼钢一厂除尘</w:t>
            </w:r>
            <w:r>
              <w:rPr>
                <w:rFonts w:eastAsiaTheme="minorEastAsia"/>
                <w:sz w:val="21"/>
                <w:szCs w:val="21"/>
              </w:rPr>
              <w:t>灰仓库</w:t>
            </w:r>
          </w:p>
        </w:tc>
        <w:tc>
          <w:tcPr>
            <w:tcW w:w="3087" w:type="dxa"/>
            <w:tcBorders>
              <w:right w:val="single" w:color="auto" w:sz="2" w:space="0"/>
            </w:tcBorders>
            <w:vAlign w:val="center"/>
          </w:tcPr>
          <w:p>
            <w:pPr>
              <w:pStyle w:val="1614"/>
              <w:spacing w:line="300" w:lineRule="exact"/>
              <w:ind w:left="107"/>
              <w:jc w:val="center"/>
              <w:rPr>
                <w:rFonts w:eastAsiaTheme="minorEastAsia"/>
                <w:sz w:val="21"/>
                <w:szCs w:val="21"/>
              </w:rPr>
            </w:pPr>
            <w:r>
              <w:rPr>
                <w:rFonts w:eastAsiaTheme="minorEastAsia"/>
                <w:sz w:val="21"/>
                <w:szCs w:val="21"/>
              </w:rPr>
              <w:t>建筑面积112m</w:t>
            </w:r>
            <w:r>
              <w:rPr>
                <w:rFonts w:eastAsiaTheme="minorEastAsia"/>
                <w:sz w:val="21"/>
                <w:szCs w:val="21"/>
                <w:vertAlign w:val="superscript"/>
              </w:rPr>
              <w:t>2</w:t>
            </w:r>
            <w:r>
              <w:rPr>
                <w:rFonts w:eastAsiaTheme="minorEastAsia"/>
                <w:sz w:val="21"/>
                <w:szCs w:val="21"/>
              </w:rPr>
              <w:t>，主要临时暂存 HW21含铬废物</w:t>
            </w:r>
          </w:p>
        </w:tc>
        <w:tc>
          <w:tcPr>
            <w:tcW w:w="1488" w:type="dxa"/>
            <w:tcBorders>
              <w:left w:val="single" w:color="auto" w:sz="2" w:space="0"/>
            </w:tcBorders>
            <w:vAlign w:val="center"/>
          </w:tcPr>
          <w:p>
            <w:pPr>
              <w:pStyle w:val="1614"/>
              <w:spacing w:line="300" w:lineRule="exact"/>
              <w:ind w:left="107"/>
              <w:jc w:val="center"/>
              <w:rPr>
                <w:rFonts w:eastAsiaTheme="minorEastAsia"/>
                <w:sz w:val="21"/>
                <w:szCs w:val="21"/>
              </w:rPr>
            </w:pPr>
            <w:r>
              <w:rPr>
                <w:rFonts w:hint="eastAsia" w:eastAsiaTheme="minorEastAsia"/>
                <w:sz w:val="21"/>
                <w:szCs w:val="21"/>
              </w:rPr>
              <w:t>炼钢一厂</w:t>
            </w:r>
            <w:r>
              <w:rPr>
                <w:rFonts w:eastAsiaTheme="minorEastAsia"/>
                <w:sz w:val="21"/>
                <w:szCs w:val="21"/>
              </w:rPr>
              <w:t>除尘器西侧</w:t>
            </w:r>
          </w:p>
        </w:tc>
        <w:tc>
          <w:tcPr>
            <w:tcW w:w="825" w:type="dxa"/>
            <w:vAlign w:val="center"/>
          </w:tcPr>
          <w:p>
            <w:pPr>
              <w:pStyle w:val="1614"/>
              <w:spacing w:line="300" w:lineRule="exact"/>
              <w:ind w:left="95" w:right="87"/>
              <w:jc w:val="center"/>
              <w:rPr>
                <w:rFonts w:eastAsiaTheme="minorEastAsia"/>
                <w:sz w:val="21"/>
                <w:szCs w:val="21"/>
              </w:rPr>
            </w:pPr>
            <w:r>
              <w:rPr>
                <w:rFonts w:eastAsiaTheme="minorEastAsia"/>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pStyle w:val="1614"/>
              <w:spacing w:line="300" w:lineRule="exact"/>
              <w:ind w:left="11"/>
              <w:jc w:val="center"/>
              <w:rPr>
                <w:rFonts w:eastAsiaTheme="minorEastAsia"/>
                <w:sz w:val="21"/>
                <w:szCs w:val="21"/>
              </w:rPr>
            </w:pPr>
            <w:r>
              <w:rPr>
                <w:rFonts w:hint="eastAsia" w:eastAsiaTheme="minorEastAsia"/>
                <w:sz w:val="21"/>
                <w:szCs w:val="21"/>
              </w:rPr>
              <w:t>1</w:t>
            </w:r>
            <w:r>
              <w:rPr>
                <w:rFonts w:eastAsiaTheme="minorEastAsia"/>
                <w:sz w:val="21"/>
                <w:szCs w:val="21"/>
              </w:rPr>
              <w:t>1</w:t>
            </w:r>
          </w:p>
        </w:tc>
        <w:tc>
          <w:tcPr>
            <w:tcW w:w="1876" w:type="dxa"/>
            <w:vAlign w:val="center"/>
          </w:tcPr>
          <w:p>
            <w:pPr>
              <w:pStyle w:val="1614"/>
              <w:spacing w:line="300" w:lineRule="exact"/>
              <w:ind w:left="168" w:right="158"/>
              <w:jc w:val="center"/>
              <w:rPr>
                <w:rFonts w:eastAsiaTheme="minorEastAsia"/>
                <w:sz w:val="21"/>
                <w:szCs w:val="21"/>
              </w:rPr>
            </w:pPr>
            <w:r>
              <w:rPr>
                <w:rFonts w:hint="eastAsia" w:eastAsiaTheme="minorEastAsia"/>
                <w:sz w:val="21"/>
                <w:szCs w:val="21"/>
              </w:rPr>
              <w:t>炼钢二厂除尘</w:t>
            </w:r>
            <w:r>
              <w:rPr>
                <w:rFonts w:eastAsiaTheme="minorEastAsia"/>
                <w:sz w:val="21"/>
                <w:szCs w:val="21"/>
              </w:rPr>
              <w:t>灰仓库</w:t>
            </w:r>
          </w:p>
        </w:tc>
        <w:tc>
          <w:tcPr>
            <w:tcW w:w="3087" w:type="dxa"/>
            <w:tcBorders>
              <w:right w:val="single" w:color="auto" w:sz="2" w:space="0"/>
            </w:tcBorders>
            <w:vAlign w:val="center"/>
          </w:tcPr>
          <w:p>
            <w:pPr>
              <w:pStyle w:val="1614"/>
              <w:spacing w:line="300" w:lineRule="exact"/>
              <w:ind w:left="107"/>
              <w:jc w:val="center"/>
              <w:rPr>
                <w:rFonts w:eastAsiaTheme="minorEastAsia"/>
                <w:sz w:val="21"/>
                <w:szCs w:val="21"/>
              </w:rPr>
            </w:pPr>
            <w:r>
              <w:rPr>
                <w:rFonts w:eastAsiaTheme="minorEastAsia"/>
                <w:sz w:val="21"/>
                <w:szCs w:val="21"/>
              </w:rPr>
              <w:t>建筑面积114m</w:t>
            </w:r>
            <w:r>
              <w:rPr>
                <w:rFonts w:eastAsiaTheme="minorEastAsia"/>
                <w:sz w:val="21"/>
                <w:szCs w:val="21"/>
                <w:vertAlign w:val="superscript"/>
              </w:rPr>
              <w:t>2</w:t>
            </w:r>
            <w:r>
              <w:rPr>
                <w:rFonts w:eastAsiaTheme="minorEastAsia"/>
                <w:sz w:val="21"/>
                <w:szCs w:val="21"/>
              </w:rPr>
              <w:t>，主要临时暂存HW21含铬废物</w:t>
            </w:r>
          </w:p>
        </w:tc>
        <w:tc>
          <w:tcPr>
            <w:tcW w:w="1488" w:type="dxa"/>
            <w:tcBorders>
              <w:left w:val="single" w:color="auto" w:sz="2" w:space="0"/>
            </w:tcBorders>
            <w:vAlign w:val="center"/>
          </w:tcPr>
          <w:p>
            <w:pPr>
              <w:pStyle w:val="1614"/>
              <w:spacing w:line="300" w:lineRule="exact"/>
              <w:ind w:left="107"/>
              <w:jc w:val="center"/>
              <w:rPr>
                <w:rFonts w:eastAsiaTheme="minorEastAsia"/>
                <w:sz w:val="21"/>
                <w:szCs w:val="21"/>
              </w:rPr>
            </w:pPr>
            <w:r>
              <w:rPr>
                <w:rFonts w:hint="eastAsia" w:eastAsiaTheme="minorEastAsia"/>
                <w:sz w:val="21"/>
                <w:szCs w:val="21"/>
              </w:rPr>
              <w:t>炼钢二厂</w:t>
            </w:r>
            <w:r>
              <w:rPr>
                <w:rFonts w:eastAsiaTheme="minorEastAsia"/>
                <w:sz w:val="21"/>
                <w:szCs w:val="21"/>
              </w:rPr>
              <w:t>除尘器西侧</w:t>
            </w:r>
          </w:p>
        </w:tc>
        <w:tc>
          <w:tcPr>
            <w:tcW w:w="825" w:type="dxa"/>
            <w:vAlign w:val="center"/>
          </w:tcPr>
          <w:p>
            <w:pPr>
              <w:pStyle w:val="1614"/>
              <w:spacing w:line="300" w:lineRule="exact"/>
              <w:ind w:left="95" w:right="87"/>
              <w:jc w:val="center"/>
              <w:rPr>
                <w:rFonts w:eastAsiaTheme="minorEastAsia"/>
                <w:sz w:val="21"/>
                <w:szCs w:val="21"/>
              </w:rPr>
            </w:pPr>
            <w:r>
              <w:rPr>
                <w:rFonts w:eastAsiaTheme="minorEastAsia"/>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Merge w:val="continue"/>
            <w:tcBorders>
              <w:right w:val="single" w:color="auto" w:sz="2" w:space="0"/>
            </w:tcBorders>
            <w:vAlign w:val="center"/>
          </w:tcPr>
          <w:p>
            <w:pPr>
              <w:spacing w:line="300" w:lineRule="exact"/>
              <w:jc w:val="center"/>
              <w:rPr>
                <w:rFonts w:eastAsiaTheme="minorEastAsia"/>
                <w:sz w:val="21"/>
                <w:szCs w:val="21"/>
              </w:rPr>
            </w:pPr>
          </w:p>
        </w:tc>
        <w:tc>
          <w:tcPr>
            <w:tcW w:w="706" w:type="dxa"/>
            <w:tcBorders>
              <w:left w:val="single" w:color="auto" w:sz="2" w:space="0"/>
            </w:tcBorders>
            <w:vAlign w:val="center"/>
          </w:tcPr>
          <w:p>
            <w:pPr>
              <w:pStyle w:val="1614"/>
              <w:spacing w:line="300" w:lineRule="exact"/>
              <w:ind w:left="11"/>
              <w:jc w:val="center"/>
              <w:rPr>
                <w:rFonts w:eastAsiaTheme="minorEastAsia"/>
                <w:sz w:val="21"/>
                <w:szCs w:val="21"/>
              </w:rPr>
            </w:pPr>
            <w:r>
              <w:rPr>
                <w:rFonts w:hint="eastAsia" w:eastAsiaTheme="minorEastAsia"/>
                <w:sz w:val="21"/>
                <w:szCs w:val="21"/>
              </w:rPr>
              <w:t>1</w:t>
            </w:r>
            <w:r>
              <w:rPr>
                <w:rFonts w:eastAsiaTheme="minorEastAsia"/>
                <w:sz w:val="21"/>
                <w:szCs w:val="21"/>
              </w:rPr>
              <w:t>2</w:t>
            </w:r>
          </w:p>
        </w:tc>
        <w:tc>
          <w:tcPr>
            <w:tcW w:w="1876" w:type="dxa"/>
            <w:vAlign w:val="center"/>
          </w:tcPr>
          <w:p>
            <w:pPr>
              <w:pStyle w:val="1614"/>
              <w:spacing w:line="300" w:lineRule="exact"/>
              <w:ind w:left="168" w:right="158"/>
              <w:jc w:val="center"/>
              <w:rPr>
                <w:rFonts w:eastAsiaTheme="minorEastAsia"/>
                <w:sz w:val="21"/>
                <w:szCs w:val="21"/>
              </w:rPr>
            </w:pPr>
            <w:r>
              <w:rPr>
                <w:rFonts w:hint="eastAsia" w:eastAsiaTheme="minorEastAsia"/>
                <w:sz w:val="21"/>
                <w:szCs w:val="21"/>
              </w:rPr>
              <w:t>酸洗污泥仓库</w:t>
            </w:r>
          </w:p>
        </w:tc>
        <w:tc>
          <w:tcPr>
            <w:tcW w:w="3087" w:type="dxa"/>
            <w:tcBorders>
              <w:right w:val="single" w:color="auto" w:sz="2" w:space="0"/>
            </w:tcBorders>
            <w:vAlign w:val="center"/>
          </w:tcPr>
          <w:p>
            <w:pPr>
              <w:pStyle w:val="1614"/>
              <w:spacing w:line="300" w:lineRule="exact"/>
              <w:ind w:left="107"/>
              <w:jc w:val="center"/>
              <w:rPr>
                <w:rFonts w:eastAsiaTheme="minorEastAsia"/>
                <w:sz w:val="21"/>
                <w:szCs w:val="21"/>
              </w:rPr>
            </w:pPr>
            <w:r>
              <w:rPr>
                <w:rFonts w:eastAsiaTheme="minorEastAsia"/>
                <w:spacing w:val="-12"/>
                <w:sz w:val="21"/>
                <w:szCs w:val="21"/>
              </w:rPr>
              <w:t xml:space="preserve">建筑面积 </w:t>
            </w:r>
            <w:r>
              <w:rPr>
                <w:rFonts w:eastAsiaTheme="minorEastAsia"/>
                <w:spacing w:val="-11"/>
                <w:sz w:val="21"/>
                <w:szCs w:val="21"/>
              </w:rPr>
              <w:t>330m</w:t>
            </w:r>
            <w:r>
              <w:rPr>
                <w:rFonts w:eastAsiaTheme="minorEastAsia"/>
                <w:spacing w:val="-11"/>
                <w:sz w:val="21"/>
                <w:szCs w:val="21"/>
                <w:vertAlign w:val="superscript"/>
              </w:rPr>
              <w:t>2</w:t>
            </w:r>
            <w:r>
              <w:rPr>
                <w:rFonts w:eastAsiaTheme="minorEastAsia"/>
                <w:spacing w:val="-11"/>
                <w:sz w:val="21"/>
                <w:szCs w:val="21"/>
              </w:rPr>
              <w:t xml:space="preserve">，主要临时暂存 </w:t>
            </w:r>
            <w:r>
              <w:rPr>
                <w:rFonts w:eastAsiaTheme="minorEastAsia"/>
                <w:sz w:val="21"/>
                <w:szCs w:val="21"/>
              </w:rPr>
              <w:t>HW17</w:t>
            </w:r>
            <w:r>
              <w:rPr>
                <w:rFonts w:eastAsiaTheme="minorEastAsia"/>
                <w:spacing w:val="-10"/>
                <w:sz w:val="21"/>
                <w:szCs w:val="21"/>
              </w:rPr>
              <w:t>表面处理污</w:t>
            </w:r>
            <w:r>
              <w:rPr>
                <w:rFonts w:eastAsiaTheme="minorEastAsia"/>
                <w:sz w:val="21"/>
                <w:szCs w:val="21"/>
              </w:rPr>
              <w:t>泥</w:t>
            </w:r>
            <w:r>
              <w:rPr>
                <w:rFonts w:hint="eastAsia" w:eastAsiaTheme="minorEastAsia"/>
                <w:sz w:val="21"/>
                <w:szCs w:val="21"/>
              </w:rPr>
              <w:t>、</w:t>
            </w:r>
            <w:r>
              <w:rPr>
                <w:rFonts w:eastAsiaTheme="minorEastAsia"/>
                <w:sz w:val="21"/>
                <w:szCs w:val="21"/>
              </w:rPr>
              <w:t>槽渣</w:t>
            </w:r>
          </w:p>
        </w:tc>
        <w:tc>
          <w:tcPr>
            <w:tcW w:w="1488" w:type="dxa"/>
            <w:tcBorders>
              <w:left w:val="single" w:color="auto" w:sz="2" w:space="0"/>
            </w:tcBorders>
            <w:vAlign w:val="center"/>
          </w:tcPr>
          <w:p>
            <w:pPr>
              <w:pStyle w:val="1614"/>
              <w:spacing w:line="300" w:lineRule="exact"/>
              <w:ind w:left="107"/>
              <w:jc w:val="center"/>
              <w:rPr>
                <w:rFonts w:eastAsiaTheme="minorEastAsia"/>
                <w:sz w:val="21"/>
                <w:szCs w:val="21"/>
              </w:rPr>
            </w:pPr>
            <w:r>
              <w:rPr>
                <w:rFonts w:hint="eastAsia" w:eastAsiaTheme="minorEastAsia"/>
                <w:sz w:val="21"/>
                <w:szCs w:val="21"/>
              </w:rPr>
              <w:t>酸洗废水处理站</w:t>
            </w:r>
            <w:r>
              <w:rPr>
                <w:rFonts w:eastAsiaTheme="minorEastAsia"/>
                <w:sz w:val="21"/>
                <w:szCs w:val="21"/>
              </w:rPr>
              <w:t>南侧</w:t>
            </w:r>
          </w:p>
        </w:tc>
        <w:tc>
          <w:tcPr>
            <w:tcW w:w="825" w:type="dxa"/>
            <w:vAlign w:val="center"/>
          </w:tcPr>
          <w:p>
            <w:pPr>
              <w:pStyle w:val="1614"/>
              <w:spacing w:line="300" w:lineRule="exact"/>
              <w:ind w:left="95" w:right="87"/>
              <w:jc w:val="center"/>
              <w:rPr>
                <w:rFonts w:eastAsiaTheme="minorEastAsia"/>
                <w:sz w:val="21"/>
                <w:szCs w:val="21"/>
              </w:rPr>
            </w:pPr>
            <w:r>
              <w:rPr>
                <w:rFonts w:eastAsiaTheme="minorEastAsia"/>
                <w:sz w:val="21"/>
                <w:szCs w:val="21"/>
              </w:rPr>
              <w:t>350</w:t>
            </w:r>
          </w:p>
        </w:tc>
      </w:tr>
    </w:tbl>
    <w:p>
      <w:pPr>
        <w:pStyle w:val="4"/>
        <w:ind w:firstLine="0"/>
        <w:rPr>
          <w:rFonts w:ascii="Times New Roman" w:hAnsi="Times New Roman" w:cs="Times New Roman"/>
          <w:spacing w:val="0"/>
          <w:lang w:val="zh-CN"/>
        </w:rPr>
      </w:pPr>
      <w:r>
        <w:rPr>
          <w:rFonts w:ascii="Times New Roman" w:hAnsi="Times New Roman" w:cs="Times New Roman"/>
          <w:spacing w:val="0"/>
        </w:rPr>
        <mc:AlternateContent>
          <mc:Choice Requires="wps">
            <w:drawing>
              <wp:anchor distT="0" distB="0" distL="114300" distR="114300" simplePos="0" relativeHeight="251685888" behindDoc="0" locked="0" layoutInCell="1" allowOverlap="1">
                <wp:simplePos x="0" y="0"/>
                <wp:positionH relativeFrom="column">
                  <wp:posOffset>412750</wp:posOffset>
                </wp:positionH>
                <wp:positionV relativeFrom="paragraph">
                  <wp:posOffset>2218690</wp:posOffset>
                </wp:positionV>
                <wp:extent cx="476250" cy="350520"/>
                <wp:effectExtent l="0" t="0" r="0" b="0"/>
                <wp:wrapNone/>
                <wp:docPr id="25" name="矩形 25"/>
                <wp:cNvGraphicFramePr/>
                <a:graphic xmlns:a="http://schemas.openxmlformats.org/drawingml/2006/main">
                  <a:graphicData uri="http://schemas.microsoft.com/office/word/2010/wordprocessingShape">
                    <wps:wsp>
                      <wps:cNvSpPr/>
                      <wps:spPr>
                        <a:xfrm>
                          <a:off x="0" y="0"/>
                          <a:ext cx="476250" cy="350520"/>
                        </a:xfrm>
                        <a:prstGeom prst="rect">
                          <a:avLst/>
                        </a:prstGeom>
                        <a:noFill/>
                        <a:ln w="25400" cap="flat" cmpd="sng" algn="ctr">
                          <a:noFill/>
                          <a:prstDash val="solid"/>
                        </a:ln>
                        <a:effectLst/>
                      </wps:spPr>
                      <wps:txbx>
                        <w:txbxContent>
                          <w:p>
                            <w:pPr>
                              <w:jc w:val="center"/>
                              <w:rPr>
                                <w:b/>
                                <w:color w:val="FFFF00"/>
                                <w:sz w:val="18"/>
                                <w:szCs w:val="18"/>
                              </w:rPr>
                            </w:pPr>
                            <w:r>
                              <w:rPr>
                                <w:b/>
                                <w:color w:val="FFFF00"/>
                                <w:sz w:val="18"/>
                                <w:szCs w:val="18"/>
                              </w:rPr>
                              <w:t>废渣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pt;margin-top:174.7pt;height:27.6pt;width:37.5pt;z-index:251685888;v-text-anchor:middle;mso-width-relative:page;mso-height-relative:page;" filled="f" stroked="f" coordsize="21600,21600" o:gfxdata="UEsDBAoAAAAAAIdO4kAAAAAAAAAAAAAAAAAEAAAAZHJzL1BLAwQUAAAACACHTuJAlotQ0dgAAAAK&#10;AQAADwAAAGRycy9kb3ducmV2LnhtbE2PwU7DMBBE70j8g7VI3KhdMBGEbKoKAVKPNEiImxMvSSBe&#10;R7Gbtn+PeyrH2RnNvilWBzeImabQe0ZYLhQI4sbbnluEj+r15gFEiIatGTwTwpECrMrLi8Lk1u/5&#10;neZtbEUq4ZAbhC7GMZcyNB05ExZ+JE7et5+ciUlOrbST2adyN8hbpTLpTM/pQ2dGeu6o+d3uHEKo&#10;5011HNefP1+hqdcv7Cq9eUO8vlqqJxCRDvEchhN+QocyMdV+xzaIASG7T1Miwp1+1CBOAa3SpUbQ&#10;Smcgy0L+n1D+AVBLAwQUAAAACACHTuJA+sa0cz0CAABXBAAADgAAAGRycy9lMm9Eb2MueG1srVTN&#10;jtMwEL4j8Q6W7zRtaXeharqqtipCWrGVFsTZdewmkv+w3ablZZC48RA8DuI1+OxkuxVwQlycGc/4&#10;m5lvZjK/OWpFDsKHxpqSjgZDSoThtmrMrqQf3q9fvKIkRGYqpqwRJT2JQG8Wz5/NWzcTY1tbVQlP&#10;AGLCrHUlrWN0s6IIvBaahYF1wsAordcsQvW7ovKsBbpWxXg4vCpa6yvnLRch4HbVGeki40speLyX&#10;MohIVEmRW8ynz+c2ncVizmY7z1zd8D4N9g9ZaNYYBD1DrVhkZO+bP6B0w70NVsYBt7qwUjZc5BpQ&#10;zWj4WzUPNXMi1wJygjvTFP4fLH932HjSVCUdTykxTKNHP798+/H9K8EF2GldmMHpwW18rwWIqdSj&#10;9Dp9UQQ5ZkZPZ0bFMRKOy8n11XgK3jlML6fD6TgzXjw9dj7EN8JqkoSSejQs88gOdyEiIFwfXVIs&#10;Y9eNUrlpypA2ZT0ZJnyG2ZGKRYjaoZpgdpQwtcNQ8ugz5MXbBLlioSYHhrkIVjVVqhXBlElhRJ6c&#10;PoPEQFdzkuJxe+yJ2NrqBPK87aYqOL5uAHzHQtwwjzFCYliNeI9DKotsbS9RUlv/+W/3yR/dhZWS&#10;FmOJ7D7tmReUqLcGfX89mkzSHGdlMr0GocRfWraXFrPXtxYVjrCEjmcx+Uf1KEpv9Uds0DJFhYkZ&#10;jtgdZ71yG7t1wQ5ysVxmN8yuY/HOPDiewLvOLPfRyiY3LRHVsQNSk4LpzfT2m5bW41LPXk//g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otQ0dgAAAAKAQAADwAAAAAAAAABACAAAAAiAAAAZHJz&#10;L2Rvd25yZXYueG1sUEsBAhQAFAAAAAgAh07iQPrGtHM9AgAAVwQAAA4AAAAAAAAAAQAgAAAAJwEA&#10;AGRycy9lMm9Eb2MueG1sUEsFBgAAAAAGAAYAWQEAANYFAAAAAA==&#10;">
                <v:fill on="f" focussize="0,0"/>
                <v:stroke on="f" weight="2pt"/>
                <v:imagedata o:title=""/>
                <o:lock v:ext="edit" aspectratio="f"/>
                <v:textbox>
                  <w:txbxContent>
                    <w:p>
                      <w:pPr>
                        <w:jc w:val="center"/>
                        <w:rPr>
                          <w:b/>
                          <w:color w:val="FFFF00"/>
                          <w:sz w:val="18"/>
                          <w:szCs w:val="18"/>
                        </w:rPr>
                      </w:pPr>
                      <w:r>
                        <w:rPr>
                          <w:b/>
                          <w:color w:val="FFFF00"/>
                          <w:sz w:val="18"/>
                          <w:szCs w:val="18"/>
                        </w:rPr>
                        <w:t>废渣</w:t>
                      </w:r>
                    </w:p>
                  </w:txbxContent>
                </v:textbox>
              </v:rect>
            </w:pict>
          </mc:Fallback>
        </mc:AlternateContent>
      </w:r>
      <w:r>
        <w:rPr>
          <w:rFonts w:ascii="Times New Roman" w:hAnsi="Times New Roman" w:cs="Times New Roman"/>
          <w:spacing w:val="0"/>
        </w:rPr>
        <mc:AlternateContent>
          <mc:Choice Requires="wps">
            <w:drawing>
              <wp:anchor distT="0" distB="0" distL="114300" distR="114300" simplePos="0" relativeHeight="251683840" behindDoc="0" locked="0" layoutInCell="1" allowOverlap="1">
                <wp:simplePos x="0" y="0"/>
                <wp:positionH relativeFrom="column">
                  <wp:posOffset>403225</wp:posOffset>
                </wp:positionH>
                <wp:positionV relativeFrom="paragraph">
                  <wp:posOffset>2304415</wp:posOffset>
                </wp:positionV>
                <wp:extent cx="381000" cy="180975"/>
                <wp:effectExtent l="0" t="0" r="19050" b="28575"/>
                <wp:wrapNone/>
                <wp:docPr id="10" name="任意多边形 10"/>
                <wp:cNvGraphicFramePr/>
                <a:graphic xmlns:a="http://schemas.openxmlformats.org/drawingml/2006/main">
                  <a:graphicData uri="http://schemas.microsoft.com/office/word/2010/wordprocessingShape">
                    <wps:wsp>
                      <wps:cNvSpPr/>
                      <wps:spPr>
                        <a:xfrm>
                          <a:off x="0" y="0"/>
                          <a:ext cx="381000" cy="180975"/>
                        </a:xfrm>
                        <a:custGeom>
                          <a:avLst/>
                          <a:gdLst>
                            <a:gd name="connsiteX0" fmla="*/ 0 w 381000"/>
                            <a:gd name="connsiteY0" fmla="*/ 0 h 228600"/>
                            <a:gd name="connsiteX1" fmla="*/ 381000 w 381000"/>
                            <a:gd name="connsiteY1" fmla="*/ 47625 h 228600"/>
                            <a:gd name="connsiteX2" fmla="*/ 361950 w 381000"/>
                            <a:gd name="connsiteY2" fmla="*/ 228600 h 228600"/>
                            <a:gd name="connsiteX3" fmla="*/ 133350 w 381000"/>
                            <a:gd name="connsiteY3" fmla="*/ 228600 h 228600"/>
                            <a:gd name="connsiteX4" fmla="*/ 0 w 3810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0" h="228600">
                              <a:moveTo>
                                <a:pt x="0" y="0"/>
                              </a:moveTo>
                              <a:lnTo>
                                <a:pt x="381000" y="47625"/>
                              </a:lnTo>
                              <a:lnTo>
                                <a:pt x="361950" y="228600"/>
                              </a:lnTo>
                              <a:lnTo>
                                <a:pt x="133350" y="228600"/>
                              </a:lnTo>
                              <a:lnTo>
                                <a:pt x="0"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31.75pt;margin-top:181.45pt;height:14.25pt;width:30pt;z-index:251683840;v-text-anchor:middle;mso-width-relative:page;mso-height-relative:page;" filled="f" stroked="t" coordsize="381000,228600" o:gfxdata="UEsDBAoAAAAAAIdO4kAAAAAAAAAAAAAAAAAEAAAAZHJzL1BLAwQUAAAACACHTuJABGjD5dYAAAAK&#10;AQAADwAAAGRycy9kb3ducmV2LnhtbE2PTU+EMBCG7yb+h2ZMvBi3BVyyIGUPJhw8ipp47NKRkm2n&#10;hHY//PeWkx7nnSfvPNPsr86yMy5h8iQh2whgSIPXE40SPt67xx2wEBVpZT2hhB8MsG9vbxpVa3+h&#10;Nzz3cWSphEKtJJgY55rzMBh0Kmz8jJR2335xKqZxGble1CWVO8tzIUru1ETpglEzvhgcjv3JSRBd&#10;9dofPwtt5q9sx0fsyoetlfL+LhPPwCJe4x8Mq35ShzY5HfyJdGBWQllsEymhKPMK2Arka3JISZU9&#10;AW8b/v+F9hdQSwMEFAAAAAgAh07iQCYnabJtAwAA7ggAAA4AAABkcnMvZTJvRG9jLnhtbK1Wy27c&#10;NhTdB+g/EFoWiPWYGT8GHgeGDQcBjMSAUzRdcihqJIAiWZLzcNbZZ59l0Z8IgvRrmqKf0UNKmqHd&#10;AGMXnYXmUvd97uW9On2xaQVZcWMbJWdJfpAlhEumykYuZslPb6+eHyfEOipLKpTks+SO2+TF2Q/P&#10;Ttd6ygtVK1FyQ2BE2ulaz5LaOT1NU8tq3lJ7oDSXYFbKtNThaBZpaega1luRFll2mK6VKbVRjFuL&#10;t5cdMzkL9quKM/emqix3RMwSxObC04Tn3D/Ts1M6XRiq64b1YdD/EEVLGwmnW1OX1FGyNM2/TLUN&#10;M8qqyh0w1aaqqhrGQw7IJs8eZHNbU81DLgDH6i1M9v8zy16vbgxpStQO8EjaokZ/fvny14eP337/&#10;9Pcfn799/Y2AA5jW2k4hfatvTH+yIH3Om8q0/h/ZkE2A9m4LLd84wvBydJxnGTwwsPLj7ORo4m2m&#10;O2W2tO4lV8EQXV1b11WmBBVwLfvgmJLSNo6/g7GqFSjWjynJyJr0Hnq1B9K/3JeuSVEcHyKe70u/&#10;yyPbnd29DmKV8dFhMSH7nBSxk8P8ZLI/i1ily2Cvl1HkJR+NRo/wEqs80ss48rI/jfvSMU5oiMVQ&#10;cloPXcA2sm8DUIT60ZKF26aV9R0X9wT6azii6F2PQcv30B5lVDBWzp+kjMrEysWTlAF4rDx6kjLA&#10;jJXHsTLg3GFnMAz9GBRhDLqEYAyahGAMzr0OnWrqPOQDSda7a1vPkv7GeG6rVvytCnLuwY2Hxx1X&#10;yFhqGAGINlyQPtBBaPjXweQoXIiQ2u6qwvggNfx30l1jP1YaswAxDM0xWGJCWd71iwciDKctIh7I&#10;aEBJddUIEUAT0uNUTMZhulGssEpQgMtajaFq5SIhVCywG5kzoWetEk3p1T1+1izmF8KQFUVhrvDr&#10;ZhLc3RPTxrpLautOLrC26CFQP5q7YeypuSrvMNON6pad1eyqgf41te6GGgxM5I+N7d7gUQmF6FHO&#10;QCWkVub99957eSwdcBOyxrZEZr8uqeEJEa8k1tFJPh7DrAuH8eSowMHEnHnMkcv2QiFh3DhEF0gv&#10;78RAVka1P2Oxn3uvYFHJ4LvDsD9cOJzBwqcB4+fngcZKRcWu5a1m3rgHWKrzpVNV49dJwKlDpz9g&#10;qYY69x8AfmvH5yC1+0w5+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AEaMPl1gAAAAoBAAAPAAAA&#10;AAAAAAEAIAAAACIAAABkcnMvZG93bnJldi54bWxQSwECFAAUAAAACACHTuJAJidpsm0DAADuCAAA&#10;DgAAAAAAAAABACAAAAAlAQAAZHJzL2Uyb0RvYy54bWxQSwUGAAAAAAYABgBZAQAABAcAAAAA&#10;" path="m0,0l381000,47625,361950,228600,133350,228600,0,0xe">
                <v:path o:connectlocs="0,0;381000,37703;361950,180975;133350,180975;0,0" o:connectangles="0,0,0,0,0"/>
                <v:fill on="f" focussize="0,0"/>
                <v:stroke weight="2pt" color="#FFFF00 [3204]" joinstyle="round"/>
                <v:imagedata o:title=""/>
                <o:lock v:ext="edit" aspectratio="f"/>
              </v:shape>
            </w:pict>
          </mc:Fallback>
        </mc:AlternateContent>
      </w:r>
      <w:r>
        <w:rPr>
          <w:rFonts w:ascii="Times New Roman" w:hAnsi="Times New Roman" w:cs="Times New Roman"/>
          <w:spacing w:val="0"/>
        </w:rPr>
        <mc:AlternateContent>
          <mc:Choice Requires="wps">
            <w:drawing>
              <wp:anchor distT="0" distB="0" distL="114300" distR="114300" simplePos="0" relativeHeight="251665408" behindDoc="0" locked="0" layoutInCell="1" allowOverlap="1">
                <wp:simplePos x="0" y="0"/>
                <wp:positionH relativeFrom="column">
                  <wp:posOffset>382270</wp:posOffset>
                </wp:positionH>
                <wp:positionV relativeFrom="paragraph">
                  <wp:posOffset>1898015</wp:posOffset>
                </wp:positionV>
                <wp:extent cx="754380" cy="495300"/>
                <wp:effectExtent l="0" t="0" r="0" b="0"/>
                <wp:wrapNone/>
                <wp:docPr id="45" name="矩形 45"/>
                <wp:cNvGraphicFramePr/>
                <a:graphic xmlns:a="http://schemas.openxmlformats.org/drawingml/2006/main">
                  <a:graphicData uri="http://schemas.microsoft.com/office/word/2010/wordprocessingShape">
                    <wps:wsp>
                      <wps:cNvSpPr/>
                      <wps:spPr>
                        <a:xfrm>
                          <a:off x="0" y="0"/>
                          <a:ext cx="754380" cy="495300"/>
                        </a:xfrm>
                        <a:prstGeom prst="rect">
                          <a:avLst/>
                        </a:prstGeom>
                        <a:noFill/>
                        <a:ln w="25400" cap="flat" cmpd="sng" algn="ctr">
                          <a:noFill/>
                          <a:prstDash val="solid"/>
                        </a:ln>
                        <a:effectLst/>
                      </wps:spPr>
                      <wps:txbx>
                        <w:txbxContent>
                          <w:p>
                            <w:pPr>
                              <w:jc w:val="center"/>
                              <w:rPr>
                                <w:b/>
                                <w:color w:val="FFFF00"/>
                                <w:sz w:val="18"/>
                                <w:szCs w:val="18"/>
                              </w:rPr>
                            </w:pPr>
                            <w:r>
                              <w:rPr>
                                <w:rFonts w:hint="eastAsia"/>
                                <w:b/>
                                <w:color w:val="FFFF00"/>
                                <w:sz w:val="18"/>
                                <w:szCs w:val="18"/>
                              </w:rPr>
                              <w:t>原料场地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149.45pt;height:39pt;width:59.4pt;z-index:251665408;v-text-anchor:middle;mso-width-relative:page;mso-height-relative:page;" filled="f" stroked="f" coordsize="21600,21600" o:gfxdata="UEsDBAoAAAAAAIdO4kAAAAAAAAAAAAAAAAAEAAAAZHJzL1BLAwQUAAAACACHTuJAeAr0k9kAAAAK&#10;AQAADwAAAGRycy9kb3ducmV2LnhtbE2PwU7DMBBE70j8g7VI3KjdgNImZFNVCJB6pEFC3Jx4SQLx&#10;OordtP173BMcV/s086bYnOwgZpp87xhhuVAgiBtnem4R3quXuzUIHzQbPTgmhDN52JTXV4XOjTvy&#10;G8370IoYwj7XCF0IYy6lbzqy2i/cSBx/X26yOsRzaqWZ9DGG20EmSqXS6p5jQ6dHeuqo+dkfLIKv&#10;5111Hrcf35++qbfPbKuH3Svi7c1SPYIIdAp/MFz0ozqU0al2BzZeDAipSiKJkGTrDMQFWGVxXI1w&#10;v0ozkGUh/08ofwFQSwMEFAAAAAgAh07iQHp9miI/AgAAVwQAAA4AAABkcnMvZTJvRG9jLnhtbK1U&#10;zW4TMRC+I/EOlu9kk3RD26ibKmoVhFTRSgFxdrx2diX/YTvZlJdB4sZD8DiI1+Czd5tGwAlx8c54&#10;xt/MfDOzV9cHrche+NBaU9HJaEyJMNzWrdlW9MP71asLSkJkpmbKGlHRRxHo9eLli6vOzcXUNlbV&#10;whOAmDDvXEWbGN28KAJvhGZhZJ0wMErrNYtQ/baoPeuArlUxHY9fF531tfOWixBwe9sb6SLjSyl4&#10;vJcyiEhURZFbzKfP5yadxeKKzbeeuablQxrsH7LQrDUIeoS6ZZGRnW//gNIt9zZYGUfc6sJK2XKR&#10;a0A1k/Fv1awb5kSuBeQEd6Qp/D9Y/m7/4ElbV7ScUWKYRo9+fvn24/tXgguw07kwh9PaPfhBCxBT&#10;qQfpdfqiCHLIjD4eGRWHSDguz2fl2QV45zCVl7OzcWa8eH7sfIhvhNUkCRX1aFjmke3vQkRAuD65&#10;pFjGrlqlctOUIV1Fp7MSmIQzzI5ULELUDtUEs6WEqS2GkkefIU/eJshbFhqyZ5iLYFVbp1oRTJkU&#10;RuTJGTJIDPQ1JykeNoeBiI2tH0Get/1UBcdXLYDvWIgPzGOMkBhWI97jkMoiWztIlDTWf/7bffJH&#10;d2GlpMNYIrtPO+YFJeqtQd8vJ2WZ5jgr5ex8CsWfWjanFrPTNxYVTrCEjmcx+Uf1JEpv9Uds0DJF&#10;hYkZjtg9Z4NyE/t1wQ5ysVxmN8yuY/HOrB1P4H1nlrtoZZublojq2QGpScH0ZnqHTUvrcapnr+f/&#10;w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Ar0k9kAAAAKAQAADwAAAAAAAAABACAAAAAiAAAA&#10;ZHJzL2Rvd25yZXYueG1sUEsBAhQAFAAAAAgAh07iQHp9miI/AgAAVwQAAA4AAAAAAAAAAQAgAAAA&#10;KAEAAGRycy9lMm9Eb2MueG1sUEsFBgAAAAAGAAYAWQEAANkFAAAAAA==&#10;">
                <v:fill on="f" focussize="0,0"/>
                <v:stroke on="f" weight="2pt"/>
                <v:imagedata o:title=""/>
                <o:lock v:ext="edit" aspectratio="f"/>
                <v:textbox>
                  <w:txbxContent>
                    <w:p>
                      <w:pPr>
                        <w:jc w:val="center"/>
                        <w:rPr>
                          <w:b/>
                          <w:color w:val="FFFF00"/>
                          <w:sz w:val="18"/>
                          <w:szCs w:val="18"/>
                        </w:rPr>
                      </w:pPr>
                      <w:r>
                        <w:rPr>
                          <w:rFonts w:hint="eastAsia"/>
                          <w:b/>
                          <w:color w:val="FFFF00"/>
                          <w:sz w:val="18"/>
                          <w:szCs w:val="18"/>
                        </w:rPr>
                        <w:t>原料场地</w:t>
                      </w:r>
                    </w:p>
                  </w:txbxContent>
                </v:textbox>
              </v:rect>
            </w:pict>
          </mc:Fallback>
        </mc:AlternateContent>
      </w:r>
      <w:r>
        <w:rPr>
          <w:rFonts w:ascii="Times New Roman" w:hAnsi="Times New Roman" w:cs="Times New Roman"/>
          <w:spacing w:val="0"/>
        </w:rPr>
        <mc:AlternateContent>
          <mc:Choice Requires="wps">
            <w:drawing>
              <wp:anchor distT="0" distB="0" distL="114300" distR="114300" simplePos="0" relativeHeight="251663360" behindDoc="0" locked="0" layoutInCell="1" allowOverlap="1">
                <wp:simplePos x="0" y="0"/>
                <wp:positionH relativeFrom="column">
                  <wp:posOffset>2096770</wp:posOffset>
                </wp:positionH>
                <wp:positionV relativeFrom="paragraph">
                  <wp:posOffset>1631315</wp:posOffset>
                </wp:positionV>
                <wp:extent cx="220980" cy="464820"/>
                <wp:effectExtent l="0" t="0" r="0" b="0"/>
                <wp:wrapNone/>
                <wp:docPr id="44" name="矩形 44"/>
                <wp:cNvGraphicFramePr/>
                <a:graphic xmlns:a="http://schemas.openxmlformats.org/drawingml/2006/main">
                  <a:graphicData uri="http://schemas.microsoft.com/office/word/2010/wordprocessingShape">
                    <wps:wsp>
                      <wps:cNvSpPr/>
                      <wps:spPr>
                        <a:xfrm>
                          <a:off x="0" y="0"/>
                          <a:ext cx="220980" cy="464820"/>
                        </a:xfrm>
                        <a:prstGeom prst="rect">
                          <a:avLst/>
                        </a:prstGeom>
                        <a:noFill/>
                        <a:ln w="25400" cap="flat" cmpd="sng" algn="ctr">
                          <a:noFill/>
                          <a:prstDash val="solid"/>
                        </a:ln>
                        <a:effectLst/>
                      </wps:spPr>
                      <wps:txbx>
                        <w:txbxContent>
                          <w:p>
                            <w:pPr>
                              <w:jc w:val="center"/>
                              <w:rPr>
                                <w:b/>
                                <w:color w:val="FFFF00"/>
                                <w:sz w:val="18"/>
                                <w:szCs w:val="18"/>
                              </w:rPr>
                            </w:pPr>
                            <w:r>
                              <w:rPr>
                                <w:rFonts w:hint="eastAsia"/>
                                <w:b/>
                                <w:color w:val="FFFF00"/>
                                <w:sz w:val="18"/>
                                <w:szCs w:val="1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1pt;margin-top:128.45pt;height:36.6pt;width:17.4pt;z-index:251663360;v-text-anchor:middle;mso-width-relative:page;mso-height-relative:page;" filled="f" stroked="f" coordsize="21600,21600" o:gfxdata="UEsDBAoAAAAAAIdO4kAAAAAAAAAAAAAAAAAEAAAAZHJzL1BLAwQUAAAACACHTuJA4YKaDtkAAAAL&#10;AQAADwAAAGRycy9kb3ducmV2LnhtbE2Py07DMBBF90j8gzVI7KjzoBENcaoKAVKXNEioOycekkA8&#10;jmI3bf+egU1Zju7RnXOL9ckOYsbJ944UxIsIBFLjTE+tgvfq5e4BhA+ajB4coYIzeliX11eFzo07&#10;0hvOu9AKLiGfawVdCGMupW86tNov3IjE2aebrA58Tq00kz5yuR1kEkWZtLon/tDpEZ86bL53B6vA&#10;1/O2Oo+bj6+9b+rNM9nqfvuq1O1NHD2CCHgKFxh+9VkdSnaq3YGMF4OCNI0SRhUky2wFgok0W/K6&#10;+i+KQZaF/L+h/AFQSwMEFAAAAAgAh07iQHMrcYw+AgAAVwQAAA4AAABkcnMvZTJvRG9jLnhtbK1U&#10;zW4TMRC+I/EOlu9kk2hb2qibKmoUhBTRSgFxdrx2diX/YTvZhJdB4sZD8DiI1+Czd9tGwAlx8c54&#10;xt/MfDOzN7dHrchB+NBaU9HJaEyJMNzWrdlV9MP71asrSkJkpmbKGlHRkwj0dv7yxU3nZmJqG6tq&#10;4QlATJh1rqJNjG5WFIE3QrMwsk4YGKX1mkWoflfUnnVA16qYjseXRWd97bzlIgTcLnsjnWd8KQWP&#10;91IGEYmqKHKL+fT53KazmN+w2c4z17R8SIP9QxaatQZBn6CWLDKy9+0fULrl3gYr44hbXVgpWy5y&#10;DahmMv6tmk3DnMi1gJzgnmgK/w+Wvzs8eNLWFS1LSgzT6NHPL99+fP9KcAF2OhdmcNq4Bz9oAWIq&#10;9Si9Tl8UQY6Z0dMTo+IYCcfldDq+vgLvHKbysryaZsaL58fOh/hGWE2SUFGPhmUe2WEdIgLC9dEl&#10;xTJ21SqVm6YM6RDgohwnfIbZkYpFiNqhmmB2lDC1w1Dy6DPk2dsEuWShIQeGuQhWtXWqFcGUSWFE&#10;npwhg8RAX3OS4nF7HIjY2voE8rztpyo4vmoBvGYhPjCPMUJiWI14j0Mqi2ztIFHSWP/5b/fJH92F&#10;lZIOY4nsPu2ZF5SotwZ9v56UZZrjrJQXr0Eo8eeW7bnF7PWdRYUTLKHjWUz+UT2K0lv9ERu0SFFh&#10;YoYjds/ZoNzFfl2wg1wsFtkNs+tYXJuN4wm878xiH61sc9MSUT07IDUpmN5M77BpaT3O9ez1/D+Y&#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hgpoO2QAAAAsBAAAPAAAAAAAAAAEAIAAAACIAAABk&#10;cnMvZG93bnJldi54bWxQSwECFAAUAAAACACHTuJAcytxjD4CAABXBAAADgAAAAAAAAABACAAAAAo&#10;AQAAZHJzL2Uyb0RvYy54bWxQSwUGAAAAAAYABgBZAQAA2AUAAAAA&#10;">
                <v:fill on="f" focussize="0,0"/>
                <v:stroke on="f" weight="2pt"/>
                <v:imagedata o:title=""/>
                <o:lock v:ext="edit" aspectratio="f"/>
                <v:textbox>
                  <w:txbxContent>
                    <w:p>
                      <w:pPr>
                        <w:jc w:val="center"/>
                        <w:rPr>
                          <w:b/>
                          <w:color w:val="FFFF00"/>
                          <w:sz w:val="18"/>
                          <w:szCs w:val="18"/>
                        </w:rPr>
                      </w:pPr>
                      <w:r>
                        <w:rPr>
                          <w:rFonts w:hint="eastAsia"/>
                          <w:b/>
                          <w:color w:val="FFFF00"/>
                          <w:sz w:val="18"/>
                          <w:szCs w:val="18"/>
                        </w:rPr>
                        <w:t>2</w:t>
                      </w:r>
                    </w:p>
                  </w:txbxContent>
                </v:textbox>
              </v:rect>
            </w:pict>
          </mc:Fallback>
        </mc:AlternateContent>
      </w:r>
      <w:r>
        <w:rPr>
          <w:rFonts w:ascii="Times New Roman" w:hAnsi="Times New Roman" w:cs="Times New Roman"/>
          <w:spacing w:val="0"/>
        </w:rPr>
        <mc:AlternateContent>
          <mc:Choice Requires="wps">
            <w:drawing>
              <wp:anchor distT="0" distB="0" distL="114300" distR="114300" simplePos="0" relativeHeight="251661312" behindDoc="0" locked="0" layoutInCell="1" allowOverlap="1">
                <wp:simplePos x="0" y="0"/>
                <wp:positionH relativeFrom="column">
                  <wp:posOffset>3315970</wp:posOffset>
                </wp:positionH>
                <wp:positionV relativeFrom="paragraph">
                  <wp:posOffset>2042795</wp:posOffset>
                </wp:positionV>
                <wp:extent cx="220980" cy="350520"/>
                <wp:effectExtent l="0" t="0" r="0" b="0"/>
                <wp:wrapNone/>
                <wp:docPr id="43" name="矩形 43"/>
                <wp:cNvGraphicFramePr/>
                <a:graphic xmlns:a="http://schemas.openxmlformats.org/drawingml/2006/main">
                  <a:graphicData uri="http://schemas.microsoft.com/office/word/2010/wordprocessingShape">
                    <wps:wsp>
                      <wps:cNvSpPr/>
                      <wps:spPr>
                        <a:xfrm>
                          <a:off x="0" y="0"/>
                          <a:ext cx="220980" cy="350520"/>
                        </a:xfrm>
                        <a:prstGeom prst="rect">
                          <a:avLst/>
                        </a:prstGeom>
                        <a:noFill/>
                        <a:ln w="25400" cap="flat" cmpd="sng" algn="ctr">
                          <a:noFill/>
                          <a:prstDash val="solid"/>
                        </a:ln>
                        <a:effectLst/>
                      </wps:spPr>
                      <wps:txbx>
                        <w:txbxContent>
                          <w:p>
                            <w:pPr>
                              <w:jc w:val="center"/>
                              <w:rPr>
                                <w:b/>
                                <w:color w:val="FFFF00"/>
                                <w:sz w:val="18"/>
                                <w:szCs w:val="18"/>
                              </w:rPr>
                            </w:pPr>
                            <w:r>
                              <w:rPr>
                                <w:rFonts w:hint="eastAsia"/>
                                <w:b/>
                                <w:color w:val="FFFF00"/>
                                <w:sz w:val="18"/>
                                <w:szCs w:val="1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1pt;margin-top:160.85pt;height:27.6pt;width:17.4pt;z-index:251661312;v-text-anchor:middle;mso-width-relative:page;mso-height-relative:page;" filled="f" stroked="f" coordsize="21600,21600" o:gfxdata="UEsDBAoAAAAAAIdO4kAAAAAAAAAAAAAAAAAEAAAAZHJzL1BLAwQUAAAACACHTuJAiX/YrNoAAAAL&#10;AQAADwAAAGRycy9kb3ducmV2LnhtbE2PwU6DQBCG7ya+w2ZMvNkFlNIiS9MYNemxxcR4W9gRUHaW&#10;sFvavr3jSY8z8+Wf7y82ZzuIGSffO1IQLyIQSI0zPbUK3qqXuxUIHzQZPThCBRf0sCmvrwqdG3ei&#10;Pc6H0AoOIZ9rBV0IYy6lbzq02i/ciMS3TzdZHXicWmkmfeJwO8gkipbS6p74Q6dHfOqw+T4crQJf&#10;z7vqMm7fvz58U2+fyVYPu1elbm/i6BFEwHP4g+FXn9WhZKfaHcl4MShIkyRhVMF9EmcgmEjTjNvV&#10;vMmWa5BlIf93KH8AUEsDBBQAAAAIAIdO4kA+8VzcPgIAAFcEAAAOAAAAZHJzL2Uyb0RvYy54bWyt&#10;VM1uEzEQviPxDpbvZDdpAm3UTRW1CkKqaKWAODteO7uS/7CdbMrLIHHjIfo4iNfgs3ebRsAJcfHO&#10;eMbfzHwzs5dXB63IXvjQWlPR8aikRBhu69ZsK/rxw+rVOSUhMlMzZY2o6IMI9Grx8sVl5+ZiYhur&#10;auEJQEyYd66iTYxuXhSBN0KzMLJOGBil9ZpFqH5b1J51QNeqmJTl66KzvnbechECbm96I11kfCkF&#10;j3dSBhGJqihyi/n0+dyks1hcsvnWM9e0fEiD/UMWmrUGQY9QNywysvPtH1C65d4GK+OIW11YKVsu&#10;cg2oZlz+Vs26YU7kWkBOcEeawv+D5e/39560dUWnZ5QYptGjn1+//3j8RnABdjoX5nBau3s/aAFi&#10;KvUgvU5fFEEOmdGHI6PiEAnH5WRSXpyDdw7T2aycTTLjxfNj50N8K6wmSaioR8Myj2x/GyICwvXJ&#10;JcUydtUqlZumDOkQYDYtEz7D7EjFIkTtUE0wW0qY2mIoefQZ8uRtgrxhoSF7hrkIVrV1qhXBlElh&#10;RJ6cIYPEQF9zkuJhcxiI2Nj6AeR5209VcHzVAviWhXjPPMYIiWE14h0OqSyytYNESWP9l7/dJ390&#10;F1ZKOowlsvu8Y15Qot4Z9P1iPJ2mOc7KdPYGhBJ/atmcWsxOX1tUOMYSOp7F5B/Vkyi91Z+wQcsU&#10;FSZmOGL3nA3KdezXBTvIxXKZ3TC7jsVbs3Y8gfedWe6ilW1uWiKqZwekJgXTm+kdNi2tx6mevZ7/&#10;B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X/YrNoAAAALAQAADwAAAAAAAAABACAAAAAiAAAA&#10;ZHJzL2Rvd25yZXYueG1sUEsBAhQAFAAAAAgAh07iQD7xXNw+AgAAVwQAAA4AAAAAAAAAAQAgAAAA&#10;KQEAAGRycy9lMm9Eb2MueG1sUEsFBgAAAAAGAAYAWQEAANkFAAAAAA==&#10;">
                <v:fill on="f" focussize="0,0"/>
                <v:stroke on="f" weight="2pt"/>
                <v:imagedata o:title=""/>
                <o:lock v:ext="edit" aspectratio="f"/>
                <v:textbox>
                  <w:txbxContent>
                    <w:p>
                      <w:pPr>
                        <w:jc w:val="center"/>
                        <w:rPr>
                          <w:b/>
                          <w:color w:val="FFFF00"/>
                          <w:sz w:val="18"/>
                          <w:szCs w:val="18"/>
                        </w:rPr>
                      </w:pPr>
                      <w:r>
                        <w:rPr>
                          <w:rFonts w:hint="eastAsia"/>
                          <w:b/>
                          <w:color w:val="FFFF00"/>
                          <w:sz w:val="18"/>
                          <w:szCs w:val="18"/>
                        </w:rPr>
                        <w:t>1</w:t>
                      </w:r>
                    </w:p>
                  </w:txbxContent>
                </v:textbox>
              </v:rect>
            </w:pict>
          </mc:Fallback>
        </mc:AlternateContent>
      </w:r>
      <w:r>
        <w:rPr>
          <w:rFonts w:ascii="Times New Roman" w:hAnsi="Times New Roman" w:cs="Times New Roman"/>
          <w:spacing w:val="0"/>
        </w:rPr>
        <mc:AlternateContent>
          <mc:Choice Requires="wps">
            <w:drawing>
              <wp:anchor distT="0" distB="0" distL="114300" distR="114300" simplePos="0" relativeHeight="251657216" behindDoc="0" locked="0" layoutInCell="1" allowOverlap="1">
                <wp:simplePos x="0" y="0"/>
                <wp:positionH relativeFrom="column">
                  <wp:posOffset>4413250</wp:posOffset>
                </wp:positionH>
                <wp:positionV relativeFrom="paragraph">
                  <wp:posOffset>1014095</wp:posOffset>
                </wp:positionV>
                <wp:extent cx="281940" cy="350520"/>
                <wp:effectExtent l="0" t="0" r="0" b="0"/>
                <wp:wrapNone/>
                <wp:docPr id="41" name="矩形 41"/>
                <wp:cNvGraphicFramePr/>
                <a:graphic xmlns:a="http://schemas.openxmlformats.org/drawingml/2006/main">
                  <a:graphicData uri="http://schemas.microsoft.com/office/word/2010/wordprocessingShape">
                    <wps:wsp>
                      <wps:cNvSpPr/>
                      <wps:spPr>
                        <a:xfrm>
                          <a:off x="0" y="0"/>
                          <a:ext cx="281940"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color w:val="FFFF00"/>
                                <w:sz w:val="18"/>
                                <w:szCs w:val="18"/>
                              </w:rPr>
                            </w:pPr>
                            <w:r>
                              <w:rPr>
                                <w:rFonts w:hint="eastAsia"/>
                                <w:b/>
                                <w:color w:val="FFFF00"/>
                                <w:sz w:val="18"/>
                                <w:szCs w:val="18"/>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pt;margin-top:79.85pt;height:27.6pt;width:22.2pt;z-index:251657216;v-text-anchor:middle;mso-width-relative:page;mso-height-relative:page;" filled="f" stroked="f" coordsize="21600,21600" o:gfxdata="UEsDBAoAAAAAAIdO4kAAAAAAAAAAAAAAAAAEAAAAZHJzL1BLAwQUAAAACACHTuJAdN2LKtoAAAAL&#10;AQAADwAAAGRycy9kb3ducmV2LnhtbE2PzU7DMBCE70i8g7VI3KiTkv4kxKkqBEg9tkFC3Jx4mwTi&#10;dRS7afv2LCc4jmY0802+udheTDj6zpGCeBaBQKqd6ahR8F6+PqxB+KDJ6N4RKriih01xe5PrzLgz&#10;7XE6hEZwCflMK2hDGDIpfd2i1X7mBiT2jm60OrAcG2lGfeZy28t5FC2l1R3xQqsHfG6x/j6crAJf&#10;TbvyOmw/vj59XW1fyJbJ7k2p+7s4egIR8BL+wvCLz+hQMFPlTmS86BUs0wV/CWws0hUITqwe0wRE&#10;pWAeJynIIpf/PxQ/UEsDBBQAAAAIAIdO4kCgBCtxNgIAAEkEAAAOAAAAZHJzL2Uyb0RvYy54bWyt&#10;VM1uEzEQviPxDpbvZDchgTbqpooaBSFVtFJAnB2vnV3Jf9hONuFlkLjxEDwO4jX47N22EXBCXJyx&#10;Z/ab+b6ZydX1UStyED601lR0PCopEYbbujW7in54v35xQUmIzNRMWSMqehKBXi+eP7vq3FxMbGNV&#10;LTwBiAnzzlW0idHNiyLwRmgWRtYJA6e0XrOIq98VtWcd0LUqJmX5quisr523XISA11XvpIuML6Xg&#10;8U7KICJRFUVtMZ8+n9t0FosrNt955pqWD2Wwf6hCs9Yg6SPUikVG9r79A0q33NtgZRxxqwsrZctF&#10;5gA24/I3NpuGOZG5QJzgHmUK/w+Wvzvce9LWFZ2OKTFMo0c/v3z78f0rwQPU6VyYI2jj7v1wCzAT&#10;1aP0Ov2CBDlmRU+PiopjJByPk4vx5RS6c7hezsrZJCtePH3sfIhvhNUkGRX1aFjWkR1uQ0RChD6E&#10;pFzGrlulctOUIR0SzKZlwmeYHalYhKkd2ASzo4SpHYaSR58hz75NkCsWGnJgmItgVVsnrkimDH4S&#10;555lsuJxexyob219glze9nMUHF+3gLplId4zj8FBKViGeIdDKov67GBR0lj/+W/vKR79hJeSDoOI&#10;ej7tmReUqLcGnb4cT5OCMV+ms9eQkPhzz/bcY/b6xoITmonqspnio3owpbf6I3ZmmbLCxQxH7l6l&#10;4XIT+wXB1nGxXOYwTKtj8dZsHE/gfS+W+2hlm9uUhOrVGfTDvGZBh91KC3F+z1FP/wC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diyraAAAACwEAAA8AAAAAAAAAAQAgAAAAIgAAAGRycy9kb3du&#10;cmV2LnhtbFBLAQIUABQAAAAIAIdO4kCgBCtxNgIAAEkEAAAOAAAAAAAAAAEAIAAAACkBAABkcnMv&#10;ZTJvRG9jLnhtbFBLBQYAAAAABgAGAFkBAADRBQAAAAA=&#10;">
                <v:fill on="f" focussize="0,0"/>
                <v:stroke on="f" weight="2pt"/>
                <v:imagedata o:title=""/>
                <o:lock v:ext="edit" aspectratio="f"/>
                <v:textbox>
                  <w:txbxContent>
                    <w:p>
                      <w:pPr>
                        <w:jc w:val="center"/>
                        <w:rPr>
                          <w:b/>
                          <w:color w:val="FFFF00"/>
                          <w:sz w:val="18"/>
                          <w:szCs w:val="18"/>
                        </w:rPr>
                      </w:pPr>
                      <w:r>
                        <w:rPr>
                          <w:rFonts w:hint="eastAsia"/>
                          <w:b/>
                          <w:color w:val="FFFF00"/>
                          <w:sz w:val="18"/>
                          <w:szCs w:val="18"/>
                        </w:rPr>
                        <w:t>1</w:t>
                      </w:r>
                    </w:p>
                  </w:txbxContent>
                </v:textbox>
              </v:rect>
            </w:pict>
          </mc:Fallback>
        </mc:AlternateContent>
      </w:r>
      <w:r>
        <w:rPr>
          <w:rFonts w:ascii="Times New Roman" w:hAnsi="Times New Roman" w:cs="Times New Roman"/>
          <w:spacing w:val="0"/>
        </w:rPr>
        <mc:AlternateContent>
          <mc:Choice Requires="wps">
            <w:drawing>
              <wp:anchor distT="0" distB="0" distL="114300" distR="114300" simplePos="0" relativeHeight="251659264" behindDoc="0" locked="0" layoutInCell="1" allowOverlap="1">
                <wp:simplePos x="0" y="0"/>
                <wp:positionH relativeFrom="column">
                  <wp:posOffset>3978910</wp:posOffset>
                </wp:positionH>
                <wp:positionV relativeFrom="paragraph">
                  <wp:posOffset>1974215</wp:posOffset>
                </wp:positionV>
                <wp:extent cx="220980" cy="350520"/>
                <wp:effectExtent l="0" t="0" r="0" b="0"/>
                <wp:wrapNone/>
                <wp:docPr id="42" name="矩形 42"/>
                <wp:cNvGraphicFramePr/>
                <a:graphic xmlns:a="http://schemas.openxmlformats.org/drawingml/2006/main">
                  <a:graphicData uri="http://schemas.microsoft.com/office/word/2010/wordprocessingShape">
                    <wps:wsp>
                      <wps:cNvSpPr/>
                      <wps:spPr>
                        <a:xfrm>
                          <a:off x="0" y="0"/>
                          <a:ext cx="220980" cy="350520"/>
                        </a:xfrm>
                        <a:prstGeom prst="rect">
                          <a:avLst/>
                        </a:prstGeom>
                        <a:noFill/>
                        <a:ln w="25400" cap="flat" cmpd="sng" algn="ctr">
                          <a:noFill/>
                          <a:prstDash val="solid"/>
                        </a:ln>
                        <a:effectLst/>
                      </wps:spPr>
                      <wps:txbx>
                        <w:txbxContent>
                          <w:p>
                            <w:pPr>
                              <w:jc w:val="center"/>
                              <w:rPr>
                                <w:b/>
                                <w:color w:val="FFFF00"/>
                                <w:sz w:val="18"/>
                                <w:szCs w:val="18"/>
                              </w:rPr>
                            </w:pPr>
                            <w:r>
                              <w:rPr>
                                <w:rFonts w:hint="eastAsia"/>
                                <w:b/>
                                <w:color w:val="FFFF00"/>
                                <w:sz w:val="18"/>
                                <w:szCs w:val="18"/>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3pt;margin-top:155.45pt;height:27.6pt;width:17.4pt;z-index:251659264;v-text-anchor:middle;mso-width-relative:page;mso-height-relative:page;" filled="f" stroked="f" coordsize="21600,21600" o:gfxdata="UEsDBAoAAAAAAIdO4kAAAAAAAAAAAAAAAAAEAAAAZHJzL1BLAwQUAAAACACHTuJAH9+w3NgAAAAL&#10;AQAADwAAAGRycy9kb3ducmV2LnhtbE2PTU/DMAyG70j8h8hI3FjSMUVQmk4TAqQdtyIhbmlj2kLj&#10;VE3Wbf9+5gQ3fzx6/bhYn/wgZpxiH8hAtlAgkJrgemoNvFevdw8gYrLk7BAIDZwxwrq8vips7sKR&#10;djjvUys4hGJuDXQpjbmUsenQ27gIIxLvvsLkbeJ2aqWb7JHD/SCXSmnpbU98obMjPnfY/OwP3kCs&#10;5211Hjcf35+xqTcv5KvV9s2Y25tMPYFIeEp/MPzqszqU7FSHA7koBgN6qTWjBu4z9QiCCa2zFYia&#10;J1yBLAv5/4fyAlBLAwQUAAAACACHTuJAzpkAaz4CAABXBAAADgAAAGRycy9lMm9Eb2MueG1srVTN&#10;jtMwEL4j8Q6W7zRpaWG3arqqdrUIacWuVBBn17GbSP7DdpuWl0HixkPwOIjX4LOT7VbACXFxZjzj&#10;b2a+mcni6qAV2QsfWmsqOh6VlAjDbd2abUU/vL99cUFJiMzUTFkjKnoUgV4tnz9bdG4uJraxqhae&#10;AMSEeecq2sTo5kUReCM0CyPrhIFRWq9ZhOq3Re1ZB3StiklZvio662vnLRch4PamN9JlxpdS8Hgv&#10;ZRCRqIoit5hPn89NOovlgs23nrmm5UMa7B+y0Kw1CHqCumGRkZ1v/4DSLfc2WBlH3OrCStlykWtA&#10;NePyt2rWDXMi1wJygjvRFP4fLH+3f/CkrSs6nVBimEaPfn759uP7V4ILsNO5MIfT2j34QQsQU6kH&#10;6XX6oghyyIweT4yKQyQcl5NJeXkB3jlML2flbJIZL54eOx/iG2E1SUJFPRqWeWT7uxAREK6PLimW&#10;sbetUrlpypAOAWbTMuEzzI5ULELUDtUEs6WEqS2GkkefIc/eJsgbFhqyZ5iLYFVbp1oRTJkURuTJ&#10;GTJIDPQ1JykeNoeBiI2tjyDP236qguO3LYDvWIgPzGOMkBhWI97jkMoiWztIlDTWf/7bffJHd2Gl&#10;pMNYIrtPO+YFJeqtQd8vx9NpmuOsTGevQSjx55bNucXs9LVFhWMsoeNZTP5RPYrSW/0RG7RKUWFi&#10;hiN2z9mgXMd+XbCDXKxW2Q2z61i8M2vHE3jfmdUuWtnmpiWienZAalIwvZneYdPSepzr2evpf7D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fsNzYAAAACwEAAA8AAAAAAAAAAQAgAAAAIgAAAGRy&#10;cy9kb3ducmV2LnhtbFBLAQIUABQAAAAIAIdO4kDOmQBrPgIAAFcEAAAOAAAAAAAAAAEAIAAAACcB&#10;AABkcnMvZTJvRG9jLnhtbFBLBQYAAAAABgAGAFkBAADXBQAAAAA=&#10;">
                <v:fill on="f" focussize="0,0"/>
                <v:stroke on="f" weight="2pt"/>
                <v:imagedata o:title=""/>
                <o:lock v:ext="edit" aspectratio="f"/>
                <v:textbox>
                  <w:txbxContent>
                    <w:p>
                      <w:pPr>
                        <w:jc w:val="center"/>
                        <w:rPr>
                          <w:b/>
                          <w:color w:val="FFFF00"/>
                          <w:sz w:val="18"/>
                          <w:szCs w:val="18"/>
                        </w:rPr>
                      </w:pPr>
                      <w:r>
                        <w:rPr>
                          <w:rFonts w:hint="eastAsia"/>
                          <w:b/>
                          <w:color w:val="FFFF00"/>
                          <w:sz w:val="18"/>
                          <w:szCs w:val="18"/>
                        </w:rPr>
                        <w:t>2</w:t>
                      </w:r>
                    </w:p>
                  </w:txbxContent>
                </v:textbox>
              </v:rect>
            </w:pict>
          </mc:Fallback>
        </mc:AlternateContent>
      </w:r>
      <w:r>
        <w:rPr>
          <w:rFonts w:ascii="Times New Roman" w:hAnsi="Times New Roman" w:cs="Times New Roman"/>
          <w:spacing w:val="0"/>
        </w:rPr>
        <w:drawing>
          <wp:inline distT="0" distB="0" distL="0" distR="0">
            <wp:extent cx="5594985" cy="3202940"/>
            <wp:effectExtent l="0" t="0" r="5715" b="0"/>
            <wp:docPr id="40" name="图片 40" descr="C:\Users\ADMINI~1\AppData\Local\Temp\WeChat Files\b9d30c1590b2391463c9d3fb9f17d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WeChat Files\b9d30c1590b2391463c9d3fb9f17dd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594985" cy="3203461"/>
                    </a:xfrm>
                    <a:prstGeom prst="rect">
                      <a:avLst/>
                    </a:prstGeom>
                    <a:noFill/>
                    <a:ln>
                      <a:noFill/>
                    </a:ln>
                  </pic:spPr>
                </pic:pic>
              </a:graphicData>
            </a:graphic>
          </wp:inline>
        </w:drawing>
      </w:r>
    </w:p>
    <w:p>
      <w:pPr>
        <w:pStyle w:val="4"/>
        <w:ind w:firstLine="0"/>
        <w:jc w:val="center"/>
        <w:rPr>
          <w:rFonts w:ascii="Times New Roman" w:hAnsi="Times New Roman" w:cs="Times New Roman"/>
          <w:b/>
          <w:spacing w:val="0"/>
          <w:lang w:val="zh-CN"/>
        </w:rPr>
      </w:pPr>
      <w:r>
        <w:rPr>
          <w:rFonts w:hint="eastAsia" w:ascii="Times New Roman" w:hAnsi="Times New Roman" w:cs="Times New Roman"/>
          <w:b/>
          <w:spacing w:val="0"/>
          <w:lang w:val="zh-CN"/>
        </w:rPr>
        <w:t>图3-1</w:t>
      </w:r>
      <w:r>
        <w:rPr>
          <w:rFonts w:ascii="Times New Roman" w:hAnsi="Times New Roman" w:cs="Times New Roman"/>
          <w:b/>
          <w:spacing w:val="0"/>
          <w:lang w:val="zh-CN"/>
        </w:rPr>
        <w:t>4</w:t>
      </w:r>
      <w:r>
        <w:rPr>
          <w:rFonts w:hint="eastAsia" w:ascii="Times New Roman" w:hAnsi="Times New Roman" w:cs="Times New Roman"/>
          <w:b/>
          <w:spacing w:val="0"/>
          <w:lang w:val="zh-CN"/>
        </w:rPr>
        <w:t xml:space="preserve"> 现状各固废</w:t>
      </w:r>
      <w:r>
        <w:rPr>
          <w:rFonts w:ascii="Times New Roman" w:hAnsi="Times New Roman" w:cs="Times New Roman"/>
          <w:b/>
          <w:spacing w:val="0"/>
          <w:lang w:val="zh-CN"/>
        </w:rPr>
        <w:t>堆场位置图</w:t>
      </w:r>
    </w:p>
    <w:p>
      <w:pPr>
        <w:pStyle w:val="5"/>
        <w:numPr>
          <w:ilvl w:val="2"/>
          <w:numId w:val="25"/>
        </w:numPr>
        <w:rPr>
          <w:rFonts w:ascii="Times New Roman"/>
        </w:rPr>
      </w:pPr>
      <w:r>
        <w:rPr>
          <w:rFonts w:hint="eastAsia" w:ascii="Times New Roman"/>
          <w:lang w:eastAsia="zh-CN"/>
        </w:rPr>
        <w:t>现状</w:t>
      </w:r>
      <w:r>
        <w:rPr>
          <w:rFonts w:ascii="Times New Roman"/>
        </w:rPr>
        <w:t>污染源强汇总</w:t>
      </w:r>
    </w:p>
    <w:p>
      <w:pPr>
        <w:pStyle w:val="712"/>
        <w:spacing w:line="480" w:lineRule="exact"/>
        <w:ind w:firstLine="488"/>
        <w:rPr>
          <w:rFonts w:ascii="Times New Roman" w:hAnsi="Times New Roman" w:cs="Times New Roman"/>
          <w:spacing w:val="0"/>
          <w:lang w:eastAsia="zh-CN"/>
        </w:rPr>
      </w:pPr>
      <w:r>
        <w:rPr>
          <w:rFonts w:ascii="Times New Roman" w:hAnsi="Times New Roman" w:cs="Times New Roman"/>
          <w:spacing w:val="0"/>
          <w:lang w:eastAsia="zh-CN"/>
        </w:rPr>
        <w:t>企业现状</w:t>
      </w:r>
      <w:r>
        <w:rPr>
          <w:rFonts w:ascii="Times New Roman" w:hAnsi="Times New Roman" w:cs="Times New Roman"/>
          <w:spacing w:val="0"/>
        </w:rPr>
        <w:t>污染源强汇总见表3-</w:t>
      </w:r>
      <w:r>
        <w:rPr>
          <w:rFonts w:ascii="Times New Roman" w:hAnsi="Times New Roman" w:cs="Times New Roman"/>
          <w:spacing w:val="0"/>
          <w:lang w:eastAsia="zh-CN"/>
        </w:rPr>
        <w:t>36</w:t>
      </w:r>
      <w:r>
        <w:rPr>
          <w:rFonts w:hint="eastAsia" w:ascii="Times New Roman" w:hAnsi="Times New Roman" w:cs="Times New Roman"/>
          <w:spacing w:val="0"/>
          <w:lang w:eastAsia="zh-CN"/>
        </w:rPr>
        <w:t>。</w:t>
      </w:r>
    </w:p>
    <w:p>
      <w:pPr>
        <w:pStyle w:val="313"/>
        <w:tabs>
          <w:tab w:val="clear" w:pos="3908"/>
        </w:tabs>
        <w:ind w:left="1122" w:hanging="561"/>
        <w:rPr>
          <w:rFonts w:ascii="Times New Roman" w:hAnsi="Times New Roman"/>
        </w:rPr>
      </w:pPr>
      <w:r>
        <w:rPr>
          <w:rFonts w:ascii="Times New Roman" w:hAnsi="Times New Roman"/>
        </w:rPr>
        <w:t>现状污染源强</w:t>
      </w:r>
      <w:r>
        <w:rPr>
          <w:rFonts w:hint="eastAsia" w:ascii="Times New Roman" w:hAnsi="Times New Roman"/>
          <w:lang w:eastAsia="zh-CN"/>
        </w:rPr>
        <w:t>排放量</w:t>
      </w:r>
      <w:r>
        <w:rPr>
          <w:rFonts w:ascii="Times New Roman" w:hAnsi="Times New Roman"/>
        </w:rPr>
        <w:t>汇总</w:t>
      </w:r>
      <w:r>
        <w:rPr>
          <w:rFonts w:hint="eastAsia" w:ascii="Times New Roman" w:hAnsi="Times New Roman"/>
          <w:lang w:eastAsia="zh-CN"/>
        </w:rPr>
        <w:t xml:space="preserve">  </w:t>
      </w:r>
      <w:r>
        <w:rPr>
          <w:rFonts w:ascii="Times New Roman" w:hAnsi="Times New Roman"/>
        </w:rPr>
        <w:t>单位：t/a</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022"/>
        <w:gridCol w:w="1955"/>
        <w:gridCol w:w="1390"/>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229"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类型</w:t>
            </w: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污染因子</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实际排放量</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达产排放量</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排污许可证允许量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废气</w:t>
            </w: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颗粒物</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32.139</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39.45</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39.4576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氟化物</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18.842</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23.495</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eastAsiaTheme="minorEastAsia"/>
                <w:spacing w:val="0"/>
                <w:kern w:val="0"/>
                <w:sz w:val="21"/>
                <w:szCs w:val="21"/>
              </w:rPr>
            </w:pPr>
            <w:r>
              <w:rPr>
                <w:rFonts w:ascii="Times New Roman" w:hAnsi="Times New Roman" w:cs="Times New Roman" w:eastAsiaTheme="minorEastAsia"/>
                <w:spacing w:val="0"/>
                <w:kern w:val="0"/>
                <w:sz w:val="21"/>
                <w:szCs w:val="21"/>
              </w:rPr>
              <w:t>铬及其化合物</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0.8717</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1.1078</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eastAsiaTheme="minorEastAsia"/>
                <w:spacing w:val="0"/>
                <w:kern w:val="0"/>
                <w:sz w:val="21"/>
                <w:szCs w:val="21"/>
              </w:rPr>
            </w:pPr>
            <w:r>
              <w:rPr>
                <w:rFonts w:ascii="Times New Roman" w:hAnsi="Times New Roman" w:cs="Times New Roman" w:eastAsiaTheme="minorEastAsia"/>
                <w:spacing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eastAsiaTheme="minorEastAsia"/>
                <w:spacing w:val="0"/>
                <w:kern w:val="0"/>
                <w:sz w:val="21"/>
                <w:szCs w:val="21"/>
              </w:rPr>
            </w:pPr>
            <w:r>
              <w:rPr>
                <w:rFonts w:ascii="Times New Roman" w:hAnsi="Times New Roman" w:cs="Times New Roman" w:eastAsiaTheme="minorEastAsia"/>
                <w:spacing w:val="0"/>
                <w:kern w:val="0"/>
                <w:sz w:val="21"/>
                <w:szCs w:val="21"/>
              </w:rPr>
              <w:t>镍及其化合物</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0.705</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0.8959</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eastAsiaTheme="minorEastAsia"/>
                <w:spacing w:val="0"/>
                <w:kern w:val="0"/>
                <w:sz w:val="21"/>
                <w:szCs w:val="21"/>
              </w:rPr>
            </w:pPr>
            <w:r>
              <w:rPr>
                <w:rFonts w:ascii="Times New Roman" w:hAnsi="Times New Roman" w:cs="Times New Roman" w:eastAsiaTheme="minorEastAsia"/>
                <w:spacing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SO</w:t>
            </w:r>
            <w:r>
              <w:rPr>
                <w:rFonts w:ascii="Times New Roman" w:hAnsi="Times New Roman" w:cs="Times New Roman" w:eastAsiaTheme="minorEastAsia"/>
                <w:spacing w:val="0"/>
                <w:kern w:val="0"/>
                <w:sz w:val="21"/>
                <w:szCs w:val="21"/>
                <w:vertAlign w:val="subscript"/>
              </w:rPr>
              <w:t>2</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12.541</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15.717</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23.861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NOx</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20.645</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10.474</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47.835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硫酸雾</w:t>
            </w:r>
          </w:p>
        </w:tc>
        <w:tc>
          <w:tcPr>
            <w:tcW w:w="1955"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0.435</w:t>
            </w:r>
          </w:p>
        </w:tc>
        <w:tc>
          <w:tcPr>
            <w:tcW w:w="1390" w:type="dxa"/>
            <w:tcBorders>
              <w:top w:val="nil"/>
              <w:left w:val="nil"/>
              <w:bottom w:val="single" w:color="auto" w:sz="8" w:space="0"/>
              <w:right w:val="single" w:color="auto" w:sz="8" w:space="0"/>
            </w:tcBorders>
            <w:shd w:val="clear" w:color="auto" w:fill="auto"/>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0.479</w:t>
            </w:r>
          </w:p>
        </w:tc>
        <w:tc>
          <w:tcPr>
            <w:tcW w:w="2171" w:type="dxa"/>
            <w:shd w:val="clear" w:color="auto" w:fill="auto"/>
            <w:vAlign w:val="bottom"/>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eastAsiaTheme="minorEastAsia"/>
                <w:spacing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废水</w:t>
            </w: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废水量</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46412</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47915</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COD</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2.307</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hint="eastAsia" w:ascii="Times New Roman" w:hAnsi="Times New Roman" w:cs="Times New Roman"/>
                <w:spacing w:val="0"/>
                <w:sz w:val="21"/>
                <w:szCs w:val="21"/>
              </w:rPr>
              <w:t>2.64</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5.152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氨氮</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0.231</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hint="eastAsia" w:ascii="Times New Roman" w:hAnsi="Times New Roman" w:cs="Times New Roman"/>
                <w:spacing w:val="0"/>
                <w:sz w:val="21"/>
                <w:szCs w:val="21"/>
              </w:rPr>
              <w:t>0.26</w:t>
            </w:r>
            <w:r>
              <w:rPr>
                <w:rFonts w:ascii="Times New Roman" w:hAnsi="Times New Roman" w:cs="Times New Roman"/>
                <w:spacing w:val="0"/>
                <w:sz w:val="21"/>
                <w:szCs w:val="21"/>
              </w:rPr>
              <w:t>4</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噪声</w:t>
            </w: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设备运行</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restart"/>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固废</w:t>
            </w: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废包装桶</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废包装材料</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废润滑油</w:t>
            </w:r>
            <w:r>
              <w:rPr>
                <w:rFonts w:hint="eastAsia" w:ascii="Times New Roman" w:hAnsi="Times New Roman" w:cs="Times New Roman"/>
                <w:spacing w:val="0"/>
                <w:sz w:val="21"/>
                <w:szCs w:val="21"/>
                <w:lang w:val="zh-CN"/>
              </w:rPr>
              <w:t>、</w:t>
            </w:r>
            <w:r>
              <w:rPr>
                <w:rFonts w:ascii="Times New Roman" w:hAnsi="Times New Roman" w:cs="Times New Roman"/>
                <w:spacing w:val="0"/>
                <w:sz w:val="21"/>
                <w:szCs w:val="21"/>
                <w:lang w:val="zh-CN"/>
              </w:rPr>
              <w:t>废油</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表面处理污泥</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酸洗槽槽渣</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除尘灰</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氧化皮</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rPr>
              <w:t>切割渣</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炉渣</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修磨屑</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废边角料、废刚盘丝等废铁</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废耐火材料</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废砂轮片</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废电极</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废碳钢</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hint="eastAsia"/>
                <w:spacing w:val="0"/>
                <w:sz w:val="21"/>
                <w:szCs w:val="21"/>
              </w:rPr>
              <w:t>废除尘布袋</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29" w:type="dxa"/>
            <w:vMerge w:val="continue"/>
            <w:vAlign w:val="center"/>
          </w:tcPr>
          <w:p>
            <w:pPr>
              <w:pStyle w:val="4"/>
              <w:adjustRightInd w:val="0"/>
              <w:snapToGrid w:val="0"/>
              <w:spacing w:line="300" w:lineRule="exact"/>
              <w:ind w:firstLine="0"/>
              <w:jc w:val="center"/>
              <w:rPr>
                <w:rFonts w:ascii="Times New Roman" w:hAnsi="Times New Roman" w:cs="Times New Roman"/>
                <w:spacing w:val="0"/>
                <w:sz w:val="21"/>
                <w:szCs w:val="21"/>
              </w:rPr>
            </w:pPr>
          </w:p>
        </w:tc>
        <w:tc>
          <w:tcPr>
            <w:tcW w:w="2022"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lang w:val="zh-CN"/>
              </w:rPr>
              <w:t>生活垃圾</w:t>
            </w:r>
          </w:p>
        </w:tc>
        <w:tc>
          <w:tcPr>
            <w:tcW w:w="1955"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1390"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0</w:t>
            </w:r>
          </w:p>
        </w:tc>
        <w:tc>
          <w:tcPr>
            <w:tcW w:w="2171" w:type="dxa"/>
            <w:vAlign w:val="center"/>
          </w:tcPr>
          <w:p>
            <w:pPr>
              <w:pStyle w:val="4"/>
              <w:adjustRightInd w:val="0"/>
              <w:snapToGrid w:val="0"/>
              <w:spacing w:line="300" w:lineRule="exact"/>
              <w:ind w:firstLine="0"/>
              <w:jc w:val="center"/>
              <w:rPr>
                <w:rFonts w:ascii="Times New Roman" w:hAnsi="Times New Roman" w:cs="Times New Roman"/>
                <w:spacing w:val="0"/>
                <w:sz w:val="21"/>
                <w:szCs w:val="21"/>
              </w:rPr>
            </w:pPr>
            <w:r>
              <w:rPr>
                <w:rFonts w:ascii="Times New Roman" w:hAnsi="Times New Roman" w:cs="Times New Roman"/>
                <w:spacing w:val="0"/>
                <w:sz w:val="21"/>
                <w:szCs w:val="21"/>
              </w:rPr>
              <w:t>/</w:t>
            </w:r>
          </w:p>
        </w:tc>
      </w:tr>
    </w:tbl>
    <w:p>
      <w:pPr>
        <w:pStyle w:val="5"/>
        <w:numPr>
          <w:ilvl w:val="2"/>
          <w:numId w:val="25"/>
        </w:numPr>
        <w:rPr>
          <w:rFonts w:ascii="Times New Roman"/>
        </w:rPr>
      </w:pPr>
      <w:r>
        <w:rPr>
          <w:rFonts w:ascii="Times New Roman"/>
          <w:lang w:eastAsia="zh-CN"/>
        </w:rPr>
        <w:t>企业现状环境管理和监测计划</w:t>
      </w:r>
      <w:r>
        <w:rPr>
          <w:rFonts w:hint="eastAsia" w:ascii="Times New Roman"/>
          <w:lang w:eastAsia="zh-CN"/>
        </w:rPr>
        <w:t>执行</w:t>
      </w:r>
      <w:r>
        <w:rPr>
          <w:rFonts w:ascii="Times New Roman"/>
          <w:lang w:eastAsia="zh-CN"/>
        </w:rPr>
        <w:t>情况</w:t>
      </w:r>
    </w:p>
    <w:p>
      <w:pPr>
        <w:pStyle w:val="4"/>
        <w:rPr>
          <w:rFonts w:ascii="Times New Roman" w:hAnsi="Times New Roman" w:cs="Times New Roman"/>
          <w:spacing w:val="0"/>
          <w:lang w:val="zh-CN"/>
        </w:rPr>
      </w:pPr>
      <w:r>
        <w:rPr>
          <w:rFonts w:ascii="Times New Roman" w:hAnsi="Times New Roman" w:cs="Times New Roman"/>
          <w:spacing w:val="0"/>
          <w:lang w:val="zh-CN"/>
        </w:rPr>
        <w:t>(1)组织机构</w:t>
      </w:r>
    </w:p>
    <w:p>
      <w:pPr>
        <w:pStyle w:val="4"/>
        <w:rPr>
          <w:rFonts w:ascii="Times New Roman" w:hAnsi="Times New Roman" w:cs="Times New Roman"/>
          <w:spacing w:val="0"/>
          <w:lang w:val="zh-CN"/>
        </w:rPr>
      </w:pPr>
      <w:r>
        <w:rPr>
          <w:rFonts w:ascii="Times New Roman" w:hAnsi="Times New Roman" w:cs="Times New Roman"/>
          <w:spacing w:val="0"/>
          <w:lang w:val="zh-CN"/>
        </w:rPr>
        <w:t>企业现状已建立了安全生产、环境管理三级网络制度，由总经理担任公司安全生产、环境保护的第一责任人，分管安全、环境工作的副总同样负主要责任，下设由公司、部门及班组构成的三级安全/环境网络。办公室进行安全、环境保护和职业健康的管理，负责公司环保方面的工作，制定并落实相应的环境保护规章制度。</w:t>
      </w:r>
    </w:p>
    <w:p>
      <w:pPr>
        <w:pStyle w:val="4"/>
        <w:rPr>
          <w:rFonts w:ascii="Times New Roman" w:hAnsi="Times New Roman" w:cs="Times New Roman"/>
          <w:spacing w:val="0"/>
          <w:lang w:val="zh-CN"/>
        </w:rPr>
      </w:pPr>
      <w:r>
        <w:rPr>
          <w:rFonts w:hint="eastAsia" w:ascii="Times New Roman" w:hAnsi="Times New Roman" w:cs="Times New Roman"/>
          <w:spacing w:val="0"/>
          <w:lang w:val="zh-CN"/>
        </w:rPr>
        <w:t>企业</w:t>
      </w:r>
      <w:r>
        <w:rPr>
          <w:rFonts w:ascii="Times New Roman" w:hAnsi="Times New Roman" w:cs="Times New Roman"/>
          <w:spacing w:val="0"/>
          <w:lang w:val="zh-CN"/>
        </w:rPr>
        <w:t>现状各环保设施及装置均配备管理人员，同时制定了相应的操作规程和应急措施。</w:t>
      </w:r>
    </w:p>
    <w:p>
      <w:pPr>
        <w:pStyle w:val="4"/>
        <w:rPr>
          <w:rFonts w:ascii="Times New Roman" w:hAnsi="Times New Roman" w:cs="Times New Roman"/>
          <w:spacing w:val="0"/>
          <w:lang w:val="zh-CN"/>
        </w:rPr>
      </w:pPr>
      <w:r>
        <w:rPr>
          <w:rFonts w:ascii="Times New Roman" w:hAnsi="Times New Roman" w:cs="Times New Roman"/>
          <w:spacing w:val="0"/>
          <w:lang w:val="zh-CN"/>
        </w:rPr>
        <w:t>(2)环境管理规章制度</w:t>
      </w:r>
    </w:p>
    <w:p>
      <w:pPr>
        <w:pStyle w:val="4"/>
        <w:rPr>
          <w:rFonts w:ascii="Times New Roman" w:hAnsi="Times New Roman" w:cs="Times New Roman"/>
          <w:spacing w:val="0"/>
          <w:lang w:val="zh-CN"/>
        </w:rPr>
      </w:pPr>
      <w:r>
        <w:rPr>
          <w:rFonts w:ascii="Times New Roman" w:hAnsi="Times New Roman" w:cs="Times New Roman"/>
          <w:spacing w:val="0"/>
          <w:lang w:val="zh-CN"/>
        </w:rPr>
        <w:t>企业现状已设置</w:t>
      </w:r>
      <w:r>
        <w:rPr>
          <w:rFonts w:hint="eastAsia" w:ascii="Times New Roman" w:hAnsi="Times New Roman" w:cs="Times New Roman"/>
          <w:spacing w:val="0"/>
          <w:lang w:val="zh-CN"/>
        </w:rPr>
        <w:t>《永兴特种不锈钢股份有限公司环保管理制度》，宣传和执行环境保护法律法规及有关规定，充分、合理地利用各种资源、能源，控制和消除污染，促进本企业生产发展，创造良好的工作生活环境，使企业的经济活动能尽量减少对周围生态环境的污染</w:t>
      </w:r>
      <w:r>
        <w:rPr>
          <w:rFonts w:ascii="Times New Roman" w:hAnsi="Times New Roman" w:cs="Times New Roman"/>
          <w:spacing w:val="0"/>
          <w:lang w:val="zh-CN"/>
        </w:rPr>
        <w:t>。</w:t>
      </w:r>
      <w:r>
        <w:rPr>
          <w:rFonts w:hint="eastAsia" w:ascii="Times New Roman" w:hAnsi="Times New Roman" w:cs="Times New Roman"/>
          <w:spacing w:val="0"/>
          <w:lang w:val="zh-CN"/>
        </w:rPr>
        <w:t>该环保制度从废水、废气、固废排放管理，环保设施运行和管理，新建项目环保管理，环保台账与报表管理等方面进行了规定，并落实到实处。</w:t>
      </w:r>
    </w:p>
    <w:p>
      <w:pPr>
        <w:pStyle w:val="4"/>
        <w:rPr>
          <w:rFonts w:ascii="Times New Roman" w:hAnsi="Times New Roman" w:cs="Times New Roman"/>
          <w:spacing w:val="0"/>
          <w:lang w:val="zh-CN"/>
        </w:rPr>
      </w:pPr>
      <w:r>
        <w:rPr>
          <w:rFonts w:ascii="Times New Roman" w:hAnsi="Times New Roman" w:cs="Times New Roman"/>
          <w:spacing w:val="0"/>
          <w:lang w:val="zh-CN"/>
        </w:rPr>
        <w:t>(3)监测计划</w:t>
      </w:r>
    </w:p>
    <w:p>
      <w:pPr>
        <w:pStyle w:val="4"/>
        <w:rPr>
          <w:rFonts w:ascii="Times New Roman" w:hAnsi="Times New Roman" w:cs="Times New Roman"/>
          <w:spacing w:val="0"/>
          <w:lang w:val="zh-CN"/>
        </w:rPr>
      </w:pPr>
      <w:r>
        <w:rPr>
          <w:rFonts w:hint="eastAsia" w:ascii="Times New Roman" w:hAnsi="Times New Roman" w:cs="Times New Roman"/>
          <w:spacing w:val="0"/>
          <w:lang w:val="zh-CN"/>
        </w:rPr>
        <w:t>根据排污许可证，企业监测计划详见表3-3</w:t>
      </w:r>
      <w:r>
        <w:rPr>
          <w:rFonts w:ascii="Times New Roman" w:hAnsi="Times New Roman" w:cs="Times New Roman"/>
          <w:spacing w:val="0"/>
          <w:lang w:val="zh-CN"/>
        </w:rPr>
        <w:t>7</w:t>
      </w:r>
      <w:r>
        <w:rPr>
          <w:rFonts w:hint="eastAsia" w:ascii="Times New Roman" w:hAnsi="Times New Roman" w:cs="Times New Roman"/>
          <w:spacing w:val="0"/>
          <w:lang w:val="zh-CN"/>
        </w:rPr>
        <w:t>。</w:t>
      </w:r>
    </w:p>
    <w:p>
      <w:pPr>
        <w:pStyle w:val="313"/>
        <w:tabs>
          <w:tab w:val="clear" w:pos="3908"/>
        </w:tabs>
        <w:ind w:left="1122" w:hanging="561"/>
        <w:rPr>
          <w:rFonts w:ascii="Times New Roman" w:hAnsi="Times New Roman"/>
        </w:rPr>
      </w:pPr>
      <w:r>
        <w:rPr>
          <w:rFonts w:hint="eastAsia" w:ascii="Times New Roman" w:hAnsi="Times New Roman"/>
          <w:lang w:eastAsia="zh-CN"/>
        </w:rPr>
        <w:t>企业</w:t>
      </w:r>
      <w:r>
        <w:rPr>
          <w:rFonts w:ascii="Times New Roman" w:hAnsi="Times New Roman"/>
          <w:lang w:eastAsia="zh-CN"/>
        </w:rPr>
        <w:t>现状</w:t>
      </w:r>
      <w:r>
        <w:rPr>
          <w:rFonts w:ascii="Times New Roman" w:hAnsi="Times New Roman"/>
        </w:rPr>
        <w:t>监测计划</w:t>
      </w:r>
      <w:r>
        <w:rPr>
          <w:rFonts w:hint="eastAsia" w:ascii="Times New Roman" w:hAnsi="Times New Roman"/>
          <w:lang w:eastAsia="zh-CN"/>
        </w:rPr>
        <w:t>及执行情况</w:t>
      </w:r>
    </w:p>
    <w:tbl>
      <w:tblPr>
        <w:tblStyle w:val="87"/>
        <w:tblW w:w="877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93"/>
        <w:gridCol w:w="498"/>
        <w:gridCol w:w="1430"/>
        <w:gridCol w:w="1270"/>
        <w:gridCol w:w="2812"/>
        <w:gridCol w:w="1126"/>
        <w:gridCol w:w="11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主体</w:t>
            </w:r>
          </w:p>
        </w:tc>
        <w:tc>
          <w:tcPr>
            <w:tcW w:w="498"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污染物</w:t>
            </w: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排气口编号</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监测型式</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监测因子</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监测频率</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落实情况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restart"/>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自行</w:t>
            </w:r>
          </w:p>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监测</w:t>
            </w:r>
          </w:p>
        </w:tc>
        <w:tc>
          <w:tcPr>
            <w:tcW w:w="498" w:type="dxa"/>
            <w:vMerge w:val="restart"/>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废气</w:t>
            </w:r>
          </w:p>
        </w:tc>
        <w:tc>
          <w:tcPr>
            <w:tcW w:w="1430" w:type="dxa"/>
            <w:vMerge w:val="restart"/>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DA001(电炉废气出口)</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采样</w:t>
            </w:r>
            <w:r>
              <w:rPr>
                <w:rFonts w:hint="eastAsia" w:ascii="Times New Roman" w:hAnsi="Times New Roman"/>
                <w:szCs w:val="21"/>
              </w:rPr>
              <w:t>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vMerge w:val="continue"/>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二噁英</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1次/年</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vMerge w:val="restart"/>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DA002(电炉废气出口)</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采样</w:t>
            </w:r>
            <w:r>
              <w:rPr>
                <w:rFonts w:hint="eastAsia" w:ascii="Times New Roman" w:hAnsi="Times New Roman"/>
                <w:szCs w:val="21"/>
              </w:rPr>
              <w:t>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vMerge w:val="continue"/>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二噁英</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1次/年</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DA003</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SO</w:t>
            </w:r>
            <w:r>
              <w:rPr>
                <w:rFonts w:hint="eastAsia" w:ascii="Times New Roman" w:hAnsi="Times New Roman"/>
                <w:szCs w:val="21"/>
                <w:vertAlign w:val="subscript"/>
                <w:lang w:eastAsia="zh-CN"/>
              </w:rPr>
              <w:t>2</w:t>
            </w:r>
            <w:r>
              <w:rPr>
                <w:rFonts w:hint="eastAsia" w:ascii="Times New Roman" w:hAnsi="Times New Roman"/>
                <w:szCs w:val="21"/>
                <w:lang w:eastAsia="zh-CN"/>
              </w:rPr>
              <w:t>、NOx、</w:t>
            </w: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DA00</w:t>
            </w:r>
            <w:r>
              <w:rPr>
                <w:rFonts w:hint="eastAsia" w:ascii="Times New Roman" w:hAnsi="Times New Roman"/>
                <w:szCs w:val="21"/>
                <w:lang w:eastAsia="zh-CN"/>
              </w:rPr>
              <w:t>5</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SO</w:t>
            </w:r>
            <w:r>
              <w:rPr>
                <w:rFonts w:hint="eastAsia" w:ascii="Times New Roman" w:hAnsi="Times New Roman"/>
                <w:szCs w:val="21"/>
                <w:vertAlign w:val="subscript"/>
                <w:lang w:eastAsia="zh-CN"/>
              </w:rPr>
              <w:t>2</w:t>
            </w:r>
            <w:r>
              <w:rPr>
                <w:rFonts w:hint="eastAsia" w:ascii="Times New Roman" w:hAnsi="Times New Roman"/>
                <w:szCs w:val="21"/>
                <w:lang w:eastAsia="zh-CN"/>
              </w:rPr>
              <w:t>、NOx、</w:t>
            </w: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w:t>
            </w:r>
            <w:r>
              <w:rPr>
                <w:rFonts w:hint="eastAsia" w:ascii="Times New Roman" w:hAnsi="Times New Roman"/>
                <w:szCs w:val="21"/>
                <w:lang w:eastAsia="zh-CN"/>
              </w:rPr>
              <w:t>6</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硝酸雾、硫酸雾、氟化物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w:t>
            </w:r>
            <w:r>
              <w:rPr>
                <w:rFonts w:hint="eastAsia" w:ascii="Times New Roman" w:hAnsi="Times New Roman"/>
                <w:szCs w:val="21"/>
                <w:lang w:eastAsia="zh-CN"/>
              </w:rPr>
              <w:t>7</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硫酸雾</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DA00</w:t>
            </w:r>
            <w:r>
              <w:rPr>
                <w:rFonts w:hint="eastAsia" w:ascii="Times New Roman" w:hAnsi="Times New Roman"/>
                <w:szCs w:val="21"/>
                <w:lang w:eastAsia="zh-CN"/>
              </w:rPr>
              <w:t>8</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硝酸雾、氟化物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DA009</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SO</w:t>
            </w:r>
            <w:r>
              <w:rPr>
                <w:rFonts w:hint="eastAsia" w:ascii="Times New Roman" w:hAnsi="Times New Roman"/>
                <w:szCs w:val="21"/>
                <w:vertAlign w:val="subscript"/>
                <w:lang w:eastAsia="zh-CN"/>
              </w:rPr>
              <w:t>2</w:t>
            </w:r>
            <w:r>
              <w:rPr>
                <w:rFonts w:hint="eastAsia" w:ascii="Times New Roman" w:hAnsi="Times New Roman"/>
                <w:szCs w:val="21"/>
                <w:lang w:eastAsia="zh-CN"/>
              </w:rPr>
              <w:t>、NOx、</w:t>
            </w:r>
            <w:r>
              <w:rPr>
                <w:rFonts w:hint="eastAsia" w:ascii="Times New Roman" w:hAnsi="Times New Roman"/>
                <w:szCs w:val="21"/>
              </w:rPr>
              <w:t>颗粒物</w:t>
            </w:r>
            <w:r>
              <w:rPr>
                <w:rFonts w:hint="eastAsia" w:ascii="Times New Roman" w:hAnsi="Times New Roman"/>
                <w:szCs w:val="21"/>
                <w:lang w:eastAsia="zh-CN"/>
              </w:rPr>
              <w:t>、林格曼黑度</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DA010(步进式加热炉)</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SO</w:t>
            </w:r>
            <w:r>
              <w:rPr>
                <w:rFonts w:hint="eastAsia" w:ascii="Times New Roman" w:hAnsi="Times New Roman"/>
                <w:szCs w:val="21"/>
                <w:vertAlign w:val="subscript"/>
                <w:lang w:eastAsia="zh-CN"/>
              </w:rPr>
              <w:t>2</w:t>
            </w:r>
            <w:r>
              <w:rPr>
                <w:rFonts w:hint="eastAsia" w:ascii="Times New Roman" w:hAnsi="Times New Roman"/>
                <w:szCs w:val="21"/>
                <w:lang w:eastAsia="zh-CN"/>
              </w:rPr>
              <w:t>、NOx、</w:t>
            </w: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DA011(不锈钢在线固溶炉)</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SO</w:t>
            </w:r>
            <w:r>
              <w:rPr>
                <w:rFonts w:hint="eastAsia" w:ascii="Times New Roman" w:hAnsi="Times New Roman"/>
                <w:szCs w:val="21"/>
                <w:vertAlign w:val="subscript"/>
                <w:lang w:eastAsia="zh-CN"/>
              </w:rPr>
              <w:t>2</w:t>
            </w:r>
            <w:r>
              <w:rPr>
                <w:rFonts w:hint="eastAsia" w:ascii="Times New Roman" w:hAnsi="Times New Roman"/>
                <w:szCs w:val="21"/>
                <w:lang w:eastAsia="zh-CN"/>
              </w:rPr>
              <w:t>、NOx、</w:t>
            </w: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厂界</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炼钢车间无组织废气</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93" w:type="dxa"/>
            <w:vMerge w:val="continue"/>
            <w:shd w:val="clear" w:color="auto" w:fill="auto"/>
            <w:vAlign w:val="center"/>
          </w:tcPr>
          <w:p>
            <w:pPr>
              <w:pStyle w:val="466"/>
              <w:spacing w:line="360" w:lineRule="exact"/>
              <w:ind w:firstLine="426"/>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轧钢车间无组织废气</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lang w:eastAsia="zh-CN"/>
              </w:rPr>
              <w:t>硝酸雾、硫酸雾、</w:t>
            </w:r>
            <w:r>
              <w:rPr>
                <w:rFonts w:hint="eastAsia" w:ascii="Times New Roman" w:hAnsi="Times New Roman"/>
                <w:szCs w:val="21"/>
              </w:rPr>
              <w:t>颗粒物</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93" w:type="dxa"/>
            <w:vMerge w:val="continue"/>
            <w:shd w:val="clear" w:color="auto" w:fill="auto"/>
            <w:vAlign w:val="center"/>
          </w:tcPr>
          <w:p>
            <w:pPr>
              <w:pStyle w:val="466"/>
              <w:spacing w:line="360" w:lineRule="exact"/>
              <w:ind w:firstLine="0" w:firstLineChars="0"/>
              <w:jc w:val="center"/>
              <w:textAlignment w:val="center"/>
              <w:rPr>
                <w:rFonts w:ascii="Times New Roman" w:hAnsi="Times New Roman"/>
                <w:szCs w:val="21"/>
              </w:rPr>
            </w:pPr>
          </w:p>
        </w:tc>
        <w:tc>
          <w:tcPr>
            <w:tcW w:w="498" w:type="dxa"/>
            <w:vMerge w:val="restart"/>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废水</w:t>
            </w:r>
          </w:p>
        </w:tc>
        <w:tc>
          <w:tcPr>
            <w:tcW w:w="1430" w:type="dxa"/>
            <w:vMerge w:val="restart"/>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DW001</w:t>
            </w:r>
            <w:r>
              <w:rPr>
                <w:rFonts w:ascii="Times New Roman" w:hAnsi="Times New Roman"/>
                <w:szCs w:val="21"/>
              </w:rPr>
              <w:t>污水排放口</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采样监测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rPr>
              <w:t>总氮、</w:t>
            </w:r>
            <w:r>
              <w:rPr>
                <w:rFonts w:hint="eastAsia" w:ascii="Times New Roman" w:hAnsi="Times New Roman"/>
                <w:szCs w:val="21"/>
                <w:lang w:eastAsia="zh-CN"/>
              </w:rPr>
              <w:t>氟化物、总镍、总铜、六价铬、总铬、</w:t>
            </w:r>
            <w:r>
              <w:rPr>
                <w:rFonts w:ascii="Times New Roman" w:hAnsi="Times New Roman"/>
                <w:szCs w:val="21"/>
              </w:rPr>
              <w:t>NH</w:t>
            </w:r>
            <w:r>
              <w:rPr>
                <w:rFonts w:ascii="Times New Roman" w:hAnsi="Times New Roman"/>
                <w:szCs w:val="21"/>
                <w:vertAlign w:val="subscript"/>
              </w:rPr>
              <w:t>3</w:t>
            </w:r>
            <w:r>
              <w:rPr>
                <w:rFonts w:ascii="Times New Roman" w:hAnsi="Times New Roman"/>
                <w:szCs w:val="21"/>
              </w:rPr>
              <w:t>-N</w:t>
            </w:r>
            <w:r>
              <w:rPr>
                <w:rFonts w:hint="eastAsia" w:ascii="Times New Roman" w:hAnsi="Times New Roman"/>
                <w:szCs w:val="21"/>
              </w:rPr>
              <w:t>、</w:t>
            </w:r>
            <w:r>
              <w:rPr>
                <w:rFonts w:hint="eastAsia" w:ascii="Times New Roman" w:hAnsi="Times New Roman"/>
                <w:szCs w:val="21"/>
                <w:lang w:eastAsia="zh-CN"/>
              </w:rPr>
              <w:t>总汞、总砷、</w:t>
            </w:r>
            <w:r>
              <w:rPr>
                <w:rFonts w:hint="eastAsia" w:ascii="Times New Roman" w:hAnsi="Times New Roman"/>
                <w:szCs w:val="21"/>
              </w:rPr>
              <w:t>总磷、</w:t>
            </w:r>
            <w:r>
              <w:rPr>
                <w:rFonts w:hint="eastAsia" w:ascii="Times New Roman" w:hAnsi="Times New Roman"/>
                <w:szCs w:val="21"/>
                <w:lang w:eastAsia="zh-CN"/>
              </w:rPr>
              <w:t>石油类、</w:t>
            </w:r>
            <w:r>
              <w:rPr>
                <w:rFonts w:hint="eastAsia" w:ascii="Times New Roman" w:hAnsi="Times New Roman"/>
                <w:szCs w:val="21"/>
              </w:rPr>
              <w:t>悬浮物、</w:t>
            </w:r>
            <w:r>
              <w:rPr>
                <w:rFonts w:hint="eastAsia" w:ascii="Times New Roman" w:hAnsi="Times New Roman"/>
                <w:szCs w:val="21"/>
                <w:lang w:eastAsia="zh-CN"/>
              </w:rPr>
              <w:t>总铁、总氰化物、</w:t>
            </w:r>
            <w:r>
              <w:rPr>
                <w:rFonts w:ascii="Times New Roman" w:hAnsi="Times New Roman"/>
                <w:szCs w:val="21"/>
              </w:rPr>
              <w:t>pH、</w:t>
            </w:r>
            <w:r>
              <w:rPr>
                <w:rFonts w:hint="eastAsia" w:ascii="Times New Roman" w:hAnsi="Times New Roman"/>
                <w:szCs w:val="21"/>
              </w:rPr>
              <w:t>BOD</w:t>
            </w:r>
            <w:r>
              <w:rPr>
                <w:rFonts w:hint="eastAsia" w:ascii="Times New Roman" w:hAnsi="Times New Roman"/>
                <w:szCs w:val="21"/>
                <w:vertAlign w:val="subscript"/>
              </w:rPr>
              <w:t>5</w:t>
            </w:r>
            <w:r>
              <w:rPr>
                <w:rFonts w:hint="eastAsia" w:ascii="Times New Roman" w:hAnsi="Times New Roman"/>
                <w:szCs w:val="21"/>
              </w:rPr>
              <w:t>、</w:t>
            </w:r>
            <w:r>
              <w:rPr>
                <w:rFonts w:hint="eastAsia" w:ascii="Times New Roman" w:hAnsi="Times New Roman"/>
                <w:szCs w:val="21"/>
                <w:lang w:eastAsia="zh-CN"/>
              </w:rPr>
              <w:t>总锌、</w:t>
            </w:r>
            <w:r>
              <w:rPr>
                <w:rFonts w:ascii="Times New Roman" w:hAnsi="Times New Roman"/>
                <w:szCs w:val="21"/>
              </w:rPr>
              <w:t>COD</w:t>
            </w:r>
            <w:r>
              <w:rPr>
                <w:rFonts w:ascii="Times New Roman" w:hAnsi="Times New Roman"/>
                <w:szCs w:val="21"/>
                <w:vertAlign w:val="subscript"/>
              </w:rPr>
              <w:t>Cr</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93" w:type="dxa"/>
            <w:vMerge w:val="continue"/>
            <w:shd w:val="clear" w:color="auto" w:fill="auto"/>
            <w:vAlign w:val="center"/>
          </w:tcPr>
          <w:p>
            <w:pPr>
              <w:pStyle w:val="466"/>
              <w:spacing w:line="360" w:lineRule="exact"/>
              <w:ind w:firstLine="0" w:firstLineChars="0"/>
              <w:jc w:val="center"/>
              <w:textAlignment w:val="center"/>
              <w:rPr>
                <w:rFonts w:ascii="Times New Roman" w:hAnsi="Times New Roman"/>
                <w:szCs w:val="21"/>
              </w:rPr>
            </w:pPr>
          </w:p>
        </w:tc>
        <w:tc>
          <w:tcPr>
            <w:tcW w:w="498" w:type="dxa"/>
            <w:vMerge w:val="continue"/>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430" w:type="dxa"/>
            <w:vMerge w:val="continue"/>
            <w:tcBorders>
              <w:lef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自动监测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流量</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连续</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lang w:eastAsia="zh-CN"/>
              </w:rPr>
            </w:pPr>
            <w:r>
              <w:rPr>
                <w:rFonts w:hint="eastAsia" w:ascii="Times New Roman" w:hAnsi="Times New Roman"/>
                <w:szCs w:val="21"/>
                <w:lang w:eastAsia="zh-CN"/>
              </w:rPr>
              <w:t>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93" w:type="dxa"/>
            <w:vMerge w:val="continue"/>
            <w:shd w:val="clear" w:color="auto" w:fill="auto"/>
            <w:vAlign w:val="center"/>
          </w:tcPr>
          <w:p>
            <w:pPr>
              <w:pStyle w:val="466"/>
              <w:spacing w:line="360" w:lineRule="exact"/>
              <w:ind w:firstLine="0" w:firstLineChars="0"/>
              <w:jc w:val="center"/>
              <w:textAlignment w:val="center"/>
              <w:rPr>
                <w:rFonts w:ascii="Times New Roman" w:hAnsi="Times New Roman"/>
                <w:szCs w:val="21"/>
              </w:rPr>
            </w:pPr>
          </w:p>
        </w:tc>
        <w:tc>
          <w:tcPr>
            <w:tcW w:w="498" w:type="dxa"/>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噪声</w:t>
            </w:r>
          </w:p>
        </w:tc>
        <w:tc>
          <w:tcPr>
            <w:tcW w:w="1430" w:type="dxa"/>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厂界噪声</w:t>
            </w:r>
          </w:p>
        </w:tc>
        <w:tc>
          <w:tcPr>
            <w:tcW w:w="1270" w:type="dxa"/>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现场实测</w:t>
            </w:r>
          </w:p>
        </w:tc>
        <w:tc>
          <w:tcPr>
            <w:tcW w:w="2812" w:type="dxa"/>
            <w:tcBorders>
              <w:righ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ascii="Times New Roman" w:hAnsi="Times New Roman"/>
                <w:szCs w:val="21"/>
              </w:rPr>
              <w:t>昼</w:t>
            </w:r>
            <w:r>
              <w:rPr>
                <w:rFonts w:hint="eastAsia" w:ascii="Times New Roman" w:hAnsi="Times New Roman"/>
                <w:szCs w:val="21"/>
                <w:lang w:eastAsia="zh-CN"/>
              </w:rPr>
              <w:t>、夜</w:t>
            </w:r>
            <w:r>
              <w:rPr>
                <w:rFonts w:ascii="Times New Roman" w:hAnsi="Times New Roman"/>
                <w:szCs w:val="21"/>
              </w:rPr>
              <w:t>间Leq（A）</w:t>
            </w:r>
          </w:p>
        </w:tc>
        <w:tc>
          <w:tcPr>
            <w:tcW w:w="1126" w:type="dxa"/>
            <w:tcBorders>
              <w:right w:val="single" w:color="auto" w:sz="4" w:space="0"/>
            </w:tcBorders>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1次/季</w:t>
            </w:r>
          </w:p>
        </w:tc>
        <w:tc>
          <w:tcPr>
            <w:tcW w:w="1142" w:type="dxa"/>
            <w:tcBorders>
              <w:left w:val="single" w:color="auto" w:sz="4" w:space="0"/>
            </w:tcBorders>
            <w:shd w:val="clear" w:color="auto" w:fill="auto"/>
            <w:vAlign w:val="center"/>
          </w:tcPr>
          <w:p>
            <w:pPr>
              <w:pStyle w:val="466"/>
              <w:spacing w:line="360" w:lineRule="exact"/>
              <w:ind w:firstLine="0" w:firstLineChars="0"/>
              <w:jc w:val="center"/>
              <w:textAlignment w:val="center"/>
              <w:rPr>
                <w:rFonts w:ascii="Times New Roman" w:hAnsi="Times New Roman"/>
                <w:szCs w:val="21"/>
              </w:rPr>
            </w:pPr>
            <w:r>
              <w:rPr>
                <w:rFonts w:hint="eastAsia" w:ascii="Times New Roman" w:hAnsi="Times New Roman"/>
                <w:szCs w:val="21"/>
              </w:rPr>
              <w:t>已落实</w:t>
            </w:r>
          </w:p>
        </w:tc>
      </w:tr>
    </w:tbl>
    <w:p>
      <w:pPr>
        <w:pStyle w:val="4"/>
        <w:spacing w:line="480" w:lineRule="exact"/>
        <w:rPr>
          <w:rFonts w:ascii="Times New Roman" w:hAnsi="Times New Roman" w:cs="Times New Roman"/>
          <w:spacing w:val="0"/>
          <w:lang w:val="zh-CN"/>
        </w:rPr>
      </w:pPr>
      <w:r>
        <w:rPr>
          <w:rFonts w:ascii="Times New Roman" w:hAnsi="Times New Roman" w:cs="Times New Roman"/>
          <w:spacing w:val="0"/>
          <w:lang w:val="zh-CN"/>
        </w:rPr>
        <w:t>根据调查，企业已根据《排污许可证申请与核发技术规范 钢铁工业》(HJ846-2017)制定了监测计划并严格按照其执行</w:t>
      </w:r>
      <w:r>
        <w:rPr>
          <w:rFonts w:hint="eastAsia" w:ascii="Times New Roman" w:hAnsi="Times New Roman" w:cs="Times New Roman"/>
          <w:spacing w:val="0"/>
          <w:lang w:val="zh-CN"/>
        </w:rPr>
        <w:t>。考虑</w:t>
      </w:r>
      <w:r>
        <w:rPr>
          <w:rFonts w:ascii="Times New Roman" w:hAnsi="Times New Roman" w:cs="Times New Roman"/>
          <w:spacing w:val="0"/>
          <w:lang w:val="zh-CN"/>
        </w:rPr>
        <w:t>到企业为不锈钢生产企业，</w:t>
      </w:r>
      <w:r>
        <w:rPr>
          <w:rFonts w:hint="eastAsia" w:ascii="Times New Roman" w:hAnsi="Times New Roman" w:cs="Times New Roman"/>
          <w:spacing w:val="0"/>
          <w:lang w:val="zh-CN"/>
        </w:rPr>
        <w:t>原辅料</w:t>
      </w:r>
      <w:r>
        <w:rPr>
          <w:rFonts w:ascii="Times New Roman" w:hAnsi="Times New Roman" w:cs="Times New Roman"/>
          <w:spacing w:val="0"/>
          <w:lang w:val="zh-CN"/>
        </w:rPr>
        <w:t>中涉及镍、铬，因此</w:t>
      </w:r>
      <w:r>
        <w:rPr>
          <w:rFonts w:hint="eastAsia" w:ascii="Times New Roman" w:hAnsi="Times New Roman" w:cs="Times New Roman"/>
          <w:spacing w:val="0"/>
          <w:lang w:val="zh-CN"/>
        </w:rPr>
        <w:t>本报告</w:t>
      </w:r>
      <w:r>
        <w:rPr>
          <w:rFonts w:ascii="Times New Roman" w:hAnsi="Times New Roman" w:cs="Times New Roman"/>
          <w:spacing w:val="0"/>
          <w:lang w:val="zh-CN"/>
        </w:rPr>
        <w:t>建议再炼钢二厂、炼钢一厂</w:t>
      </w:r>
      <w:r>
        <w:rPr>
          <w:rFonts w:hint="eastAsia" w:ascii="Times New Roman" w:hAnsi="Times New Roman" w:cs="Times New Roman"/>
          <w:spacing w:val="0"/>
          <w:lang w:val="zh-CN"/>
        </w:rPr>
        <w:t>电炉</w:t>
      </w:r>
      <w:r>
        <w:rPr>
          <w:rFonts w:ascii="Times New Roman" w:hAnsi="Times New Roman" w:cs="Times New Roman"/>
          <w:spacing w:val="0"/>
          <w:lang w:val="zh-CN"/>
        </w:rPr>
        <w:t>废气</w:t>
      </w:r>
      <w:r>
        <w:rPr>
          <w:rFonts w:hint="eastAsia" w:ascii="Times New Roman" w:hAnsi="Times New Roman" w:cs="Times New Roman"/>
          <w:spacing w:val="0"/>
          <w:lang w:val="zh-CN"/>
        </w:rPr>
        <w:t>排气筒出口(</w:t>
      </w:r>
      <w:r>
        <w:rPr>
          <w:rFonts w:ascii="Times New Roman" w:hAnsi="Times New Roman" w:cs="Times New Roman"/>
          <w:spacing w:val="0"/>
          <w:lang w:val="zh-CN"/>
        </w:rPr>
        <w:t>DA001</w:t>
      </w:r>
      <w:r>
        <w:rPr>
          <w:rFonts w:hint="eastAsia" w:ascii="Times New Roman" w:hAnsi="Times New Roman" w:cs="Times New Roman"/>
          <w:spacing w:val="0"/>
          <w:lang w:val="zh-CN"/>
        </w:rPr>
        <w:t>、DA002)增加</w:t>
      </w:r>
      <w:r>
        <w:rPr>
          <w:rFonts w:ascii="Times New Roman" w:hAnsi="Times New Roman" w:cs="Times New Roman"/>
          <w:spacing w:val="0"/>
          <w:lang w:val="zh-CN"/>
        </w:rPr>
        <w:t>镍及其化合物、铬及其化合物监测指标，以了解重金属达标排放情况。</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rPr>
        <w:t>另外</w:t>
      </w:r>
      <w:r>
        <w:rPr>
          <w:rFonts w:ascii="Times New Roman" w:hAnsi="Times New Roman" w:cs="Times New Roman"/>
          <w:spacing w:val="0"/>
        </w:rPr>
        <w:t>，根据轧钢浊环水排放水监测</w:t>
      </w:r>
      <w:r>
        <w:rPr>
          <w:rFonts w:hint="eastAsia" w:ascii="Times New Roman" w:hAnsi="Times New Roman" w:cs="Times New Roman"/>
          <w:spacing w:val="0"/>
        </w:rPr>
        <w:t>结果</w:t>
      </w:r>
      <w:r>
        <w:rPr>
          <w:rFonts w:ascii="Times New Roman" w:hAnsi="Times New Roman" w:cs="Times New Roman"/>
          <w:spacing w:val="0"/>
        </w:rPr>
        <w:t>来看</w:t>
      </w:r>
      <w:r>
        <w:rPr>
          <w:rFonts w:hint="eastAsia" w:ascii="Times New Roman" w:hAnsi="Times New Roman" w:cs="Times New Roman"/>
          <w:spacing w:val="0"/>
        </w:rPr>
        <w:t>(详见</w:t>
      </w:r>
      <w:r>
        <w:rPr>
          <w:rFonts w:ascii="Times New Roman" w:hAnsi="Times New Roman" w:cs="Times New Roman"/>
          <w:spacing w:val="0"/>
        </w:rPr>
        <w:t>表</w:t>
      </w:r>
      <w:r>
        <w:rPr>
          <w:rFonts w:hint="eastAsia" w:ascii="Times New Roman" w:hAnsi="Times New Roman" w:cs="Times New Roman"/>
          <w:spacing w:val="0"/>
        </w:rPr>
        <w:t>3-32)，</w:t>
      </w:r>
      <w:r>
        <w:rPr>
          <w:rFonts w:ascii="Times New Roman" w:hAnsi="Times New Roman" w:cs="Times New Roman"/>
          <w:spacing w:val="0"/>
        </w:rPr>
        <w:t>该废水中含一类重金属，因此要求企业在轧钢轧钢</w:t>
      </w:r>
      <w:r>
        <w:rPr>
          <w:rFonts w:hint="eastAsia" w:ascii="Times New Roman" w:hAnsi="Times New Roman" w:cs="Times New Roman"/>
          <w:spacing w:val="0"/>
        </w:rPr>
        <w:t>浊环水</w:t>
      </w:r>
      <w:r>
        <w:rPr>
          <w:rFonts w:ascii="Times New Roman" w:hAnsi="Times New Roman" w:cs="Times New Roman"/>
          <w:spacing w:val="0"/>
        </w:rPr>
        <w:t>排放水单设一个</w:t>
      </w:r>
      <w:r>
        <w:rPr>
          <w:rFonts w:hint="eastAsia" w:ascii="Times New Roman" w:hAnsi="Times New Roman" w:cs="Times New Roman"/>
          <w:spacing w:val="0"/>
        </w:rPr>
        <w:t>废水</w:t>
      </w:r>
      <w:r>
        <w:rPr>
          <w:rFonts w:ascii="Times New Roman" w:hAnsi="Times New Roman" w:cs="Times New Roman"/>
          <w:spacing w:val="0"/>
        </w:rPr>
        <w:t>收集池兼做</w:t>
      </w:r>
      <w:r>
        <w:rPr>
          <w:rFonts w:hint="eastAsia" w:ascii="Times New Roman" w:hAnsi="Times New Roman" w:cs="Times New Roman"/>
          <w:spacing w:val="0"/>
        </w:rPr>
        <w:t>监控池</w:t>
      </w:r>
      <w:r>
        <w:rPr>
          <w:rFonts w:ascii="Times New Roman" w:hAnsi="Times New Roman" w:cs="Times New Roman"/>
          <w:spacing w:val="0"/>
        </w:rPr>
        <w:t>，对一类重金属污染物进行</w:t>
      </w:r>
      <w:r>
        <w:rPr>
          <w:rFonts w:hint="eastAsia" w:ascii="Times New Roman" w:hAnsi="Times New Roman" w:cs="Times New Roman"/>
          <w:spacing w:val="0"/>
        </w:rPr>
        <w:t>监控。</w:t>
      </w:r>
    </w:p>
    <w:p>
      <w:pPr>
        <w:pStyle w:val="5"/>
        <w:numPr>
          <w:ilvl w:val="2"/>
          <w:numId w:val="25"/>
        </w:numPr>
        <w:rPr>
          <w:rFonts w:ascii="Times New Roman"/>
          <w:lang w:eastAsia="zh-CN"/>
        </w:rPr>
      </w:pPr>
      <w:r>
        <w:rPr>
          <w:rFonts w:hint="eastAsia" w:ascii="Times New Roman"/>
          <w:lang w:eastAsia="zh-CN"/>
        </w:rPr>
        <w:t>企业现状环境风险回顾性分析</w:t>
      </w:r>
    </w:p>
    <w:p>
      <w:pPr>
        <w:pStyle w:val="4"/>
        <w:spacing w:line="480" w:lineRule="exact"/>
        <w:ind w:left="233"/>
        <w:rPr>
          <w:rFonts w:ascii="Times New Roman" w:hAnsi="Times New Roman" w:cs="Times New Roman"/>
          <w:spacing w:val="0"/>
        </w:rPr>
      </w:pPr>
      <w:r>
        <w:rPr>
          <w:rFonts w:hint="eastAsia" w:ascii="Times New Roman" w:hAnsi="Times New Roman" w:cs="Times New Roman"/>
          <w:spacing w:val="0"/>
        </w:rPr>
        <w:t>企业已于2018.8委托湖州绿达环保技术服务有限公司编制了《永兴特种不锈钢股份有限公司突发环境事件应急预案(全本)》，并已向当时生态环境局备案(备案登记表详见附件5)，并根据应急预案成立了应急处置专业队伍，配备了应急设施与物资，并定期进行演练。</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根据该应急预案，企业</w:t>
      </w:r>
      <w:r>
        <w:rPr>
          <w:rFonts w:ascii="Times New Roman" w:hAnsi="Times New Roman" w:cs="Times New Roman" w:eastAsiaTheme="minorEastAsia"/>
          <w:spacing w:val="0"/>
          <w:kern w:val="0"/>
          <w:szCs w:val="24"/>
        </w:rPr>
        <w:t>必须设最小容积为700m</w:t>
      </w:r>
      <w:r>
        <w:rPr>
          <w:rFonts w:hint="eastAsia" w:ascii="Times New Roman" w:hAnsi="Times New Roman" w:cs="Times New Roman" w:eastAsiaTheme="minorEastAsia"/>
          <w:spacing w:val="0"/>
          <w:kern w:val="0"/>
          <w:szCs w:val="24"/>
          <w:vertAlign w:val="superscript"/>
        </w:rPr>
        <w:t>3</w:t>
      </w:r>
      <w:r>
        <w:rPr>
          <w:rFonts w:ascii="Times New Roman" w:hAnsi="Times New Roman" w:cs="Times New Roman" w:eastAsiaTheme="minorEastAsia"/>
          <w:spacing w:val="0"/>
          <w:kern w:val="0"/>
          <w:szCs w:val="24"/>
        </w:rPr>
        <w:t>事故应急池</w:t>
      </w:r>
      <w:r>
        <w:rPr>
          <w:rFonts w:hint="eastAsia" w:ascii="Times New Roman" w:hAnsi="Times New Roman" w:cs="Times New Roman" w:eastAsiaTheme="minorEastAsia"/>
          <w:spacing w:val="0"/>
          <w:kern w:val="0"/>
          <w:szCs w:val="24"/>
        </w:rPr>
        <w:t>，</w:t>
      </w:r>
      <w:r>
        <w:rPr>
          <w:rFonts w:ascii="Times New Roman" w:hAnsi="Times New Roman" w:cs="Times New Roman" w:eastAsiaTheme="minorEastAsia"/>
          <w:spacing w:val="0"/>
          <w:kern w:val="0"/>
          <w:szCs w:val="24"/>
        </w:rPr>
        <w:t>企业现有事故应急池容积为800m</w:t>
      </w:r>
      <w:r>
        <w:rPr>
          <w:rFonts w:hint="eastAsia" w:ascii="Times New Roman" w:hAnsi="Times New Roman" w:cs="Times New Roman" w:eastAsiaTheme="minorEastAsia"/>
          <w:spacing w:val="0"/>
          <w:kern w:val="0"/>
          <w:szCs w:val="24"/>
          <w:vertAlign w:val="superscript"/>
        </w:rPr>
        <w:t>3</w:t>
      </w:r>
      <w:r>
        <w:rPr>
          <w:rFonts w:ascii="Times New Roman" w:hAnsi="Times New Roman" w:cs="Times New Roman" w:eastAsiaTheme="minorEastAsia"/>
          <w:spacing w:val="0"/>
          <w:kern w:val="0"/>
          <w:szCs w:val="24"/>
        </w:rPr>
        <w:t>，能满足事故应急要求。</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企业事故应急池的操作规程如下：</w:t>
      </w:r>
    </w:p>
    <w:p>
      <w:pPr>
        <w:spacing w:line="360" w:lineRule="auto"/>
        <w:ind w:left="-71" w:leftChars="-100" w:hanging="212" w:hangingChars="75"/>
        <w:rPr>
          <w:kern w:val="0"/>
          <w:szCs w:val="28"/>
        </w:rPr>
      </w:pPr>
      <w:r>
        <w:rPr>
          <w:kern w:val="0"/>
          <w:szCs w:val="28"/>
        </w:rPr>
        <mc:AlternateContent>
          <mc:Choice Requires="wpg">
            <w:drawing>
              <wp:inline distT="0" distB="0" distL="0" distR="0">
                <wp:extent cx="5734050" cy="1075055"/>
                <wp:effectExtent l="0" t="0" r="0" b="0"/>
                <wp:docPr id="3" name="组合 3"/>
                <wp:cNvGraphicFramePr/>
                <a:graphic xmlns:a="http://schemas.openxmlformats.org/drawingml/2006/main">
                  <a:graphicData uri="http://schemas.microsoft.com/office/word/2010/wordprocessingGroup">
                    <wpg:wgp>
                      <wpg:cNvGrpSpPr/>
                      <wpg:grpSpPr>
                        <a:xfrm>
                          <a:off x="0" y="0"/>
                          <a:ext cx="5734050" cy="1075157"/>
                          <a:chOff x="0" y="-93"/>
                          <a:chExt cx="7140" cy="1344"/>
                        </a:xfrm>
                      </wpg:grpSpPr>
                      <wps:wsp>
                        <wps:cNvPr id="9" name="Picture 711"/>
                        <wps:cNvSpPr>
                          <a:spLocks noChangeAspect="1" noChangeArrowheads="1" noTextEdit="1"/>
                        </wps:cNvSpPr>
                        <wps:spPr bwMode="auto">
                          <a:xfrm>
                            <a:off x="0" y="0"/>
                            <a:ext cx="7140" cy="1251"/>
                          </a:xfrm>
                          <a:prstGeom prst="rect">
                            <a:avLst/>
                          </a:prstGeom>
                          <a:noFill/>
                          <a:ln>
                            <a:noFill/>
                          </a:ln>
                        </wps:spPr>
                        <wps:bodyPr rot="0" vert="horz" wrap="square" lIns="91440" tIns="45720" rIns="91440" bIns="45720" anchor="t" anchorCtr="0" upright="1">
                          <a:noAutofit/>
                        </wps:bodyPr>
                      </wps:wsp>
                      <wps:wsp>
                        <wps:cNvPr id="13" name="Rectangle 1355"/>
                        <wps:cNvSpPr>
                          <a:spLocks noChangeArrowheads="1"/>
                        </wps:cNvSpPr>
                        <wps:spPr bwMode="auto">
                          <a:xfrm>
                            <a:off x="12" y="168"/>
                            <a:ext cx="996" cy="601"/>
                          </a:xfrm>
                          <a:prstGeom prst="rect">
                            <a:avLst/>
                          </a:prstGeom>
                          <a:noFill/>
                          <a:ln>
                            <a:noFill/>
                          </a:ln>
                          <a:effectLst/>
                        </wps:spPr>
                        <wps:txb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发生事故</w:t>
                              </w:r>
                            </w:p>
                          </w:txbxContent>
                        </wps:txbx>
                        <wps:bodyPr rot="0" vert="horz" wrap="square" lIns="0" tIns="108000" rIns="0" bIns="0" anchor="t" anchorCtr="0" upright="1">
                          <a:noAutofit/>
                        </wps:bodyPr>
                      </wps:wsp>
                      <wps:wsp>
                        <wps:cNvPr id="21" name="Rectangle 1356"/>
                        <wps:cNvSpPr>
                          <a:spLocks noChangeArrowheads="1"/>
                        </wps:cNvSpPr>
                        <wps:spPr bwMode="auto">
                          <a:xfrm>
                            <a:off x="1293" y="168"/>
                            <a:ext cx="1138" cy="947"/>
                          </a:xfrm>
                          <a:prstGeom prst="rect">
                            <a:avLst/>
                          </a:prstGeom>
                          <a:noFill/>
                          <a:ln>
                            <a:noFill/>
                          </a:ln>
                          <a:effectLst/>
                        </wps:spPr>
                        <wps:txbx>
                          <w:txbxContent>
                            <w:p>
                              <w:pPr>
                                <w:spacing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关闭雨水、污水排放口总闸门</w:t>
                              </w:r>
                            </w:p>
                          </w:txbxContent>
                        </wps:txbx>
                        <wps:bodyPr rot="0" vert="horz" wrap="square" lIns="0" tIns="108000" rIns="0" bIns="0" anchor="t" anchorCtr="0" upright="1">
                          <a:noAutofit/>
                        </wps:bodyPr>
                      </wps:wsp>
                      <wps:wsp>
                        <wps:cNvPr id="450" name="Rectangle 1357"/>
                        <wps:cNvSpPr>
                          <a:spLocks noChangeArrowheads="1"/>
                        </wps:cNvSpPr>
                        <wps:spPr bwMode="auto">
                          <a:xfrm>
                            <a:off x="2823" y="248"/>
                            <a:ext cx="1049" cy="985"/>
                          </a:xfrm>
                          <a:prstGeom prst="rect">
                            <a:avLst/>
                          </a:prstGeom>
                          <a:noFill/>
                          <a:ln>
                            <a:noFill/>
                          </a:ln>
                          <a:effectLst/>
                        </wps:spPr>
                        <wps:txbx>
                          <w:txbxContent>
                            <w:p>
                              <w:pPr>
                                <w:spacing w:line="3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开启总事故</w:t>
                              </w:r>
                            </w:p>
                            <w:p>
                              <w:pPr>
                                <w:spacing w:line="3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池应急水泵或应急阀门</w:t>
                              </w:r>
                            </w:p>
                          </w:txbxContent>
                        </wps:txbx>
                        <wps:bodyPr rot="0" vert="horz" wrap="square" lIns="0" tIns="0" rIns="0" bIns="0" anchor="t" anchorCtr="0" upright="1">
                          <a:noAutofit/>
                        </wps:bodyPr>
                      </wps:wsp>
                      <wps:wsp>
                        <wps:cNvPr id="451" name="Rectangle 1358"/>
                        <wps:cNvSpPr>
                          <a:spLocks noChangeArrowheads="1"/>
                        </wps:cNvSpPr>
                        <wps:spPr bwMode="auto">
                          <a:xfrm>
                            <a:off x="4709" y="168"/>
                            <a:ext cx="1138" cy="495"/>
                          </a:xfrm>
                          <a:prstGeom prst="rect">
                            <a:avLst/>
                          </a:prstGeom>
                          <a:noFill/>
                          <a:ln>
                            <a:noFill/>
                          </a:ln>
                          <a:effectLst/>
                        </wps:spPr>
                        <wps:txb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事故应急池</w:t>
                              </w:r>
                            </w:p>
                          </w:txbxContent>
                        </wps:txbx>
                        <wps:bodyPr rot="0" vert="horz" wrap="square" lIns="0" tIns="108000" rIns="0" bIns="0" anchor="t" anchorCtr="0" upright="1">
                          <a:noAutofit/>
                        </wps:bodyPr>
                      </wps:wsp>
                      <wps:wsp>
                        <wps:cNvPr id="452" name="Rectangle 1359"/>
                        <wps:cNvSpPr>
                          <a:spLocks noChangeArrowheads="1"/>
                        </wps:cNvSpPr>
                        <wps:spPr bwMode="auto">
                          <a:xfrm>
                            <a:off x="6132" y="168"/>
                            <a:ext cx="996" cy="495"/>
                          </a:xfrm>
                          <a:prstGeom prst="rect">
                            <a:avLst/>
                          </a:prstGeom>
                          <a:noFill/>
                          <a:ln>
                            <a:noFill/>
                          </a:ln>
                          <a:effectLst/>
                        </wps:spPr>
                        <wps:txbx>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废水处理站</w:t>
                              </w:r>
                            </w:p>
                          </w:txbxContent>
                        </wps:txbx>
                        <wps:bodyPr rot="0" vert="horz" wrap="square" lIns="0" tIns="108000" rIns="0" bIns="0" anchor="t" anchorCtr="0" upright="1">
                          <a:noAutofit/>
                        </wps:bodyPr>
                      </wps:wsp>
                      <wps:wsp>
                        <wps:cNvPr id="453" name="Line 1360"/>
                        <wps:cNvCnPr/>
                        <wps:spPr bwMode="auto">
                          <a:xfrm>
                            <a:off x="866" y="477"/>
                            <a:ext cx="427" cy="0"/>
                          </a:xfrm>
                          <a:prstGeom prst="line">
                            <a:avLst/>
                          </a:prstGeom>
                          <a:noFill/>
                          <a:ln w="9525">
                            <a:solidFill>
                              <a:srgbClr val="000000"/>
                            </a:solidFill>
                            <a:round/>
                            <a:tailEnd type="triangle" w="med" len="med"/>
                          </a:ln>
                          <a:effectLst/>
                        </wps:spPr>
                        <wps:bodyPr/>
                      </wps:wsp>
                      <wps:wsp>
                        <wps:cNvPr id="454" name="Line 1361"/>
                        <wps:cNvCnPr/>
                        <wps:spPr bwMode="auto">
                          <a:xfrm>
                            <a:off x="2431" y="477"/>
                            <a:ext cx="427" cy="0"/>
                          </a:xfrm>
                          <a:prstGeom prst="line">
                            <a:avLst/>
                          </a:prstGeom>
                          <a:noFill/>
                          <a:ln w="9525">
                            <a:solidFill>
                              <a:srgbClr val="000000"/>
                            </a:solidFill>
                            <a:round/>
                            <a:tailEnd type="triangle" w="med" len="med"/>
                          </a:ln>
                          <a:effectLst/>
                        </wps:spPr>
                        <wps:bodyPr/>
                      </wps:wsp>
                      <wps:wsp>
                        <wps:cNvPr id="455" name="Line 1362"/>
                        <wps:cNvCnPr/>
                        <wps:spPr bwMode="auto">
                          <a:xfrm>
                            <a:off x="3738" y="513"/>
                            <a:ext cx="1113" cy="0"/>
                          </a:xfrm>
                          <a:prstGeom prst="line">
                            <a:avLst/>
                          </a:prstGeom>
                          <a:noFill/>
                          <a:ln w="9525">
                            <a:solidFill>
                              <a:srgbClr val="000000"/>
                            </a:solidFill>
                            <a:round/>
                            <a:tailEnd type="triangle" w="med" len="med"/>
                          </a:ln>
                          <a:effectLst/>
                        </wps:spPr>
                        <wps:bodyPr/>
                      </wps:wsp>
                      <wps:wsp>
                        <wps:cNvPr id="456" name="Line 1363"/>
                        <wps:cNvCnPr/>
                        <wps:spPr bwMode="auto">
                          <a:xfrm>
                            <a:off x="5672" y="504"/>
                            <a:ext cx="427" cy="0"/>
                          </a:xfrm>
                          <a:prstGeom prst="line">
                            <a:avLst/>
                          </a:prstGeom>
                          <a:noFill/>
                          <a:ln w="9525">
                            <a:solidFill>
                              <a:srgbClr val="000000"/>
                            </a:solidFill>
                            <a:round/>
                            <a:tailEnd type="triangle" w="med" len="med"/>
                          </a:ln>
                          <a:effectLst/>
                        </wps:spPr>
                        <wps:bodyPr/>
                      </wps:wsp>
                      <wps:wsp>
                        <wps:cNvPr id="457" name="Rectangle 1364"/>
                        <wps:cNvSpPr>
                          <a:spLocks noChangeArrowheads="1"/>
                        </wps:cNvSpPr>
                        <wps:spPr bwMode="auto">
                          <a:xfrm>
                            <a:off x="3653" y="-93"/>
                            <a:ext cx="1198" cy="756"/>
                          </a:xfrm>
                          <a:prstGeom prst="rect">
                            <a:avLst/>
                          </a:prstGeom>
                          <a:noFill/>
                          <a:ln>
                            <a:noFill/>
                          </a:ln>
                          <a:effectLst/>
                        </wps:spPr>
                        <wps:txbx>
                          <w:txbxContent>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消防或事故废水</w:t>
                              </w:r>
                            </w:p>
                          </w:txbxContent>
                        </wps:txbx>
                        <wps:bodyPr rot="0" vert="horz" wrap="square" lIns="0" tIns="108000" rIns="0" bIns="0" anchor="t" anchorCtr="0" upright="1">
                          <a:noAutofit/>
                        </wps:bodyPr>
                      </wps:wsp>
                    </wpg:wgp>
                  </a:graphicData>
                </a:graphic>
              </wp:inline>
            </w:drawing>
          </mc:Choice>
          <mc:Fallback>
            <w:pict>
              <v:group id="_x0000_s1026" o:spid="_x0000_s1026" o:spt="203" style="height:84.65pt;width:451.5pt;" coordorigin="0,-93" coordsize="7140,1344" o:gfxdata="UEsDBAoAAAAAAIdO4kAAAAAAAAAAAAAAAAAEAAAAZHJzL1BLAwQUAAAACACHTuJAZA69BNUAAAAF&#10;AQAADwAAAGRycy9kb3ducmV2LnhtbE2PQUvDQBCF74L/YRnBm93EYLExmyJFPRXBVhBv0+w0Cc3O&#10;huw2af+9oxd7GXi8x5vvFcuT69RIQ2g9G0hnCSjiytuWawOf29e7R1AhIlvsPJOBMwVYltdXBebW&#10;T/xB4ybWSko45GigibHPtQ5VQw7DzPfE4u394DCKHGptB5yk3HX6Pknm2mHL8qHBnlYNVYfN0Rl4&#10;m3B6ztKXcX3Yr87f24f3r3VKxtzepMkTqEin+B+GX3xBh1KYdv7INqjOgAyJf1e8RZKJ3ElovshA&#10;l4W+pC9/AFBLAwQUAAAACACHTuJAn2mJk2IEAABtGQAADgAAAGRycy9lMm9Eb2MueG1s7VnLbuM2&#10;FN0X6D8Q3E+sByXZQpTBIJMJCqRt0Jl+AC1RD1QSVZKOnK676LL/0+8ZzG/0kpRkJ+O2Tjpxm8BZ&#10;OBIlXV2ee+5Tp6/XTY1umJAVbxPsnjgYsTblWdUWCf7xw7tXc4ykom1Ga96yBN8yiV+fff3Vad/F&#10;zOMlrzMmEAhpZdx3CS6V6uLZTKYla6g84R1r4WLORUMVnIpilgnag/SmnnmOE856LrJO8JRJCatv&#10;7UV8ZuTnOUvV93kumUJ1gkE3ZX6F+V3q39nZKY0LQbuySgc16CO0aGjVwksnUW+pomglqs9ENVUq&#10;uOS5Okl5M+N5XqXM7AF24zr3dnMp+KozeynivugmmADaezg9Wmz63c21QFWWYB+jljZgok9//Prx&#10;99+Qr7HpuyKGWy5F9767FsNCYc/0dte5aPR/2AhaG1RvJ1TZWqEUFoPIJ04A4KdwzXWiwA0ii3ta&#10;gnE2z71amHfSOC0vhmcjl4wP+oTop2bjS2dat0mVvgP+yA1E8t9B9L6kHTPIS73/AaLFCNF1laqV&#10;YChyXYuSuUtDpMGQ3RVPf5Ko5eclbQv2RnbAQ9g7PD4uCcH7ktEM9DTLHwCti6wyd+ld6v3Ai61I&#10;fSJBOFr23/IMTERXihu67YP/FoZeYPSdMKRxJ6S6ZLxB+iDBAhQ1gunNlVQW7vEWvbWWv6vqGtZp&#10;XLd3FkCmXjGKa101d2S85Nkt6C04yAZDQqCAg5KLXzDqwekSLH9eUcEwqr9pAYqFS7S9lTkhQeTB&#10;idi+sty+QtsURCVYYWQPz5X17FUnqqI0WFod3wBeeWX2s9FqUBZYY3V9cvq4k4v9ADADM2qGXD8I&#10;9qHQHb48niCuh5H2wnBuPXD00cUitP4ZOk/NEBozE5cHfo3ctjZQ6+Uadrcx0t7UmWjjOnPHmXgD&#10;B5YzcPDc+OLpyGBC8h2+hAflC8TknYxxXR9Suw7pC2LC+RMGlSNlPq8NdmcoovPsDs4YC2mvmnLK&#10;jjT1hWKMN/csZzxyL8q4DoEUajgzN1HvGXPmRUQYAvXALroYux2ILiRygBS7ktImxJDFc6fLy8lK&#10;JIAaYkeIWRwwLYWu/0+FzJEyulr/fxS+JJgq36uq1UVvaDrvIcKct0NruWeXMw+hWIWAQaKhjxyr&#10;WOJFNr0Y6X+dXGpQYu8uB/VQ4gReYB6QvK4y3QLpvkKKYnleC3RD9XDB/GkfgPfeuQ2a+DYzLZOi&#10;VX3RZkjddtDEKVGZHgBaoQQ3LIMmiMEMRR9ZKbbD+ptq2XZX+maN5OEaGRKQMQSM9tzugx9qT4/4&#10;kIaOBh3b5f/CoMF9g3pb4fyhBvUj3RuAQQNoeQ3zRw91IacfXfQAoyoSQIy0WXp00WGgZ3qAh1o0&#10;CCObcAPHTOGgIxsmdMeYa6YVTz48gmnYaNDtaUBozHGgUt0PdSIHv54mtSMLXHcxTAMiIJ5NX+Ns&#10;cpwffqkR44uYBpjpNcz0TbkwfH/QHw22z01e33wlOf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ZA69BNUAAAAFAQAADwAAAAAAAAABACAAAAAiAAAAZHJzL2Rvd25yZXYueG1sUEsBAhQAFAAAAAgA&#10;h07iQJ9piZNiBAAAbRkAAA4AAAAAAAAAAQAgAAAAJAEAAGRycy9lMm9Eb2MueG1sUEsFBgAAAAAG&#10;AAYAWQEAAPgHAAAAAA==&#10;">
                <o:lock v:ext="edit" aspectratio="f"/>
                <v:rect id="Picture 711" o:spid="_x0000_s1026" o:spt="1" style="position:absolute;left:0;top:0;height:1251;width:7140;" filled="f" stroked="f" coordsize="21600,21600" o:gfxdata="UEsDBAoAAAAAAIdO4kAAAAAAAAAAAAAAAAAEAAAAZHJzL1BLAwQUAAAACACHTuJAMk4lS70AAADa&#10;AAAADwAAAGRycy9kb3ducmV2LnhtbEWPQWvCQBSE74X+h+UVvJRmowdpU1cPQjGIEIxtzo/saxKa&#10;fRuzaxL/vSsIPQ4z8w2z2kymFQP1rrGsYB7FIIhLqxuuFHyfvt7eQTiPrLG1TAqu5GCzfn5aYaLt&#10;yEcacl+JAGGXoILa+y6R0pU1GXSR7YiD92t7gz7IvpK6xzHATSsXcbyUBhsOCzV2tK2p/MsvRsFY&#10;ZkNxOuxk9lqkls/peZv/7JWavczjTxCeJv8ffrRTreAD7lfCD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TiVLvQAA&#10;ANoAAAAPAAAAAAAAAAEAIAAAACIAAABkcnMvZG93bnJldi54bWxQSwECFAAUAAAACACHTuJAMy8F&#10;njsAAAA5AAAAEAAAAAAAAAABACAAAAAMAQAAZHJzL3NoYXBleG1sLnhtbFBLBQYAAAAABgAGAFsB&#10;AAC2AwAAAAA=&#10;">
                  <v:fill on="f" focussize="0,0"/>
                  <v:stroke on="f"/>
                  <v:imagedata o:title=""/>
                  <o:lock v:ext="edit" text="t" aspectratio="t"/>
                </v:rect>
                <v:rect id="Rectangle 1355" o:spid="_x0000_s1026" o:spt="1" style="position:absolute;left:12;top:168;height:601;width:996;" filled="f" stroked="f" coordsize="21600,21600" o:gfxdata="UEsDBAoAAAAAAIdO4kAAAAAAAAAAAAAAAAAEAAAAZHJzL1BLAwQUAAAACACHTuJAQEgYZLsAAADb&#10;AAAADwAAAGRycy9kb3ducmV2LnhtbEVPTWsCMRC9C/6HMAVvmqil6NYoKApCwdJVaI/DZtxd3EyW&#10;JOr6702h0Ns83ucsVp1txI18qB1rGI8UCOLCmZpLDafjbjgDESKywcYxaXhQgNWy31tgZtydv+iW&#10;x1KkEA4ZaqhibDMpQ1GRxTByLXHizs5bjAn6UhqP9xRuGzlR6k1arDk1VNjSpqLikl+tBr/Zhu71&#10;7D9/1upjP58dLt/t5KT14GWs3kFE6uK/+M+9N2n+FH5/S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gYZLsAAADb&#10;AAAADwAAAAAAAAABACAAAAAiAAAAZHJzL2Rvd25yZXYueG1sUEsBAhQAFAAAAAgAh07iQDMvBZ47&#10;AAAAOQAAABAAAAAAAAAAAQAgAAAACgEAAGRycy9zaGFwZXhtbC54bWxQSwUGAAAAAAYABgBbAQAA&#10;tAMAAAAA&#10;">
                  <v:fill on="f" focussize="0,0"/>
                  <v:stroke on="f"/>
                  <v:imagedata o:title=""/>
                  <o:lock v:ext="edit" aspectratio="f"/>
                  <v:textbox inset="0mm,3mm,0mm,0mm">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发生事故</w:t>
                        </w:r>
                      </w:p>
                    </w:txbxContent>
                  </v:textbox>
                </v:rect>
                <v:rect id="Rectangle 1356" o:spid="_x0000_s1026" o:spt="1" style="position:absolute;left:1293;top:168;height:947;width:1138;" filled="f" stroked="f" coordsize="21600,21600" o:gfxdata="UEsDBAoAAAAAAIdO4kAAAAAAAAAAAAAAAAAEAAAAZHJzL1BLAwQUAAAACACHTuJAEbrpNb4AAADb&#10;AAAADwAAAGRycy9kb3ducmV2LnhtbEWP3WoCMRSE7wu+QzhC72qySym6GgXFglCw+AN6edgcdxc3&#10;J0uS6vbtTaHg5TAz3zCzRW9bcSMfGscaspECQVw603Cl4Xj4fBuDCBHZYOuYNPxSgMV88DLDwrg7&#10;7+i2j5VIEA4Faqhj7AopQ1mTxTByHXHyLs5bjEn6ShqP9wS3rcyV+pAWG04LNXa0qqm87n+sBr9a&#10;h/794r/PS/W1mYy311OXH7V+HWZqCiJSH5/h//bGaMgz+Pu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rpNb4A&#10;AADbAAAADwAAAAAAAAABACAAAAAiAAAAZHJzL2Rvd25yZXYueG1sUEsBAhQAFAAAAAgAh07iQDMv&#10;BZ47AAAAOQAAABAAAAAAAAAAAQAgAAAADQEAAGRycy9zaGFwZXhtbC54bWxQSwUGAAAAAAYABgBb&#10;AQAAtwMAAAAA&#10;">
                  <v:fill on="f" focussize="0,0"/>
                  <v:stroke on="f"/>
                  <v:imagedata o:title=""/>
                  <o:lock v:ext="edit" aspectratio="f"/>
                  <v:textbox inset="0mm,3mm,0mm,0mm">
                    <w:txbxContent>
                      <w:p>
                        <w:pPr>
                          <w:spacing w:line="32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关闭雨水、污水排放口总闸门</w:t>
                        </w:r>
                      </w:p>
                    </w:txbxContent>
                  </v:textbox>
                </v:rect>
                <v:rect id="Rectangle 1357" o:spid="_x0000_s1026" o:spt="1" style="position:absolute;left:2823;top:248;height:985;width:1049;" filled="f" stroked="f" coordsize="21600,21600" o:gfxdata="UEsDBAoAAAAAAIdO4kAAAAAAAAAAAAAAAAAEAAAAZHJzL1BLAwQUAAAACACHTuJAd7hnXrsAAADc&#10;AAAADwAAAGRycy9kb3ducmV2LnhtbEVPTYvCMBC9L/gfwgje1lRxF6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hnX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开启总事故</w:t>
                        </w:r>
                      </w:p>
                      <w:p>
                        <w:pPr>
                          <w:spacing w:line="320" w:lineRule="exact"/>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池应急水泵或应急阀门</w:t>
                        </w:r>
                      </w:p>
                    </w:txbxContent>
                  </v:textbox>
                </v:rect>
                <v:rect id="Rectangle 1358" o:spid="_x0000_s1026" o:spt="1" style="position:absolute;left:4709;top:168;height:495;width:1138;" filled="f" stroked="f" coordsize="21600,21600" o:gfxdata="UEsDBAoAAAAAAIdO4kAAAAAAAAAAAAAAAAAEAAAAZHJzL1BLAwQUAAAACACHTuJAtDxgS78AAADc&#10;AAAADwAAAGRycy9kb3ducmV2LnhtbEWP3WoCMRSE7wXfIRyhd5qsWLFbo1CpIBQq/kB7edgcdxc3&#10;J0sSdfv2jSB4OczMN8x82dlGXMmH2rGGbKRAEBfO1FxqOB7WwxmIEJENNo5Jwx8FWC76vTnmxt14&#10;R9d9LEWCcMhRQxVjm0sZiooshpFriZN3ct5iTNKX0ni8Jbht5FipqbRYc1qosKVVRcV5f7Ea/Ooz&#10;dJOT3/5+qK/N2+z7/NOOj1q/DDL1DiJSF5/hR3tjNExeM7if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8YEu/&#10;AAAA3AAAAA8AAAAAAAAAAQAgAAAAIgAAAGRycy9kb3ducmV2LnhtbFBLAQIUABQAAAAIAIdO4kAz&#10;LwWeOwAAADkAAAAQAAAAAAAAAAEAIAAAAA4BAABkcnMvc2hhcGV4bWwueG1sUEsFBgAAAAAGAAYA&#10;WwEAALgDAAAAAA==&#10;">
                  <v:fill on="f" focussize="0,0"/>
                  <v:stroke on="f"/>
                  <v:imagedata o:title=""/>
                  <o:lock v:ext="edit" aspectratio="f"/>
                  <v:textbox inset="0mm,3mm,0mm,0mm">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事故应急池</w:t>
                        </w:r>
                      </w:p>
                    </w:txbxContent>
                  </v:textbox>
                </v:rect>
                <v:rect id="Rectangle 1359" o:spid="_x0000_s1026" o:spt="1" style="position:absolute;left:6132;top:168;height:495;width:996;" filled="f" stroked="f" coordsize="21600,21600" o:gfxdata="UEsDBAoAAAAAAIdO4kAAAAAAAAAAAAAAAAAEAAAAZHJzL1BLAwQUAAAACACHTuJARO7+PL4AAADc&#10;AAAADwAAAGRycy9kb3ducmV2LnhtbEWPQWsCMRSE7wX/Q3hCbzVxsUVXo6AoCIWWWkGPj81zd3Hz&#10;siRRt/++EQSPw8x8w8wWnW3ElXyoHWsYDhQI4sKZmksN+9/N2xhEiMgGG8ek4Y8CLOa9lxnmxt34&#10;h667WIoE4ZCjhirGNpcyFBVZDAPXEifv5LzFmKQvpfF4S3DbyEypD2mx5rRQYUuriorz7mI1+NU6&#10;dKOT/z4u1ed2Mv46H9psr/Vrf6imICJ18Rl+tLdGw+g9g/uZd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7+PL4A&#10;AADcAAAADwAAAAAAAAABACAAAAAiAAAAZHJzL2Rvd25yZXYueG1sUEsBAhQAFAAAAAgAh07iQDMv&#10;BZ47AAAAOQAAABAAAAAAAAAAAQAgAAAADQEAAGRycy9zaGFwZXhtbC54bWxQSwUGAAAAAAYABgBb&#10;AQAAtwMAAAAA&#10;">
                  <v:fill on="f" focussize="0,0"/>
                  <v:stroke on="f"/>
                  <v:imagedata o:title=""/>
                  <o:lock v:ext="edit" aspectratio="f"/>
                  <v:textbox inset="0mm,3mm,0mm,0mm">
                    <w:txbxContent>
                      <w:p>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废水处理站</w:t>
                        </w:r>
                      </w:p>
                    </w:txbxContent>
                  </v:textbox>
                </v:rect>
                <v:line id="Line 1360" o:spid="_x0000_s1026" o:spt="20" style="position:absolute;left:866;top:477;height:0;width:427;"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361" o:spid="_x0000_s1026" o:spt="20" style="position:absolute;left:2431;top:477;height:0;width:427;" filled="f" stroked="t" coordsize="21600,21600" o:gfxdata="UEsDBAoAAAAAAIdO4kAAAAAAAAAAAAAAAAAEAAAAZHJzL1BLAwQUAAAACACHTuJA51t0LL8AAADc&#10;AAAADwAAAGRycy9kb3ducmV2LnhtbEWPQWvCQBSE74L/YXmCN92k2B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d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362" o:spid="_x0000_s1026" o:spt="20" style="position:absolute;left:3738;top:513;height:0;width:1113;"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363" o:spid="_x0000_s1026" o:spt="20" style="position:absolute;left:5672;top:504;height:0;width:427;" filled="f" stroked="t" coordsize="21600,21600" o:gfxdata="UEsDBAoAAAAAAIdO4kAAAAAAAAAAAAAAAAAEAAAAZHJzL1BLAwQUAAAACACHTuJAeMVPwL8AAADc&#10;AAAADwAAAGRycy9kb3ducmV2LnhtbEWPQWvCQBSE7wX/w/KE3uomR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T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1364" o:spid="_x0000_s1026" o:spt="1" style="position:absolute;left:3653;top:-93;height:756;width:1198;" filled="f" stroked="f" coordsize="21600,21600" o:gfxdata="UEsDBAoAAAAAAIdO4kAAAAAAAAAAAAAAAAAEAAAAZHJzL1BLAwQUAAAACACHTuJAVJldpL8AAADc&#10;AAAADwAAAGRycy9kb3ducmV2LnhtbEWP3WoCMRSE7wt9h3AKvdNE0WpXo1CpIAgVf6BeHjbH3cXN&#10;yZKkur69EYReDjPzDTOdt7YWF/Khcqyh11UgiHNnKi40HPbLzhhEiMgGa8ek4UYB5rPXlylmxl15&#10;S5ddLESCcMhQQxljk0kZ8pIshq5riJN3ct5iTNIX0ni8JritZV+pD2mx4rRQYkOLkvLz7s9q8Ivv&#10;0A5OfnP8UuvV5/jn/Nv0D1q/v/XUBESkNv6Hn+2V0TAYjuBxJh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ZXaS/&#10;AAAA3AAAAA8AAAAAAAAAAQAgAAAAIgAAAGRycy9kb3ducmV2LnhtbFBLAQIUABQAAAAIAIdO4kAz&#10;LwWeOwAAADkAAAAQAAAAAAAAAAEAIAAAAA4BAABkcnMvc2hhcGV4bWwueG1sUEsFBgAAAAAGAAYA&#10;WwEAALgDAAAAAA==&#10;">
                  <v:fill on="f" focussize="0,0"/>
                  <v:stroke on="f"/>
                  <v:imagedata o:title=""/>
                  <o:lock v:ext="edit" aspectratio="f"/>
                  <v:textbox inset="0mm,3mm,0mm,0mm">
                    <w:txbxContent>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消防或事故废水</w:t>
                        </w:r>
                      </w:p>
                    </w:txbxContent>
                  </v:textbox>
                </v:rect>
                <w10:wrap type="none"/>
                <w10:anchorlock/>
              </v:group>
            </w:pict>
          </mc:Fallback>
        </mc:AlternateConten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若厂区出现事故性废水，应急池启动流程</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消防或事故废水通过事故应急池收集，再泵送至企业污水处理站，经污水站处理达标后排放。</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公司储罐区设置有围堰</w:t>
      </w:r>
      <w:r>
        <w:rPr>
          <w:rFonts w:ascii="Times New Roman" w:hAnsi="Times New Roman" w:cs="Times New Roman" w:eastAsiaTheme="minorEastAsia"/>
          <w:spacing w:val="0"/>
          <w:szCs w:val="24"/>
        </w:rPr>
        <w:t>、</w:t>
      </w:r>
      <w:r>
        <w:rPr>
          <w:rFonts w:hint="eastAsia" w:ascii="Times New Roman" w:hAnsi="Times New Roman" w:cs="Times New Roman" w:eastAsiaTheme="minorEastAsia"/>
          <w:spacing w:val="0"/>
          <w:szCs w:val="24"/>
        </w:rPr>
        <w:t>临时应急池，并安置有应急泵，若发生罐区泄露，先将其引入罐区边的应急池内，并同时开启应急泵可将池内污水送至企业污水处理站，确保罐区事故废水有效收集。</w:t>
      </w:r>
      <w:r>
        <w:rPr>
          <w:rFonts w:ascii="Times New Roman" w:hAnsi="Times New Roman" w:cs="Times New Roman" w:eastAsiaTheme="minorEastAsia"/>
          <w:spacing w:val="0"/>
          <w:szCs w:val="24"/>
        </w:rPr>
        <w:t>企业事故应急池用于消防或事故废水的收集，企业</w:t>
      </w:r>
      <w:r>
        <w:rPr>
          <w:rFonts w:hint="eastAsia" w:ascii="Times New Roman" w:hAnsi="Times New Roman" w:cs="Times New Roman" w:eastAsiaTheme="minorEastAsia"/>
          <w:spacing w:val="0"/>
          <w:szCs w:val="24"/>
        </w:rPr>
        <w:t>已</w:t>
      </w:r>
      <w:r>
        <w:rPr>
          <w:rFonts w:ascii="Times New Roman" w:hAnsi="Times New Roman" w:cs="Times New Roman" w:eastAsiaTheme="minorEastAsia"/>
          <w:spacing w:val="0"/>
          <w:szCs w:val="24"/>
        </w:rPr>
        <w:t>制定相关制度，</w:t>
      </w:r>
      <w:r>
        <w:rPr>
          <w:rFonts w:hint="eastAsia" w:ascii="Times New Roman" w:hAnsi="Times New Roman" w:cs="Times New Roman" w:eastAsiaTheme="minorEastAsia"/>
          <w:spacing w:val="0"/>
          <w:szCs w:val="24"/>
        </w:rPr>
        <w:t>确保</w:t>
      </w:r>
      <w:r>
        <w:rPr>
          <w:rFonts w:ascii="Times New Roman" w:hAnsi="Times New Roman" w:cs="Times New Roman" w:eastAsiaTheme="minorEastAsia"/>
          <w:spacing w:val="0"/>
          <w:szCs w:val="24"/>
        </w:rPr>
        <w:t>事故应急池</w:t>
      </w:r>
      <w:r>
        <w:rPr>
          <w:rFonts w:hint="eastAsia" w:ascii="Times New Roman" w:hAnsi="Times New Roman" w:cs="Times New Roman" w:eastAsiaTheme="minorEastAsia"/>
          <w:spacing w:val="0"/>
          <w:szCs w:val="24"/>
        </w:rPr>
        <w:t>平时处于闲置状态</w:t>
      </w:r>
      <w:r>
        <w:rPr>
          <w:rFonts w:ascii="Times New Roman" w:hAnsi="Times New Roman" w:cs="Times New Roman" w:eastAsiaTheme="minorEastAsia"/>
          <w:spacing w:val="0"/>
          <w:szCs w:val="24"/>
        </w:rPr>
        <w:t>。</w:t>
      </w:r>
    </w:p>
    <w:p>
      <w:pPr>
        <w:pStyle w:val="4"/>
        <w:spacing w:line="480" w:lineRule="exact"/>
        <w:rPr>
          <w:rFonts w:ascii="Times New Roman" w:hAnsi="Times New Roman" w:cs="Times New Roman" w:eastAsiaTheme="minorEastAsia"/>
          <w:spacing w:val="0"/>
          <w:szCs w:val="24"/>
        </w:rPr>
      </w:pPr>
      <w:r>
        <w:rPr>
          <w:rFonts w:hint="eastAsia"/>
          <w:spacing w:val="0"/>
        </w:rPr>
        <w:t>企业现状雨</w:t>
      </w:r>
      <w:r>
        <w:rPr>
          <w:spacing w:val="0"/>
        </w:rPr>
        <w:t>水口、污水口</w:t>
      </w:r>
      <w:r>
        <w:rPr>
          <w:rFonts w:hint="eastAsia"/>
          <w:spacing w:val="0"/>
        </w:rPr>
        <w:t>设有</w:t>
      </w:r>
      <w:r>
        <w:rPr>
          <w:spacing w:val="0"/>
        </w:rPr>
        <w:t>紧</w:t>
      </w:r>
      <w:r>
        <w:rPr>
          <w:rFonts w:hint="eastAsia"/>
          <w:spacing w:val="0"/>
        </w:rPr>
        <w:t>急截</w:t>
      </w:r>
      <w:r>
        <w:rPr>
          <w:spacing w:val="0"/>
        </w:rPr>
        <w:t>断阀</w:t>
      </w:r>
      <w:r>
        <w:rPr>
          <w:rFonts w:hint="eastAsia"/>
          <w:spacing w:val="0"/>
        </w:rPr>
        <w:t>，杜绝</w:t>
      </w:r>
      <w:r>
        <w:rPr>
          <w:spacing w:val="0"/>
        </w:rPr>
        <w:t>厂区内废水事故排放。</w:t>
      </w:r>
    </w:p>
    <w:p>
      <w:pPr>
        <w:pStyle w:val="5"/>
        <w:numPr>
          <w:ilvl w:val="2"/>
          <w:numId w:val="25"/>
        </w:numPr>
        <w:rPr>
          <w:rFonts w:ascii="Times New Roman"/>
        </w:rPr>
      </w:pPr>
      <w:r>
        <w:rPr>
          <w:rFonts w:hint="eastAsia" w:ascii="Times New Roman"/>
          <w:lang w:eastAsia="zh-CN"/>
        </w:rPr>
        <w:t>现状</w:t>
      </w:r>
      <w:r>
        <w:rPr>
          <w:rFonts w:ascii="Times New Roman"/>
        </w:rPr>
        <w:t>环评批复落实情况</w:t>
      </w:r>
    </w:p>
    <w:p>
      <w:pPr>
        <w:pStyle w:val="4"/>
        <w:rPr>
          <w:rFonts w:ascii="Times New Roman" w:hAnsi="Times New Roman" w:cs="Times New Roman"/>
          <w:spacing w:val="0"/>
        </w:rPr>
      </w:pPr>
      <w:r>
        <w:rPr>
          <w:rFonts w:hint="eastAsia" w:ascii="Times New Roman" w:hAnsi="Times New Roman" w:cs="Times New Roman"/>
          <w:spacing w:val="0"/>
        </w:rPr>
        <w:t>企业审批项目较多，且均已通过验收，因此本报告仅分析现状核查备案意见(湖环开备[2016]3号)、最后一次环评批复(湖环开建[2016]3号)、最后一次项目验收意见情况进行分析，具体</w:t>
      </w:r>
      <w:r>
        <w:rPr>
          <w:rFonts w:ascii="Times New Roman" w:hAnsi="Times New Roman" w:cs="Times New Roman"/>
          <w:spacing w:val="0"/>
        </w:rPr>
        <w:t>见表3-</w:t>
      </w:r>
      <w:r>
        <w:rPr>
          <w:rFonts w:hint="eastAsia" w:ascii="Times New Roman" w:hAnsi="Times New Roman" w:cs="Times New Roman"/>
          <w:spacing w:val="0"/>
        </w:rPr>
        <w:t>3</w:t>
      </w:r>
      <w:r>
        <w:rPr>
          <w:rFonts w:ascii="Times New Roman" w:hAnsi="Times New Roman" w:cs="Times New Roman"/>
          <w:spacing w:val="0"/>
        </w:rPr>
        <w:t>8。</w:t>
      </w:r>
    </w:p>
    <w:p>
      <w:pPr>
        <w:pStyle w:val="313"/>
        <w:tabs>
          <w:tab w:val="clear" w:pos="3908"/>
        </w:tabs>
        <w:ind w:left="1122" w:hanging="561"/>
        <w:rPr>
          <w:rFonts w:ascii="Times New Roman" w:hAnsi="Times New Roman"/>
        </w:rPr>
      </w:pPr>
      <w:r>
        <w:rPr>
          <w:rFonts w:ascii="Times New Roman" w:hAnsi="Times New Roman"/>
        </w:rPr>
        <w:t>企业现有环评批复落实情况</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926"/>
        <w:gridCol w:w="3226"/>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eastAsia="宋体"/>
                <w:sz w:val="21"/>
                <w:szCs w:val="21"/>
              </w:rPr>
              <w:t>项目</w:t>
            </w:r>
          </w:p>
        </w:tc>
        <w:tc>
          <w:tcPr>
            <w:tcW w:w="3926" w:type="dxa"/>
            <w:vAlign w:val="center"/>
          </w:tcPr>
          <w:p>
            <w:pPr>
              <w:autoSpaceDE w:val="0"/>
              <w:autoSpaceDN w:val="0"/>
              <w:adjustRightInd w:val="0"/>
              <w:snapToGrid w:val="0"/>
              <w:ind w:firstLine="14" w:firstLineChars="7"/>
              <w:jc w:val="center"/>
              <w:rPr>
                <w:rFonts w:eastAsia="宋体"/>
                <w:sz w:val="21"/>
                <w:szCs w:val="21"/>
              </w:rPr>
            </w:pPr>
            <w:r>
              <w:rPr>
                <w:rFonts w:eastAsia="宋体"/>
                <w:sz w:val="21"/>
                <w:szCs w:val="21"/>
              </w:rPr>
              <w:t>环评及批复要求</w:t>
            </w:r>
          </w:p>
        </w:tc>
        <w:tc>
          <w:tcPr>
            <w:tcW w:w="3226" w:type="dxa"/>
            <w:vAlign w:val="center"/>
          </w:tcPr>
          <w:p>
            <w:pPr>
              <w:autoSpaceDE w:val="0"/>
              <w:autoSpaceDN w:val="0"/>
              <w:adjustRightInd w:val="0"/>
              <w:snapToGrid w:val="0"/>
              <w:ind w:firstLine="14" w:firstLineChars="7"/>
              <w:jc w:val="center"/>
              <w:rPr>
                <w:rFonts w:eastAsia="宋体"/>
                <w:sz w:val="21"/>
                <w:szCs w:val="21"/>
              </w:rPr>
            </w:pPr>
            <w:r>
              <w:rPr>
                <w:rFonts w:eastAsia="宋体"/>
                <w:sz w:val="21"/>
                <w:szCs w:val="21"/>
              </w:rPr>
              <w:t>实际落实情况</w:t>
            </w:r>
          </w:p>
        </w:tc>
        <w:tc>
          <w:tcPr>
            <w:tcW w:w="779" w:type="dxa"/>
            <w:vAlign w:val="center"/>
          </w:tcPr>
          <w:p>
            <w:pPr>
              <w:autoSpaceDE w:val="0"/>
              <w:autoSpaceDN w:val="0"/>
              <w:adjustRightInd w:val="0"/>
              <w:snapToGrid w:val="0"/>
              <w:jc w:val="center"/>
              <w:rPr>
                <w:rFonts w:eastAsia="宋体"/>
                <w:sz w:val="21"/>
                <w:szCs w:val="21"/>
              </w:rPr>
            </w:pPr>
            <w:r>
              <w:rPr>
                <w:rFonts w:hint="eastAsia" w:eastAsia="宋体"/>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67" w:type="dxa"/>
            <w:gridSpan w:val="4"/>
            <w:vAlign w:val="center"/>
          </w:tcPr>
          <w:p>
            <w:pPr>
              <w:adjustRightInd w:val="0"/>
              <w:snapToGrid w:val="0"/>
              <w:jc w:val="center"/>
              <w:rPr>
                <w:rFonts w:eastAsia="宋体"/>
                <w:b/>
                <w:sz w:val="21"/>
                <w:szCs w:val="21"/>
              </w:rPr>
            </w:pPr>
            <w:r>
              <w:rPr>
                <w:rFonts w:hint="eastAsia" w:eastAsia="宋体"/>
                <w:b/>
                <w:sz w:val="21"/>
                <w:szCs w:val="21"/>
              </w:rPr>
              <w:t>现状核查意见：湖环开备2016]3号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按照污染物总量控制要求，企业必须在核定内容下进行生产，不得擅自改变生产内容。</w:t>
            </w:r>
          </w:p>
        </w:tc>
        <w:tc>
          <w:tcPr>
            <w:tcW w:w="3226" w:type="dxa"/>
            <w:vAlign w:val="center"/>
          </w:tcPr>
          <w:p>
            <w:pPr>
              <w:pStyle w:val="466"/>
              <w:autoSpaceDE w:val="0"/>
              <w:autoSpaceDN w:val="0"/>
              <w:adjustRightInd w:val="0"/>
              <w:snapToGrid w:val="0"/>
              <w:ind w:firstLine="0" w:firstLineChars="0"/>
              <w:rPr>
                <w:szCs w:val="21"/>
                <w:lang w:eastAsia="zh-CN"/>
              </w:rPr>
            </w:pPr>
            <w:r>
              <w:rPr>
                <w:rFonts w:hint="eastAsia"/>
                <w:szCs w:val="21"/>
                <w:lang w:eastAsia="zh-CN"/>
              </w:rPr>
              <w:t>企业现状生产未超过原核定排放总量，且现状炼钢生产内容与核查报告一致</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67" w:type="dxa"/>
            <w:gridSpan w:val="4"/>
            <w:vAlign w:val="center"/>
          </w:tcPr>
          <w:p>
            <w:pPr>
              <w:autoSpaceDE w:val="0"/>
              <w:autoSpaceDN w:val="0"/>
              <w:adjustRightInd w:val="0"/>
              <w:snapToGrid w:val="0"/>
              <w:ind w:firstLine="14" w:firstLineChars="7"/>
              <w:jc w:val="center"/>
              <w:rPr>
                <w:rFonts w:eastAsia="宋体"/>
                <w:sz w:val="21"/>
                <w:szCs w:val="21"/>
              </w:rPr>
            </w:pPr>
            <w:r>
              <w:rPr>
                <w:rFonts w:hint="eastAsia" w:eastAsia="宋体"/>
                <w:b/>
                <w:sz w:val="21"/>
                <w:szCs w:val="21"/>
              </w:rPr>
              <w:t>最后一次环评意见：湖环开建2016]3号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废水</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项目必须实施清污分流、雨污分流，生产过程中产生的酸洗工段清洗废水、废气净化循环废水、SCR废水、废酸液经处理后循环使用；废钢堆场初期雨水收集后用于钢渣冷却。其中总铁需达到《酸洗废水排放总铁浓度限值》(DB33/844-2011)中的“特别排放限值，2mg/L”；氨氮需达到《工业企业废水氮、磷污染物间接排放限值》(DB33/887-2013)表1中“其他企业”排放限值；其他污染物纳管水质达到《污水综合排放标准》中的三级标准(</w:t>
            </w:r>
            <w:r>
              <w:rPr>
                <w:rFonts w:eastAsia="宋体"/>
                <w:sz w:val="21"/>
                <w:szCs w:val="21"/>
              </w:rPr>
              <w:t>GB8978-1996</w:t>
            </w:r>
            <w:r>
              <w:rPr>
                <w:rFonts w:hint="eastAsia" w:eastAsia="宋体"/>
                <w:sz w:val="21"/>
                <w:szCs w:val="21"/>
              </w:rPr>
              <w:t>)三级标准后，方可排入市政污水管网，送凤凰污水处理厂集中处理达标后排放，废水总排放口设置需满足标准化排污口的相关要求。</w:t>
            </w:r>
          </w:p>
        </w:tc>
        <w:tc>
          <w:tcPr>
            <w:tcW w:w="3226" w:type="dxa"/>
            <w:vAlign w:val="center"/>
          </w:tcPr>
          <w:p>
            <w:pPr>
              <w:pStyle w:val="466"/>
              <w:autoSpaceDE w:val="0"/>
              <w:autoSpaceDN w:val="0"/>
              <w:adjustRightInd w:val="0"/>
              <w:snapToGrid w:val="0"/>
              <w:ind w:firstLine="0" w:firstLineChars="0"/>
              <w:rPr>
                <w:szCs w:val="21"/>
                <w:lang w:eastAsia="zh-CN"/>
              </w:rPr>
            </w:pPr>
            <w:r>
              <w:rPr>
                <w:rFonts w:hint="eastAsia"/>
                <w:szCs w:val="21"/>
                <w:lang w:eastAsia="zh-CN"/>
              </w:rPr>
              <w:t>厂区内做到</w:t>
            </w:r>
            <w:r>
              <w:rPr>
                <w:rFonts w:hint="eastAsia"/>
                <w:szCs w:val="21"/>
              </w:rPr>
              <w:t>实施清污分流、雨污分流</w:t>
            </w:r>
            <w:r>
              <w:rPr>
                <w:rFonts w:hint="eastAsia"/>
                <w:szCs w:val="21"/>
                <w:lang w:eastAsia="zh-CN"/>
              </w:rPr>
              <w:t>。该项目酸洗工段未实施，其酸洗在精整酸洗车间内实施，酸洗废水接入现有废水处理装置：</w:t>
            </w:r>
            <w:r>
              <w:rPr>
                <w:rFonts w:hint="eastAsia"/>
                <w:szCs w:val="21"/>
              </w:rPr>
              <w:t>收集后经两级还原+两级中和+一级斜板澄清池+pH调节池+二级斜板澄清池+活性氧化铝吸附罐处理后</w:t>
            </w:r>
            <w:r>
              <w:rPr>
                <w:rFonts w:hint="eastAsia"/>
                <w:szCs w:val="21"/>
                <w:lang w:eastAsia="zh-CN"/>
              </w:rPr>
              <w:t>回用。</w:t>
            </w:r>
          </w:p>
          <w:p>
            <w:pPr>
              <w:pStyle w:val="466"/>
              <w:autoSpaceDE w:val="0"/>
              <w:autoSpaceDN w:val="0"/>
              <w:adjustRightInd w:val="0"/>
              <w:snapToGrid w:val="0"/>
              <w:ind w:firstLine="0" w:firstLineChars="0"/>
              <w:rPr>
                <w:szCs w:val="21"/>
                <w:lang w:eastAsia="zh-CN"/>
              </w:rPr>
            </w:pPr>
            <w:r>
              <w:rPr>
                <w:rFonts w:hint="eastAsia"/>
                <w:szCs w:val="21"/>
                <w:lang w:eastAsia="zh-CN"/>
              </w:rPr>
              <w:t>生活污水等废水纳管，根据现状监测结果，企业现状纳管水质可满足相应标准要求</w:t>
            </w:r>
          </w:p>
        </w:tc>
        <w:tc>
          <w:tcPr>
            <w:tcW w:w="779" w:type="dxa"/>
            <w:vAlign w:val="center"/>
          </w:tcPr>
          <w:p>
            <w:pPr>
              <w:autoSpaceDE w:val="0"/>
              <w:autoSpaceDN w:val="0"/>
              <w:adjustRightInd w:val="0"/>
              <w:snapToGrid w:val="0"/>
              <w:ind w:firstLine="14" w:firstLineChars="7"/>
              <w:jc w:val="center"/>
              <w:rPr>
                <w:rFonts w:eastAsia="宋体"/>
                <w:sz w:val="21"/>
                <w:szCs w:val="21"/>
                <w:lang w:val="zh-CN"/>
              </w:rPr>
            </w:pPr>
            <w:r>
              <w:rPr>
                <w:rFonts w:hint="eastAsia" w:eastAsia="宋体"/>
                <w:sz w:val="21"/>
                <w:szCs w:val="21"/>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废气</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项目必须采用清洁能源，认真做好项目生产过程中产生的炉窑废气、酸雾、粉尘等各类废气的污染防治工作，各类废气排放浓度需达到《轧钢工业大气污染物排放标准》(GB28665-2012)相应标准，其中HF无组织排放浓度需达到《大气污染物综合排放标准》(GB16297-1996)二级标准</w:t>
            </w:r>
          </w:p>
        </w:tc>
        <w:tc>
          <w:tcPr>
            <w:tcW w:w="3226" w:type="dxa"/>
            <w:vAlign w:val="center"/>
          </w:tcPr>
          <w:p>
            <w:pPr>
              <w:pStyle w:val="466"/>
              <w:autoSpaceDE w:val="0"/>
              <w:autoSpaceDN w:val="0"/>
              <w:adjustRightInd w:val="0"/>
              <w:snapToGrid w:val="0"/>
              <w:ind w:firstLine="0" w:firstLineChars="0"/>
              <w:rPr>
                <w:szCs w:val="21"/>
                <w:lang w:eastAsia="zh-CN"/>
              </w:rPr>
            </w:pPr>
            <w:r>
              <w:rPr>
                <w:rFonts w:hint="eastAsia"/>
                <w:szCs w:val="21"/>
                <w:lang w:eastAsia="zh-CN"/>
              </w:rPr>
              <w:t>该项目酸洗工段未实施，其酸洗在精整酸洗车间内实施，根据现状监测结果，酸洗废气经处理后能够达到</w:t>
            </w:r>
            <w:r>
              <w:rPr>
                <w:rFonts w:hint="eastAsia"/>
                <w:szCs w:val="21"/>
              </w:rPr>
              <w:t>《轧钢工业大气污染物排放标准》(GB28665-2012)相应标准</w:t>
            </w:r>
            <w:r>
              <w:rPr>
                <w:rFonts w:hint="eastAsia"/>
                <w:szCs w:val="21"/>
                <w:lang w:eastAsia="zh-CN"/>
              </w:rPr>
              <w:t>；</w:t>
            </w:r>
            <w:r>
              <w:rPr>
                <w:rFonts w:hint="eastAsia"/>
                <w:szCs w:val="21"/>
              </w:rPr>
              <w:t>HF无组织</w:t>
            </w:r>
            <w:r>
              <w:rPr>
                <w:rFonts w:ascii="Times New Roman" w:hAnsi="Times New Roman"/>
                <w:szCs w:val="21"/>
              </w:rPr>
              <w:t>排放浓度需达到《大气污染物综合排放标准》(GB16297-1996)二级标准</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噪声</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优化平面布置，合理安排布局。选用低噪声设备，并采取隔音、消音、减震等降噪措施，确保厂界噪声达到《工业企业厂界噪声标准》（G</w:t>
            </w:r>
            <w:r>
              <w:rPr>
                <w:rFonts w:eastAsia="宋体"/>
                <w:sz w:val="21"/>
                <w:szCs w:val="21"/>
              </w:rPr>
              <w:t>B12348-</w:t>
            </w:r>
            <w:r>
              <w:rPr>
                <w:rFonts w:hint="eastAsia" w:eastAsia="宋体"/>
                <w:sz w:val="21"/>
                <w:szCs w:val="21"/>
              </w:rPr>
              <w:t>2008）中的3类标准。</w:t>
            </w:r>
          </w:p>
        </w:tc>
        <w:tc>
          <w:tcPr>
            <w:tcW w:w="3226" w:type="dxa"/>
            <w:vAlign w:val="center"/>
          </w:tcPr>
          <w:p>
            <w:pPr>
              <w:adjustRightInd w:val="0"/>
              <w:snapToGrid w:val="0"/>
              <w:rPr>
                <w:rFonts w:eastAsia="宋体"/>
                <w:sz w:val="21"/>
                <w:szCs w:val="21"/>
              </w:rPr>
            </w:pPr>
            <w:r>
              <w:rPr>
                <w:rFonts w:hint="eastAsia" w:eastAsia="宋体"/>
                <w:sz w:val="21"/>
                <w:szCs w:val="21"/>
              </w:rPr>
              <w:t>①合理布局；</w:t>
            </w:r>
          </w:p>
          <w:p>
            <w:pPr>
              <w:autoSpaceDE w:val="0"/>
              <w:autoSpaceDN w:val="0"/>
              <w:adjustRightInd w:val="0"/>
              <w:snapToGrid w:val="0"/>
              <w:ind w:firstLine="14" w:firstLineChars="7"/>
              <w:rPr>
                <w:rFonts w:eastAsia="宋体"/>
                <w:sz w:val="21"/>
                <w:szCs w:val="21"/>
              </w:rPr>
            </w:pPr>
            <w:r>
              <w:rPr>
                <w:rFonts w:hint="eastAsia" w:eastAsia="宋体"/>
                <w:sz w:val="21"/>
                <w:szCs w:val="21"/>
              </w:rPr>
              <w:t>②对高噪声设备采取减震措施。</w:t>
            </w:r>
          </w:p>
          <w:p>
            <w:pPr>
              <w:autoSpaceDE w:val="0"/>
              <w:autoSpaceDN w:val="0"/>
              <w:adjustRightInd w:val="0"/>
              <w:snapToGrid w:val="0"/>
              <w:ind w:firstLine="14" w:firstLineChars="7"/>
              <w:rPr>
                <w:rFonts w:eastAsia="宋体"/>
                <w:sz w:val="21"/>
                <w:szCs w:val="21"/>
              </w:rPr>
            </w:pPr>
            <w:r>
              <w:rPr>
                <w:rFonts w:hint="eastAsia" w:eastAsia="宋体"/>
                <w:sz w:val="21"/>
                <w:szCs w:val="21"/>
              </w:rPr>
              <w:t>根据现状监测结果，厂界四周能够满足《工业企业厂界噪声标准》（G</w:t>
            </w:r>
            <w:r>
              <w:rPr>
                <w:rFonts w:eastAsia="宋体"/>
                <w:sz w:val="21"/>
                <w:szCs w:val="21"/>
              </w:rPr>
              <w:t>B12348-</w:t>
            </w:r>
            <w:r>
              <w:rPr>
                <w:rFonts w:hint="eastAsia" w:eastAsia="宋体"/>
                <w:sz w:val="21"/>
                <w:szCs w:val="21"/>
              </w:rPr>
              <w:t>2008）中的相应标准</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固废</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固体废弃物按照“资源化、减量化、无害化”处置原则，对危险废物和一般固废进行分类收集、堆放、分质处置，提高资源综合利用率。危险废物</w:t>
            </w:r>
          </w:p>
          <w:p>
            <w:pPr>
              <w:autoSpaceDE w:val="0"/>
              <w:autoSpaceDN w:val="0"/>
              <w:adjustRightInd w:val="0"/>
              <w:snapToGrid w:val="0"/>
              <w:ind w:firstLine="14" w:firstLineChars="7"/>
              <w:rPr>
                <w:rFonts w:eastAsia="宋体"/>
                <w:sz w:val="21"/>
                <w:szCs w:val="21"/>
              </w:rPr>
            </w:pPr>
            <w:r>
              <w:rPr>
                <w:rFonts w:hint="eastAsia" w:eastAsia="宋体"/>
                <w:sz w:val="21"/>
                <w:szCs w:val="21"/>
              </w:rPr>
              <w:t>必须严格按照《危险废物贮存污染控制标准》（G</w:t>
            </w:r>
            <w:r>
              <w:rPr>
                <w:rFonts w:eastAsia="宋体"/>
                <w:sz w:val="21"/>
                <w:szCs w:val="21"/>
              </w:rPr>
              <w:t>B185974-2001</w:t>
            </w:r>
            <w:r>
              <w:rPr>
                <w:rFonts w:hint="eastAsia" w:eastAsia="宋体"/>
                <w:sz w:val="21"/>
                <w:szCs w:val="21"/>
              </w:rPr>
              <w:t>）进行收集、贮存，设置室内储存区，做好防雨、防渗、防漏等工作，设置危险废物识别标志，监理规范的台账记录，委托具有相应危险废物转移报批手续，严格执行转移联单制度，确保处置过程不对环境造成二次污染。</w:t>
            </w:r>
          </w:p>
        </w:tc>
        <w:tc>
          <w:tcPr>
            <w:tcW w:w="3226" w:type="dxa"/>
            <w:vAlign w:val="center"/>
          </w:tcPr>
          <w:p>
            <w:pPr>
              <w:adjustRightInd w:val="0"/>
              <w:snapToGrid w:val="0"/>
              <w:rPr>
                <w:rFonts w:eastAsia="宋体"/>
                <w:sz w:val="21"/>
                <w:szCs w:val="21"/>
              </w:rPr>
            </w:pPr>
            <w:r>
              <w:rPr>
                <w:rFonts w:hint="eastAsia" w:eastAsia="宋体"/>
                <w:sz w:val="21"/>
                <w:szCs w:val="21"/>
              </w:rPr>
              <w:t>对危险废物和一般固废进行分类收集、堆放、分质处置。</w:t>
            </w:r>
          </w:p>
          <w:p>
            <w:pPr>
              <w:adjustRightInd w:val="0"/>
              <w:snapToGrid w:val="0"/>
              <w:rPr>
                <w:rFonts w:eastAsia="宋体"/>
                <w:sz w:val="21"/>
                <w:szCs w:val="21"/>
              </w:rPr>
            </w:pPr>
            <w:r>
              <w:rPr>
                <w:rFonts w:hint="eastAsia" w:eastAsia="宋体"/>
                <w:sz w:val="21"/>
                <w:szCs w:val="21"/>
              </w:rPr>
              <w:t>①危险废物企业已委托有资质单位进行处置；</w:t>
            </w:r>
          </w:p>
          <w:p>
            <w:pPr>
              <w:adjustRightInd w:val="0"/>
              <w:snapToGrid w:val="0"/>
              <w:rPr>
                <w:rFonts w:eastAsia="宋体"/>
                <w:sz w:val="21"/>
                <w:szCs w:val="21"/>
              </w:rPr>
            </w:pPr>
            <w:r>
              <w:rPr>
                <w:rFonts w:hint="eastAsia" w:eastAsia="宋体"/>
                <w:sz w:val="21"/>
                <w:szCs w:val="21"/>
              </w:rPr>
              <w:t>②一般废包装材料收集后外卖</w:t>
            </w:r>
            <w:r>
              <w:rPr>
                <w:rFonts w:eastAsia="宋体"/>
                <w:sz w:val="21"/>
                <w:szCs w:val="21"/>
              </w:rPr>
              <w:t>处置</w:t>
            </w:r>
            <w:r>
              <w:rPr>
                <w:rFonts w:hint="eastAsia" w:eastAsia="宋体"/>
                <w:sz w:val="21"/>
                <w:szCs w:val="21"/>
              </w:rPr>
              <w:t>；</w:t>
            </w:r>
          </w:p>
          <w:p>
            <w:pPr>
              <w:adjustRightInd w:val="0"/>
              <w:snapToGrid w:val="0"/>
              <w:rPr>
                <w:rFonts w:eastAsia="宋体"/>
                <w:sz w:val="21"/>
                <w:szCs w:val="21"/>
              </w:rPr>
            </w:pPr>
            <w:r>
              <w:rPr>
                <w:rFonts w:hint="eastAsia" w:ascii="宋体" w:hAnsi="宋体" w:eastAsia="宋体"/>
                <w:sz w:val="21"/>
                <w:szCs w:val="21"/>
              </w:rPr>
              <w:t>③</w:t>
            </w:r>
            <w:r>
              <w:rPr>
                <w:rFonts w:eastAsia="宋体"/>
                <w:sz w:val="21"/>
                <w:szCs w:val="21"/>
              </w:rPr>
              <w:t>生活垃圾由环卫部门定期回收处理</w:t>
            </w:r>
            <w:r>
              <w:rPr>
                <w:rFonts w:hint="eastAsia" w:eastAsia="宋体"/>
                <w:sz w:val="21"/>
                <w:szCs w:val="21"/>
              </w:rPr>
              <w:t>；</w:t>
            </w:r>
          </w:p>
          <w:p>
            <w:pPr>
              <w:autoSpaceDE w:val="0"/>
              <w:autoSpaceDN w:val="0"/>
              <w:adjustRightInd w:val="0"/>
              <w:snapToGrid w:val="0"/>
              <w:rPr>
                <w:rFonts w:eastAsia="宋体"/>
                <w:sz w:val="21"/>
                <w:szCs w:val="21"/>
              </w:rPr>
            </w:pPr>
            <w:r>
              <w:rPr>
                <w:rFonts w:hint="eastAsia" w:ascii="宋体" w:hAnsi="宋体" w:eastAsia="宋体"/>
                <w:sz w:val="21"/>
                <w:szCs w:val="21"/>
              </w:rPr>
              <w:t>④</w:t>
            </w:r>
            <w:r>
              <w:rPr>
                <w:rFonts w:eastAsia="宋体"/>
                <w:sz w:val="21"/>
                <w:szCs w:val="21"/>
              </w:rPr>
              <w:t>危险废物暂存处满足《危险废物贮存污染控制标准》（GB18597-2001）及修改单要求，一般固废暂存处满足《一般工业固体废物贮存、处置场污染物控制标准》（GB18599-2001）及修改单要求。</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总量</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严格落实污染物排放总量控制徐欧式，各项污染物排放总量须控制在环评明确的指标内</w:t>
            </w:r>
          </w:p>
        </w:tc>
        <w:tc>
          <w:tcPr>
            <w:tcW w:w="32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根据核算，企业现状及达产后污染物排放量均未超过排污许可证允许排放量</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环境风险</w:t>
            </w:r>
          </w:p>
        </w:tc>
        <w:tc>
          <w:tcPr>
            <w:tcW w:w="39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企业须建立健全各项环保规章制度和岗位责任制，配备环保管理人员，加强对原辅材料运输、贮存、使用等全过程的管理；做好生产设备和环保设施的日常检修维护，确保生产设备和环保设施稳定正常运行和污染物的稳定达标排放，杜绝跑冒滴漏现象；建立事故应急体系和应急预案，落实环境风险事故应急防范措施，同时定期开展事故应急处置演习，严防污染事故的发生，确保环境安全</w:t>
            </w:r>
          </w:p>
        </w:tc>
        <w:tc>
          <w:tcPr>
            <w:tcW w:w="32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企业已建立健全各项环保规章制度和岗位责任制，配备环保管理人员，加强了对原辅材料运输、贮存、使用等全过程的管理。做好生产设备和环保设施的日常检修维护。已编制全厂突发环境事故应急预案，建立事故应急体系，落实环境风险事故应急防范措施，同时定期开展事故应急处置演习，严防污染事故的发生，确保环境安全</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767" w:type="dxa"/>
            <w:gridSpan w:val="4"/>
            <w:vAlign w:val="center"/>
          </w:tcPr>
          <w:p>
            <w:pPr>
              <w:adjustRightInd w:val="0"/>
              <w:snapToGrid w:val="0"/>
              <w:jc w:val="center"/>
              <w:rPr>
                <w:rFonts w:eastAsia="宋体"/>
                <w:b/>
                <w:sz w:val="21"/>
                <w:szCs w:val="21"/>
              </w:rPr>
            </w:pPr>
            <w:r>
              <w:rPr>
                <w:rFonts w:hint="eastAsia" w:eastAsia="宋体"/>
                <w:b/>
                <w:sz w:val="21"/>
                <w:szCs w:val="21"/>
              </w:rPr>
              <w:t>最后一次项目验收意见(自主验收)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加强生产管理</w:t>
            </w:r>
          </w:p>
        </w:tc>
        <w:tc>
          <w:tcPr>
            <w:tcW w:w="3926" w:type="dxa"/>
            <w:vAlign w:val="center"/>
          </w:tcPr>
          <w:p>
            <w:pPr>
              <w:adjustRightInd w:val="0"/>
              <w:snapToGrid w:val="0"/>
              <w:rPr>
                <w:rFonts w:eastAsia="宋体"/>
                <w:sz w:val="21"/>
                <w:szCs w:val="21"/>
              </w:rPr>
            </w:pPr>
            <w:r>
              <w:rPr>
                <w:rFonts w:hint="eastAsia" w:eastAsia="宋体"/>
                <w:sz w:val="21"/>
                <w:szCs w:val="21"/>
              </w:rPr>
              <w:t>严格执行所制定的环境保护管理制度的相关规定，加强生产、环保设备的运行管理及维护，减少污染物排放，做到责任到人</w:t>
            </w:r>
          </w:p>
        </w:tc>
        <w:tc>
          <w:tcPr>
            <w:tcW w:w="3226" w:type="dxa"/>
            <w:vAlign w:val="center"/>
          </w:tcPr>
          <w:p>
            <w:pPr>
              <w:adjustRightInd w:val="0"/>
              <w:snapToGrid w:val="0"/>
              <w:rPr>
                <w:rFonts w:eastAsia="宋体"/>
                <w:sz w:val="21"/>
                <w:szCs w:val="21"/>
              </w:rPr>
            </w:pPr>
            <w:r>
              <w:rPr>
                <w:rFonts w:hint="eastAsia" w:eastAsia="宋体"/>
                <w:sz w:val="21"/>
                <w:szCs w:val="21"/>
              </w:rPr>
              <w:t>严格执行所制定的环境保护管理制度的相关规定，加强生产、环保设备的运行管理及维护，做到责任到人</w:t>
            </w:r>
          </w:p>
        </w:tc>
        <w:tc>
          <w:tcPr>
            <w:tcW w:w="779" w:type="dxa"/>
            <w:vAlign w:val="center"/>
          </w:tcPr>
          <w:p>
            <w:pPr>
              <w:adjustRightInd w:val="0"/>
              <w:snapToGrid w:val="0"/>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加强废水污染防治</w:t>
            </w:r>
          </w:p>
        </w:tc>
        <w:tc>
          <w:tcPr>
            <w:tcW w:w="3926" w:type="dxa"/>
            <w:vAlign w:val="center"/>
          </w:tcPr>
          <w:p>
            <w:pPr>
              <w:adjustRightInd w:val="0"/>
              <w:snapToGrid w:val="0"/>
              <w:rPr>
                <w:rFonts w:eastAsia="宋体"/>
                <w:sz w:val="21"/>
                <w:szCs w:val="21"/>
              </w:rPr>
            </w:pPr>
            <w:r>
              <w:rPr>
                <w:rFonts w:hint="eastAsia" w:eastAsia="宋体"/>
                <w:sz w:val="21"/>
                <w:szCs w:val="21"/>
              </w:rPr>
              <w:t>建议企业进一步完善清污分流、雨污分流，生产过程中产生的酸洗工段清洗废水、废气净化循环废水循环回用，提高废酸提取再生装置的回收效率</w:t>
            </w:r>
          </w:p>
        </w:tc>
        <w:tc>
          <w:tcPr>
            <w:tcW w:w="32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进一步完善清污分流、雨污分流；生产过程中产生的酸洗工段清洗废水、废气净化循环废水经</w:t>
            </w:r>
            <w:r>
              <w:rPr>
                <w:rFonts w:eastAsia="宋体"/>
                <w:sz w:val="21"/>
                <w:szCs w:val="21"/>
              </w:rPr>
              <w:t>处理后</w:t>
            </w:r>
            <w:r>
              <w:rPr>
                <w:rFonts w:hint="eastAsia" w:eastAsia="宋体"/>
                <w:sz w:val="21"/>
                <w:szCs w:val="21"/>
              </w:rPr>
              <w:t>循环回用。</w:t>
            </w:r>
            <w:r>
              <w:rPr>
                <w:rFonts w:eastAsia="宋体"/>
                <w:sz w:val="21"/>
                <w:szCs w:val="21"/>
              </w:rPr>
              <w:t>根据现状调查，企业现状</w:t>
            </w:r>
            <w:r>
              <w:rPr>
                <w:rFonts w:hint="eastAsia" w:eastAsia="宋体"/>
                <w:sz w:val="21"/>
                <w:szCs w:val="21"/>
              </w:rPr>
              <w:t>已</w:t>
            </w:r>
            <w:r>
              <w:rPr>
                <w:rFonts w:eastAsia="宋体"/>
                <w:sz w:val="21"/>
                <w:szCs w:val="21"/>
              </w:rPr>
              <w:t>提高了废酸再生装置的回收效率，</w:t>
            </w:r>
            <w:r>
              <w:rPr>
                <w:rFonts w:hint="eastAsia" w:eastAsia="宋体"/>
                <w:sz w:val="21"/>
                <w:szCs w:val="21"/>
              </w:rPr>
              <w:t>氢氟酸回收率</w:t>
            </w:r>
            <w:r>
              <w:rPr>
                <w:rFonts w:eastAsia="宋体"/>
                <w:sz w:val="21"/>
                <w:szCs w:val="21"/>
              </w:rPr>
              <w:t>为</w:t>
            </w:r>
            <w:r>
              <w:rPr>
                <w:rFonts w:hint="eastAsia" w:eastAsia="宋体"/>
                <w:sz w:val="21"/>
                <w:szCs w:val="21"/>
              </w:rPr>
              <w:t>82-85</w:t>
            </w:r>
            <w:r>
              <w:rPr>
                <w:rFonts w:eastAsia="宋体"/>
                <w:sz w:val="21"/>
                <w:szCs w:val="21"/>
              </w:rPr>
              <w:t>%、硝酸回收率为</w:t>
            </w:r>
            <w:r>
              <w:rPr>
                <w:rFonts w:hint="eastAsia" w:eastAsia="宋体"/>
                <w:sz w:val="21"/>
                <w:szCs w:val="21"/>
              </w:rPr>
              <w:t>90-92</w:t>
            </w:r>
            <w:r>
              <w:rPr>
                <w:rFonts w:eastAsia="宋体"/>
                <w:sz w:val="21"/>
                <w:szCs w:val="21"/>
              </w:rPr>
              <w:t>%、硫酸回收率为</w:t>
            </w:r>
            <w:r>
              <w:rPr>
                <w:rFonts w:hint="eastAsia" w:eastAsia="宋体"/>
                <w:sz w:val="21"/>
                <w:szCs w:val="21"/>
              </w:rPr>
              <w:t>90</w:t>
            </w:r>
            <w:r>
              <w:rPr>
                <w:rFonts w:eastAsia="宋体"/>
                <w:sz w:val="21"/>
                <w:szCs w:val="21"/>
              </w:rPr>
              <w:t>%</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加强废气污染防治</w:t>
            </w:r>
          </w:p>
        </w:tc>
        <w:tc>
          <w:tcPr>
            <w:tcW w:w="3926" w:type="dxa"/>
            <w:vAlign w:val="center"/>
          </w:tcPr>
          <w:p>
            <w:pPr>
              <w:adjustRightInd w:val="0"/>
              <w:snapToGrid w:val="0"/>
              <w:rPr>
                <w:rFonts w:eastAsia="宋体"/>
                <w:sz w:val="21"/>
                <w:szCs w:val="21"/>
              </w:rPr>
            </w:pPr>
            <w:r>
              <w:rPr>
                <w:rFonts w:hint="eastAsia" w:eastAsia="宋体"/>
                <w:sz w:val="21"/>
                <w:szCs w:val="21"/>
              </w:rPr>
              <w:t>做好项目生产过程中的产生的炉窑废气、酸雾、粉尘各类废气的污染防治工作，减少无组织排放</w:t>
            </w:r>
          </w:p>
        </w:tc>
        <w:tc>
          <w:tcPr>
            <w:tcW w:w="3226" w:type="dxa"/>
            <w:vAlign w:val="center"/>
          </w:tcPr>
          <w:p>
            <w:pPr>
              <w:adjustRightInd w:val="0"/>
              <w:snapToGrid w:val="0"/>
              <w:rPr>
                <w:rFonts w:eastAsia="宋体"/>
                <w:sz w:val="21"/>
                <w:szCs w:val="21"/>
              </w:rPr>
            </w:pPr>
            <w:r>
              <w:rPr>
                <w:rFonts w:hint="eastAsia" w:eastAsia="宋体"/>
                <w:sz w:val="21"/>
                <w:szCs w:val="21"/>
              </w:rPr>
              <w:t>做好项目生产过程中的产生的炉窑废气、酸雾、粉尘各类废气的污染防治工作，根据现状监测结果，酸洗废气经处理后能够达到《轧钢工业大气污染物排放标准》(GB28665-2012)相应标准，</w:t>
            </w:r>
            <w:r>
              <w:rPr>
                <w:rFonts w:eastAsia="宋体"/>
                <w:sz w:val="21"/>
                <w:szCs w:val="21"/>
              </w:rPr>
              <w:t>厂界能做到达标排放</w:t>
            </w:r>
          </w:p>
        </w:tc>
        <w:tc>
          <w:tcPr>
            <w:tcW w:w="779" w:type="dxa"/>
            <w:vAlign w:val="center"/>
          </w:tcPr>
          <w:p>
            <w:pPr>
              <w:adjustRightInd w:val="0"/>
              <w:snapToGrid w:val="0"/>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加强噪声污染防治</w:t>
            </w:r>
          </w:p>
        </w:tc>
        <w:tc>
          <w:tcPr>
            <w:tcW w:w="3926" w:type="dxa"/>
            <w:vAlign w:val="center"/>
          </w:tcPr>
          <w:p>
            <w:pPr>
              <w:adjustRightInd w:val="0"/>
              <w:snapToGrid w:val="0"/>
              <w:rPr>
                <w:rFonts w:eastAsia="宋体"/>
                <w:sz w:val="21"/>
                <w:szCs w:val="21"/>
              </w:rPr>
            </w:pPr>
            <w:r>
              <w:rPr>
                <w:rFonts w:hint="eastAsia" w:eastAsia="宋体"/>
                <w:sz w:val="21"/>
                <w:szCs w:val="21"/>
              </w:rPr>
              <w:t>合理布局，选择低噪声设备，并采用隔音、消音、减震等降噪措施，确保厂界噪声达标</w:t>
            </w:r>
          </w:p>
        </w:tc>
        <w:tc>
          <w:tcPr>
            <w:tcW w:w="3226" w:type="dxa"/>
            <w:vAlign w:val="center"/>
          </w:tcPr>
          <w:p>
            <w:pPr>
              <w:autoSpaceDE w:val="0"/>
              <w:autoSpaceDN w:val="0"/>
              <w:adjustRightInd w:val="0"/>
              <w:snapToGrid w:val="0"/>
              <w:ind w:firstLine="14" w:firstLineChars="7"/>
              <w:rPr>
                <w:rFonts w:eastAsia="宋体"/>
                <w:sz w:val="21"/>
                <w:szCs w:val="21"/>
              </w:rPr>
            </w:pPr>
            <w:r>
              <w:rPr>
                <w:rFonts w:hint="eastAsia" w:eastAsia="宋体"/>
                <w:sz w:val="21"/>
                <w:szCs w:val="21"/>
              </w:rPr>
              <w:t>合理布局，选择低噪声设备，并采用隔音、消音、减震等降噪措施，确保厂界噪声达标。根据现状监测结果，厂界四周噪声能够满足《工业企业厂界噪声标准》（G</w:t>
            </w:r>
            <w:r>
              <w:rPr>
                <w:rFonts w:eastAsia="宋体"/>
                <w:sz w:val="21"/>
                <w:szCs w:val="21"/>
              </w:rPr>
              <w:t>B12348-</w:t>
            </w:r>
            <w:r>
              <w:rPr>
                <w:rFonts w:hint="eastAsia" w:eastAsia="宋体"/>
                <w:sz w:val="21"/>
                <w:szCs w:val="21"/>
              </w:rPr>
              <w:t>2008）中的相应标准</w:t>
            </w:r>
          </w:p>
        </w:tc>
        <w:tc>
          <w:tcPr>
            <w:tcW w:w="779"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36" w:type="dxa"/>
            <w:vAlign w:val="center"/>
          </w:tcPr>
          <w:p>
            <w:pPr>
              <w:autoSpaceDE w:val="0"/>
              <w:autoSpaceDN w:val="0"/>
              <w:adjustRightInd w:val="0"/>
              <w:snapToGrid w:val="0"/>
              <w:ind w:firstLine="14" w:firstLineChars="7"/>
              <w:jc w:val="center"/>
              <w:rPr>
                <w:rFonts w:eastAsia="宋体"/>
                <w:sz w:val="21"/>
                <w:szCs w:val="21"/>
              </w:rPr>
            </w:pPr>
            <w:r>
              <w:rPr>
                <w:rFonts w:hint="eastAsia" w:eastAsia="宋体"/>
                <w:sz w:val="21"/>
                <w:szCs w:val="21"/>
              </w:rPr>
              <w:t>加强固废污染防治</w:t>
            </w:r>
          </w:p>
        </w:tc>
        <w:tc>
          <w:tcPr>
            <w:tcW w:w="3926" w:type="dxa"/>
            <w:vAlign w:val="center"/>
          </w:tcPr>
          <w:p>
            <w:pPr>
              <w:adjustRightInd w:val="0"/>
              <w:snapToGrid w:val="0"/>
              <w:rPr>
                <w:rFonts w:eastAsia="宋体"/>
                <w:sz w:val="21"/>
                <w:szCs w:val="21"/>
              </w:rPr>
            </w:pPr>
            <w:r>
              <w:rPr>
                <w:rFonts w:hint="eastAsia" w:eastAsia="宋体"/>
                <w:sz w:val="21"/>
                <w:szCs w:val="21"/>
              </w:rPr>
              <w:t>进一步完善危废库建设，对一般固废、危废分类收集、堆放、分质处理，完善环保设施运行台账，完善应急处理设施和措施，进一步完善生产区标示标牌。</w:t>
            </w:r>
          </w:p>
        </w:tc>
        <w:tc>
          <w:tcPr>
            <w:tcW w:w="3226" w:type="dxa"/>
            <w:vAlign w:val="center"/>
          </w:tcPr>
          <w:p>
            <w:pPr>
              <w:adjustRightInd w:val="0"/>
              <w:snapToGrid w:val="0"/>
              <w:rPr>
                <w:rFonts w:eastAsia="宋体"/>
                <w:sz w:val="21"/>
                <w:szCs w:val="21"/>
              </w:rPr>
            </w:pPr>
            <w:r>
              <w:rPr>
                <w:rFonts w:hint="eastAsia" w:eastAsia="宋体"/>
                <w:sz w:val="21"/>
                <w:szCs w:val="21"/>
              </w:rPr>
              <w:t>企业现状按</w:t>
            </w:r>
            <w:r>
              <w:rPr>
                <w:rFonts w:eastAsia="宋体"/>
                <w:sz w:val="21"/>
                <w:szCs w:val="21"/>
              </w:rPr>
              <w:t>规范设置四处</w:t>
            </w:r>
            <w:r>
              <w:rPr>
                <w:rFonts w:hint="eastAsia" w:eastAsia="宋体"/>
                <w:sz w:val="21"/>
                <w:szCs w:val="21"/>
              </w:rPr>
              <w:t>危废暂存库，做到“</w:t>
            </w:r>
            <w:r>
              <w:rPr>
                <w:rFonts w:eastAsia="宋体"/>
                <w:sz w:val="21"/>
                <w:szCs w:val="21"/>
              </w:rPr>
              <w:t>防风防雨防渗漏</w:t>
            </w:r>
            <w:r>
              <w:rPr>
                <w:rFonts w:hint="eastAsia" w:eastAsia="宋体"/>
                <w:sz w:val="21"/>
                <w:szCs w:val="21"/>
              </w:rPr>
              <w:t>”</w:t>
            </w:r>
            <w:r>
              <w:rPr>
                <w:rFonts w:eastAsia="宋体"/>
                <w:sz w:val="21"/>
                <w:szCs w:val="21"/>
              </w:rPr>
              <w:t>；</w:t>
            </w:r>
            <w:r>
              <w:rPr>
                <w:rFonts w:hint="eastAsia" w:eastAsia="宋体"/>
                <w:sz w:val="21"/>
                <w:szCs w:val="21"/>
              </w:rPr>
              <w:t>对一般固废、危废分类收集、堆放、分质处理，环保设施运行台账进行</w:t>
            </w:r>
            <w:r>
              <w:rPr>
                <w:rFonts w:eastAsia="宋体"/>
                <w:sz w:val="21"/>
                <w:szCs w:val="21"/>
              </w:rPr>
              <w:t>完善</w:t>
            </w:r>
            <w:r>
              <w:rPr>
                <w:rFonts w:hint="eastAsia" w:eastAsia="宋体"/>
                <w:sz w:val="21"/>
                <w:szCs w:val="21"/>
              </w:rPr>
              <w:t>，完善了应急处理设施和措施，已完善生产区标示标牌</w:t>
            </w:r>
          </w:p>
        </w:tc>
        <w:tc>
          <w:tcPr>
            <w:tcW w:w="779" w:type="dxa"/>
            <w:vAlign w:val="center"/>
          </w:tcPr>
          <w:p>
            <w:pPr>
              <w:adjustRightInd w:val="0"/>
              <w:snapToGrid w:val="0"/>
              <w:jc w:val="center"/>
              <w:rPr>
                <w:rFonts w:eastAsia="宋体"/>
                <w:sz w:val="21"/>
                <w:szCs w:val="21"/>
              </w:rPr>
            </w:pPr>
            <w:r>
              <w:rPr>
                <w:rFonts w:hint="eastAsia" w:eastAsia="宋体"/>
                <w:sz w:val="21"/>
                <w:szCs w:val="21"/>
              </w:rPr>
              <w:t>已落实</w:t>
            </w:r>
          </w:p>
        </w:tc>
      </w:tr>
    </w:tbl>
    <w:p>
      <w:pPr>
        <w:pStyle w:val="4"/>
        <w:rPr>
          <w:rFonts w:ascii="Times New Roman" w:hAnsi="Times New Roman" w:cs="Times New Roman"/>
          <w:spacing w:val="0"/>
        </w:rPr>
      </w:pPr>
      <w:r>
        <w:rPr>
          <w:rFonts w:ascii="Times New Roman" w:hAnsi="Times New Roman" w:cs="Times New Roman"/>
          <w:spacing w:val="0"/>
        </w:rPr>
        <w:t>由表3-</w:t>
      </w:r>
      <w:r>
        <w:rPr>
          <w:rFonts w:hint="eastAsia" w:ascii="Times New Roman" w:hAnsi="Times New Roman" w:cs="Times New Roman"/>
          <w:spacing w:val="0"/>
        </w:rPr>
        <w:t>3</w:t>
      </w:r>
      <w:r>
        <w:rPr>
          <w:rFonts w:ascii="Times New Roman" w:hAnsi="Times New Roman" w:cs="Times New Roman"/>
          <w:spacing w:val="0"/>
        </w:rPr>
        <w:t>1可知</w:t>
      </w:r>
      <w:r>
        <w:rPr>
          <w:rFonts w:hint="eastAsia" w:ascii="Times New Roman" w:hAnsi="Times New Roman" w:cs="Times New Roman"/>
          <w:spacing w:val="0"/>
        </w:rPr>
        <w:t>，企业现状均</w:t>
      </w:r>
      <w:r>
        <w:rPr>
          <w:rFonts w:ascii="Times New Roman" w:hAnsi="Times New Roman" w:cs="Times New Roman"/>
          <w:spacing w:val="0"/>
        </w:rPr>
        <w:t>已落实原环评及批复的各项措施。</w:t>
      </w:r>
    </w:p>
    <w:p>
      <w:pPr>
        <w:pStyle w:val="3"/>
        <w:rPr>
          <w:rFonts w:ascii="Times New Roman" w:hAnsi="Times New Roman"/>
          <w:lang w:eastAsia="zh-CN"/>
        </w:rPr>
      </w:pPr>
      <w:bookmarkStart w:id="82" w:name="_Toc10637142"/>
      <w:r>
        <w:rPr>
          <w:rFonts w:hint="eastAsia" w:ascii="Times New Roman" w:hAnsi="Times New Roman"/>
          <w:lang w:eastAsia="zh-CN"/>
        </w:rPr>
        <w:t>“以新带老”削减污染源强调查</w:t>
      </w:r>
      <w:bookmarkEnd w:id="82"/>
    </w:p>
    <w:p>
      <w:pPr>
        <w:pStyle w:val="4"/>
        <w:rPr>
          <w:rFonts w:ascii="Times New Roman" w:hAnsi="Times New Roman" w:cs="Times New Roman"/>
          <w:spacing w:val="0"/>
        </w:rPr>
      </w:pPr>
      <w:r>
        <w:rPr>
          <w:rFonts w:hint="eastAsia" w:ascii="Times New Roman" w:hAnsi="Times New Roman" w:cs="Times New Roman"/>
          <w:spacing w:val="0"/>
        </w:rPr>
        <w:t>(</w:t>
      </w:r>
      <w:r>
        <w:rPr>
          <w:rFonts w:ascii="Times New Roman" w:hAnsi="Times New Roman" w:cs="Times New Roman"/>
          <w:spacing w:val="0"/>
        </w:rPr>
        <w:t>1</w:t>
      </w:r>
      <w:r>
        <w:rPr>
          <w:rFonts w:hint="eastAsia" w:ascii="Times New Roman" w:hAnsi="Times New Roman" w:cs="Times New Roman"/>
          <w:spacing w:val="0"/>
        </w:rPr>
        <w:t>)粉尘</w:t>
      </w:r>
    </w:p>
    <w:p>
      <w:pPr>
        <w:pStyle w:val="4"/>
        <w:rPr>
          <w:rFonts w:ascii="Times New Roman" w:hAnsi="Times New Roman" w:cs="Times New Roman"/>
          <w:spacing w:val="0"/>
        </w:rPr>
      </w:pPr>
      <w:r>
        <w:rPr>
          <w:rFonts w:hint="eastAsia" w:ascii="Times New Roman" w:hAnsi="Times New Roman" w:cs="Times New Roman"/>
          <w:spacing w:val="0"/>
        </w:rPr>
        <w:t>根据《关于推进实施钢铁行业超低排放的意见》（环大气 [2019]35号），本项目实施</w:t>
      </w:r>
      <w:r>
        <w:rPr>
          <w:rFonts w:ascii="Times New Roman" w:hAnsi="Times New Roman" w:cs="Times New Roman"/>
          <w:spacing w:val="0"/>
        </w:rPr>
        <w:t>后炼钢一厂</w:t>
      </w:r>
      <w:r>
        <w:rPr>
          <w:rFonts w:hint="eastAsia" w:ascii="Times New Roman" w:hAnsi="Times New Roman" w:cs="Times New Roman"/>
          <w:spacing w:val="0"/>
        </w:rPr>
        <w:t>执行其附件2中钢铁企业超低排放指标限值，颗粒物排放浓度需≤10mg/m</w:t>
      </w:r>
      <w:r>
        <w:rPr>
          <w:rFonts w:hint="eastAsia" w:ascii="Times New Roman" w:hAnsi="Times New Roman" w:cs="Times New Roman"/>
          <w:spacing w:val="0"/>
          <w:vertAlign w:val="superscript"/>
        </w:rPr>
        <w:t>3</w:t>
      </w:r>
      <w:r>
        <w:rPr>
          <w:rFonts w:hint="eastAsia" w:ascii="Times New Roman" w:hAnsi="Times New Roman" w:cs="Times New Roman"/>
          <w:spacing w:val="0"/>
        </w:rPr>
        <w:t>，根据现状</w:t>
      </w:r>
      <w:r>
        <w:rPr>
          <w:rFonts w:ascii="Times New Roman" w:hAnsi="Times New Roman" w:cs="Times New Roman"/>
          <w:spacing w:val="0"/>
        </w:rPr>
        <w:t>监测结果，企业现状炼钢一厂布袋除尘器出口已能达到超低排放限值</w:t>
      </w:r>
      <w:r>
        <w:rPr>
          <w:rFonts w:hint="eastAsia" w:ascii="Times New Roman" w:hAnsi="Times New Roman" w:cs="Times New Roman"/>
          <w:spacing w:val="0"/>
        </w:rPr>
        <w:t>。</w:t>
      </w:r>
    </w:p>
    <w:p>
      <w:pPr>
        <w:pStyle w:val="4"/>
        <w:rPr>
          <w:rFonts w:ascii="Times New Roman" w:hAnsi="Times New Roman" w:cs="Times New Roman" w:eastAsiaTheme="minorEastAsia"/>
          <w:spacing w:val="0"/>
        </w:rPr>
      </w:pPr>
      <w:r>
        <w:rPr>
          <w:rFonts w:ascii="Times New Roman" w:hAnsi="Times New Roman" w:cs="Times New Roman" w:eastAsiaTheme="minorEastAsia"/>
          <w:spacing w:val="0"/>
        </w:rPr>
        <w:t>由于</w:t>
      </w:r>
      <w:r>
        <w:rPr>
          <w:rFonts w:hint="eastAsia" w:ascii="Times New Roman" w:hAnsi="Times New Roman" w:cs="Times New Roman" w:eastAsiaTheme="minorEastAsia"/>
          <w:spacing w:val="0"/>
        </w:rPr>
        <w:t>现有炼钢</w:t>
      </w:r>
      <w:r>
        <w:rPr>
          <w:rFonts w:ascii="Times New Roman" w:hAnsi="Times New Roman" w:cs="Times New Roman" w:eastAsiaTheme="minorEastAsia"/>
          <w:spacing w:val="0"/>
        </w:rPr>
        <w:t>废气、项目废气通过同一根排气筒排放</w:t>
      </w:r>
      <w:r>
        <w:rPr>
          <w:rFonts w:hint="eastAsia" w:ascii="Times New Roman" w:hAnsi="Times New Roman" w:cs="Times New Roman" w:eastAsiaTheme="minorEastAsia"/>
          <w:spacing w:val="0"/>
        </w:rPr>
        <w:t>。项目实施后，LF炉精炼炉废气经炉顶盖收集后进入电炉除尘器主烟道、VD炉废气收集</w:t>
      </w:r>
      <w:r>
        <w:rPr>
          <w:rFonts w:ascii="Times New Roman" w:hAnsi="Times New Roman" w:cs="Times New Roman" w:eastAsiaTheme="minorEastAsia"/>
          <w:spacing w:val="0"/>
        </w:rPr>
        <w:t>后经布袋除尘</w:t>
      </w:r>
      <w:r>
        <w:rPr>
          <w:rFonts w:hint="eastAsia" w:ascii="Times New Roman" w:hAnsi="Times New Roman" w:cs="Times New Roman" w:eastAsiaTheme="minorEastAsia"/>
          <w:spacing w:val="0"/>
        </w:rPr>
        <w:t>+旋风你</w:t>
      </w:r>
      <w:r>
        <w:rPr>
          <w:rFonts w:ascii="Times New Roman" w:hAnsi="Times New Roman" w:cs="Times New Roman" w:eastAsiaTheme="minorEastAsia"/>
          <w:spacing w:val="0"/>
        </w:rPr>
        <w:t>除尘后</w:t>
      </w:r>
      <w:r>
        <w:rPr>
          <w:rFonts w:hint="eastAsia" w:ascii="Times New Roman" w:hAnsi="Times New Roman" w:cs="Times New Roman" w:eastAsiaTheme="minorEastAsia"/>
          <w:spacing w:val="0"/>
        </w:rPr>
        <w:t>直接接入电炉除尘器主烟道、连铸废气经收集后进入连铸布袋除尘器，除尘尾气进入电</w:t>
      </w:r>
      <w:r>
        <w:rPr>
          <w:rFonts w:ascii="Times New Roman" w:hAnsi="Times New Roman" w:cs="Times New Roman" w:eastAsiaTheme="minorEastAsia"/>
          <w:spacing w:val="0"/>
        </w:rPr>
        <w:t>炉除尘器主烟道，经现有</w:t>
      </w:r>
      <w:r>
        <w:rPr>
          <w:rFonts w:ascii="Times New Roman" w:hAnsi="Times New Roman" w:cs="Times New Roman"/>
          <w:kern w:val="0"/>
          <w:szCs w:val="24"/>
        </w:rPr>
        <w:t>换热型离线回转脉冲袋式除尘器</w:t>
      </w:r>
      <w:r>
        <w:rPr>
          <w:rFonts w:hint="eastAsia" w:ascii="Times New Roman" w:hAnsi="Times New Roman" w:cs="Times New Roman"/>
          <w:kern w:val="0"/>
          <w:szCs w:val="24"/>
        </w:rPr>
        <w:t>除尘</w:t>
      </w:r>
      <w:r>
        <w:rPr>
          <w:rFonts w:ascii="Times New Roman" w:hAnsi="Times New Roman" w:cs="Times New Roman" w:eastAsiaTheme="minorEastAsia"/>
          <w:spacing w:val="0"/>
        </w:rPr>
        <w:t>后通</w:t>
      </w:r>
      <w:r>
        <w:rPr>
          <w:rFonts w:hint="eastAsia" w:ascii="Times New Roman" w:hAnsi="Times New Roman" w:cs="Times New Roman" w:eastAsiaTheme="minorEastAsia"/>
          <w:spacing w:val="0"/>
        </w:rPr>
        <w:t>过现有30m高排气筒(DA001)排放。由于</w:t>
      </w:r>
      <w:r>
        <w:rPr>
          <w:rFonts w:ascii="Times New Roman" w:hAnsi="Times New Roman" w:cs="Times New Roman" w:eastAsiaTheme="minorEastAsia"/>
          <w:spacing w:val="0"/>
        </w:rPr>
        <w:t>现状</w:t>
      </w:r>
      <w:r>
        <w:rPr>
          <w:rFonts w:ascii="Times New Roman" w:hAnsi="Times New Roman" w:cs="Times New Roman"/>
          <w:kern w:val="0"/>
          <w:szCs w:val="24"/>
        </w:rPr>
        <w:t>换热型离线回转脉冲袋式除尘器</w:t>
      </w:r>
      <w:r>
        <w:rPr>
          <w:rFonts w:hint="eastAsia" w:ascii="Times New Roman" w:hAnsi="Times New Roman" w:cs="Times New Roman"/>
          <w:kern w:val="0"/>
          <w:szCs w:val="24"/>
        </w:rPr>
        <w:t>的</w:t>
      </w:r>
      <w:r>
        <w:rPr>
          <w:rFonts w:ascii="Times New Roman" w:hAnsi="Times New Roman" w:cs="Times New Roman" w:eastAsiaTheme="minorEastAsia"/>
          <w:spacing w:val="0"/>
        </w:rPr>
        <w:t>布袋</w:t>
      </w:r>
      <w:r>
        <w:rPr>
          <w:rFonts w:hint="eastAsia" w:ascii="Times New Roman" w:hAnsi="Times New Roman" w:cs="Times New Roman" w:eastAsiaTheme="minorEastAsia"/>
          <w:spacing w:val="0"/>
        </w:rPr>
        <w:t>从使用</w:t>
      </w:r>
      <w:r>
        <w:rPr>
          <w:rFonts w:ascii="Times New Roman" w:hAnsi="Times New Roman" w:cs="Times New Roman" w:eastAsiaTheme="minorEastAsia"/>
          <w:spacing w:val="0"/>
        </w:rPr>
        <w:t>至今未进行更换，本</w:t>
      </w:r>
      <w:r>
        <w:rPr>
          <w:rFonts w:hint="eastAsia" w:ascii="Times New Roman" w:hAnsi="Times New Roman" w:cs="Times New Roman" w:eastAsiaTheme="minorEastAsia"/>
          <w:spacing w:val="0"/>
        </w:rPr>
        <w:t>项目</w:t>
      </w:r>
      <w:r>
        <w:rPr>
          <w:rFonts w:ascii="Times New Roman" w:hAnsi="Times New Roman" w:cs="Times New Roman" w:eastAsiaTheme="minorEastAsia"/>
          <w:spacing w:val="0"/>
        </w:rPr>
        <w:t>实施后</w:t>
      </w:r>
      <w:r>
        <w:rPr>
          <w:rFonts w:hint="eastAsia" w:ascii="Times New Roman" w:hAnsi="Times New Roman" w:cs="Times New Roman" w:eastAsiaTheme="minorEastAsia"/>
          <w:spacing w:val="0"/>
        </w:rPr>
        <w:t>拟</w:t>
      </w:r>
      <w:r>
        <w:rPr>
          <w:rFonts w:ascii="Times New Roman" w:hAnsi="Times New Roman" w:cs="Times New Roman" w:eastAsiaTheme="minorEastAsia"/>
          <w:spacing w:val="0"/>
        </w:rPr>
        <w:t>将现有</w:t>
      </w:r>
      <w:r>
        <w:rPr>
          <w:rFonts w:hint="eastAsia" w:ascii="Times New Roman" w:hAnsi="Times New Roman" w:cs="Times New Roman" w:eastAsiaTheme="minorEastAsia"/>
          <w:spacing w:val="0"/>
        </w:rPr>
        <w:t>布袋</w:t>
      </w:r>
      <w:r>
        <w:rPr>
          <w:rFonts w:ascii="Times New Roman" w:hAnsi="Times New Roman" w:cs="Times New Roman" w:eastAsiaTheme="minorEastAsia"/>
          <w:spacing w:val="0"/>
        </w:rPr>
        <w:t>更换</w:t>
      </w:r>
      <w:r>
        <w:rPr>
          <w:rFonts w:hint="eastAsia" w:ascii="Times New Roman" w:hAnsi="Times New Roman" w:cs="Times New Roman" w:eastAsiaTheme="minorEastAsia"/>
          <w:spacing w:val="0"/>
        </w:rPr>
        <w:t>为覆膜滤料布袋</w:t>
      </w:r>
      <w:r>
        <w:rPr>
          <w:rFonts w:ascii="Times New Roman" w:hAnsi="Times New Roman" w:cs="Times New Roman" w:eastAsiaTheme="minorEastAsia"/>
          <w:spacing w:val="0"/>
        </w:rPr>
        <w:t>，以提高除尘效率</w:t>
      </w:r>
      <w:r>
        <w:rPr>
          <w:rFonts w:hint="eastAsia" w:ascii="Times New Roman" w:hAnsi="Times New Roman" w:cs="Times New Roman" w:eastAsiaTheme="minorEastAsia"/>
          <w:spacing w:val="0"/>
        </w:rPr>
        <w:t>（除尘效率</w:t>
      </w:r>
      <w:r>
        <w:rPr>
          <w:rFonts w:ascii="Times New Roman" w:hAnsi="Times New Roman" w:cs="Times New Roman" w:eastAsiaTheme="minorEastAsia"/>
          <w:spacing w:val="0"/>
        </w:rPr>
        <w:t>不低于</w:t>
      </w:r>
      <w:r>
        <w:rPr>
          <w:rFonts w:hint="eastAsia" w:ascii="Times New Roman" w:hAnsi="Times New Roman" w:cs="Times New Roman" w:eastAsiaTheme="minorEastAsia"/>
          <w:spacing w:val="0"/>
        </w:rPr>
        <w:t>99.5</w:t>
      </w:r>
      <w:r>
        <w:rPr>
          <w:rFonts w:ascii="Times New Roman" w:hAnsi="Times New Roman" w:cs="Times New Roman" w:eastAsiaTheme="minorEastAsia"/>
          <w:spacing w:val="0"/>
        </w:rPr>
        <w:t>%</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因此</w:t>
      </w:r>
      <w:r>
        <w:rPr>
          <w:rFonts w:hint="eastAsia" w:ascii="Times New Roman" w:hAnsi="Times New Roman" w:cs="Times New Roman" w:eastAsiaTheme="minorEastAsia"/>
          <w:spacing w:val="0"/>
        </w:rPr>
        <w:t>为清楚的</w:t>
      </w:r>
      <w:r>
        <w:rPr>
          <w:rFonts w:ascii="Times New Roman" w:hAnsi="Times New Roman" w:cs="Times New Roman" w:eastAsiaTheme="minorEastAsia"/>
          <w:spacing w:val="0"/>
        </w:rPr>
        <w:t>表达项目实施前后炼钢一厂</w:t>
      </w:r>
      <w:r>
        <w:rPr>
          <w:rFonts w:hint="eastAsia" w:ascii="Times New Roman" w:hAnsi="Times New Roman" w:cs="Times New Roman" w:eastAsiaTheme="minorEastAsia"/>
          <w:spacing w:val="0"/>
        </w:rPr>
        <w:t>有组织</w:t>
      </w:r>
      <w:r>
        <w:rPr>
          <w:rFonts w:ascii="Times New Roman" w:hAnsi="Times New Roman" w:cs="Times New Roman" w:eastAsiaTheme="minorEastAsia"/>
          <w:spacing w:val="0"/>
        </w:rPr>
        <w:t>颗粒物的排放量</w:t>
      </w:r>
      <w:r>
        <w:rPr>
          <w:rFonts w:hint="eastAsia" w:ascii="Times New Roman" w:hAnsi="Times New Roman" w:cs="Times New Roman" w:eastAsiaTheme="minorEastAsia"/>
          <w:spacing w:val="0"/>
        </w:rPr>
        <w:t>变化</w:t>
      </w:r>
      <w:r>
        <w:rPr>
          <w:rFonts w:ascii="Times New Roman" w:hAnsi="Times New Roman" w:cs="Times New Roman" w:eastAsiaTheme="minorEastAsia"/>
          <w:spacing w:val="0"/>
        </w:rPr>
        <w:t>情况，本报告</w:t>
      </w:r>
      <w:r>
        <w:rPr>
          <w:rFonts w:hint="eastAsia" w:ascii="Times New Roman" w:hAnsi="Times New Roman" w:cs="Times New Roman" w:eastAsiaTheme="minorEastAsia"/>
          <w:spacing w:val="0"/>
        </w:rPr>
        <w:t>将</w:t>
      </w:r>
      <w:r>
        <w:rPr>
          <w:rFonts w:ascii="Times New Roman" w:hAnsi="Times New Roman" w:cs="Times New Roman" w:eastAsiaTheme="minorEastAsia"/>
          <w:spacing w:val="0"/>
        </w:rPr>
        <w:t>现有</w:t>
      </w:r>
      <w:r>
        <w:rPr>
          <w:rFonts w:hint="eastAsia" w:ascii="Times New Roman" w:hAnsi="Times New Roman" w:cs="Times New Roman" w:eastAsiaTheme="minorEastAsia"/>
          <w:spacing w:val="0"/>
        </w:rPr>
        <w:t>炼钢一厂排气筒(DA001)</w:t>
      </w:r>
      <w:r>
        <w:rPr>
          <w:rFonts w:ascii="Times New Roman" w:hAnsi="Times New Roman" w:cs="Times New Roman" w:eastAsiaTheme="minorEastAsia"/>
          <w:spacing w:val="0"/>
        </w:rPr>
        <w:t>排放的颗粒物均以新带老进行削减</w:t>
      </w:r>
      <w:r>
        <w:rPr>
          <w:rFonts w:hint="eastAsia" w:ascii="Times New Roman" w:hAnsi="Times New Roman" w:cs="Times New Roman" w:eastAsiaTheme="minorEastAsia"/>
          <w:spacing w:val="0"/>
        </w:rPr>
        <w:t>，在</w:t>
      </w:r>
      <w:r>
        <w:rPr>
          <w:rFonts w:ascii="Times New Roman" w:hAnsi="Times New Roman" w:cs="Times New Roman" w:eastAsiaTheme="minorEastAsia"/>
          <w:spacing w:val="0"/>
        </w:rPr>
        <w:t>工程分析章节</w:t>
      </w:r>
      <w:r>
        <w:rPr>
          <w:rFonts w:hint="eastAsia" w:ascii="Times New Roman" w:hAnsi="Times New Roman" w:cs="Times New Roman" w:eastAsiaTheme="minorEastAsia"/>
          <w:spacing w:val="0"/>
        </w:rPr>
        <w:t>重新</w:t>
      </w:r>
      <w:r>
        <w:rPr>
          <w:rFonts w:ascii="Times New Roman" w:hAnsi="Times New Roman" w:cs="Times New Roman" w:eastAsiaTheme="minorEastAsia"/>
          <w:spacing w:val="0"/>
        </w:rPr>
        <w:t>核算项目实施后炼钢一厂</w:t>
      </w:r>
      <w:r>
        <w:rPr>
          <w:rFonts w:hint="eastAsia" w:ascii="Times New Roman" w:hAnsi="Times New Roman" w:cs="Times New Roman" w:eastAsiaTheme="minorEastAsia"/>
          <w:spacing w:val="0"/>
        </w:rPr>
        <w:t>DA001排气筒总颗粒物总</w:t>
      </w:r>
      <w:r>
        <w:rPr>
          <w:rFonts w:ascii="Times New Roman" w:hAnsi="Times New Roman" w:cs="Times New Roman" w:eastAsiaTheme="minorEastAsia"/>
          <w:spacing w:val="0"/>
        </w:rPr>
        <w:t>排放量。</w:t>
      </w:r>
      <w:r>
        <w:rPr>
          <w:rFonts w:hint="eastAsia" w:ascii="Times New Roman" w:hAnsi="Times New Roman" w:cs="Times New Roman"/>
          <w:spacing w:val="0"/>
        </w:rPr>
        <w:t>根据表3-22核算，炼钢一厂</w:t>
      </w:r>
      <w:r>
        <w:rPr>
          <w:rFonts w:ascii="Times New Roman" w:hAnsi="Times New Roman" w:cs="Times New Roman"/>
          <w:spacing w:val="0"/>
        </w:rPr>
        <w:t>现状</w:t>
      </w:r>
      <w:r>
        <w:rPr>
          <w:rFonts w:hint="eastAsia" w:ascii="Times New Roman" w:hAnsi="Times New Roman" w:cs="Times New Roman"/>
          <w:spacing w:val="0"/>
        </w:rPr>
        <w:t>达产</w:t>
      </w:r>
      <w:r>
        <w:rPr>
          <w:rFonts w:ascii="Times New Roman" w:hAnsi="Times New Roman" w:cs="Times New Roman"/>
          <w:spacing w:val="0"/>
        </w:rPr>
        <w:t>时</w:t>
      </w:r>
      <w:r>
        <w:rPr>
          <w:rFonts w:hint="eastAsia" w:ascii="Times New Roman" w:hAnsi="Times New Roman" w:cs="Times New Roman"/>
          <w:spacing w:val="0"/>
        </w:rPr>
        <w:t>DA001排气筒</w:t>
      </w:r>
      <w:r>
        <w:rPr>
          <w:rFonts w:ascii="Times New Roman" w:hAnsi="Times New Roman" w:cs="Times New Roman"/>
          <w:spacing w:val="0"/>
        </w:rPr>
        <w:t>有组织</w:t>
      </w:r>
      <w:r>
        <w:rPr>
          <w:rFonts w:hint="eastAsia" w:ascii="Times New Roman" w:hAnsi="Times New Roman" w:cs="Times New Roman"/>
          <w:spacing w:val="0"/>
        </w:rPr>
        <w:t>排放量</w:t>
      </w:r>
      <w:r>
        <w:rPr>
          <w:rFonts w:ascii="Times New Roman" w:hAnsi="Times New Roman" w:cs="Times New Roman"/>
          <w:spacing w:val="0"/>
        </w:rPr>
        <w:t>为</w:t>
      </w:r>
      <w:r>
        <w:rPr>
          <w:rFonts w:hint="eastAsia" w:ascii="Times New Roman" w:hAnsi="Times New Roman" w:cs="Times New Roman"/>
          <w:spacing w:val="0"/>
        </w:rPr>
        <w:t>16.219t/a(排放</w:t>
      </w:r>
      <w:r>
        <w:rPr>
          <w:rFonts w:ascii="Times New Roman" w:hAnsi="Times New Roman" w:cs="Times New Roman"/>
          <w:spacing w:val="0"/>
        </w:rPr>
        <w:t>速率</w:t>
      </w:r>
      <w:r>
        <w:rPr>
          <w:rFonts w:hint="eastAsia" w:ascii="Times New Roman" w:hAnsi="Times New Roman" w:cs="Times New Roman"/>
          <w:spacing w:val="0"/>
        </w:rPr>
        <w:t>2.433kg/h)</w:t>
      </w:r>
      <w:r>
        <w:rPr>
          <w:rFonts w:ascii="Times New Roman" w:hAnsi="Times New Roman" w:cs="Times New Roman"/>
          <w:spacing w:val="0"/>
        </w:rPr>
        <w:t>，</w:t>
      </w:r>
      <w:r>
        <w:rPr>
          <w:rFonts w:hint="eastAsia" w:ascii="Times New Roman" w:hAnsi="Times New Roman" w:cs="Times New Roman"/>
          <w:spacing w:val="0"/>
        </w:rPr>
        <w:t>均以新代老进行削减。</w:t>
      </w:r>
    </w:p>
    <w:p>
      <w:pPr>
        <w:pStyle w:val="4"/>
        <w:rPr>
          <w:rFonts w:ascii="Times New Roman" w:hAnsi="Times New Roman" w:cs="Times New Roman" w:eastAsiaTheme="minorEastAsia"/>
          <w:spacing w:val="0"/>
        </w:rPr>
      </w:pPr>
      <w:r>
        <w:rPr>
          <w:rFonts w:ascii="Times New Roman" w:hAnsi="Times New Roman" w:cs="Times New Roman" w:eastAsiaTheme="minorEastAsia"/>
          <w:spacing w:val="0"/>
        </w:rPr>
        <w:t>由于</w:t>
      </w:r>
      <w:r>
        <w:rPr>
          <w:rFonts w:hint="eastAsia" w:ascii="Times New Roman" w:hAnsi="Times New Roman" w:cs="Times New Roman" w:eastAsiaTheme="minorEastAsia"/>
          <w:spacing w:val="0"/>
        </w:rPr>
        <w:t>技改</w:t>
      </w:r>
      <w:r>
        <w:rPr>
          <w:rFonts w:ascii="Times New Roman" w:hAnsi="Times New Roman" w:cs="Times New Roman" w:eastAsiaTheme="minorEastAsia"/>
          <w:spacing w:val="0"/>
        </w:rPr>
        <w:t>前后修磨工段修磨量及工艺均不变，</w:t>
      </w:r>
      <w:r>
        <w:rPr>
          <w:rFonts w:hint="eastAsia" w:ascii="Times New Roman" w:hAnsi="Times New Roman" w:cs="Times New Roman" w:eastAsiaTheme="minorEastAsia"/>
          <w:spacing w:val="0"/>
        </w:rPr>
        <w:t>因此</w:t>
      </w:r>
      <w:r>
        <w:rPr>
          <w:rFonts w:ascii="Times New Roman" w:hAnsi="Times New Roman" w:cs="Times New Roman" w:eastAsiaTheme="minorEastAsia"/>
          <w:spacing w:val="0"/>
        </w:rPr>
        <w:t>技改后</w:t>
      </w:r>
      <w:r>
        <w:rPr>
          <w:rFonts w:hint="eastAsia" w:ascii="Times New Roman" w:hAnsi="Times New Roman" w:cs="Times New Roman" w:eastAsiaTheme="minorEastAsia"/>
          <w:spacing w:val="0"/>
        </w:rPr>
        <w:t>修磨工段</w:t>
      </w:r>
      <w:r>
        <w:rPr>
          <w:rFonts w:ascii="Times New Roman" w:hAnsi="Times New Roman" w:cs="Times New Roman" w:eastAsiaTheme="minorEastAsia"/>
          <w:spacing w:val="0"/>
        </w:rPr>
        <w:t>颗粒物排放量</w:t>
      </w:r>
      <w:r>
        <w:rPr>
          <w:rFonts w:hint="eastAsia" w:ascii="Times New Roman" w:hAnsi="Times New Roman" w:cs="Times New Roman" w:eastAsiaTheme="minorEastAsia"/>
          <w:spacing w:val="0"/>
        </w:rPr>
        <w:t>不再核算；另外</w:t>
      </w:r>
      <w:r>
        <w:rPr>
          <w:rFonts w:ascii="Times New Roman" w:hAnsi="Times New Roman" w:cs="Times New Roman" w:eastAsiaTheme="minorEastAsia"/>
          <w:spacing w:val="0"/>
        </w:rPr>
        <w:t>，</w:t>
      </w:r>
      <w:r>
        <w:rPr>
          <w:rFonts w:hint="eastAsia" w:ascii="Times New Roman" w:hAnsi="Times New Roman" w:cs="Times New Roman" w:eastAsiaTheme="minorEastAsia"/>
          <w:spacing w:val="0"/>
        </w:rPr>
        <w:t>技改</w:t>
      </w:r>
      <w:r>
        <w:rPr>
          <w:rFonts w:ascii="Times New Roman" w:hAnsi="Times New Roman" w:cs="Times New Roman" w:eastAsiaTheme="minorEastAsia"/>
          <w:spacing w:val="0"/>
        </w:rPr>
        <w:t>项目</w:t>
      </w:r>
      <w:r>
        <w:rPr>
          <w:rFonts w:hint="eastAsia" w:ascii="Times New Roman" w:hAnsi="Times New Roman" w:cs="Times New Roman" w:eastAsiaTheme="minorEastAsia"/>
          <w:spacing w:val="0"/>
        </w:rPr>
        <w:t>为VD炉</w:t>
      </w:r>
      <w:r>
        <w:rPr>
          <w:rFonts w:ascii="Times New Roman" w:hAnsi="Times New Roman" w:cs="Times New Roman" w:eastAsiaTheme="minorEastAsia"/>
          <w:spacing w:val="0"/>
        </w:rPr>
        <w:t>、</w:t>
      </w:r>
      <w:r>
        <w:rPr>
          <w:rFonts w:hint="eastAsia" w:ascii="Times New Roman" w:hAnsi="Times New Roman" w:cs="Times New Roman" w:eastAsiaTheme="minorEastAsia"/>
          <w:spacing w:val="0"/>
        </w:rPr>
        <w:t>LF炉</w:t>
      </w:r>
      <w:r>
        <w:rPr>
          <w:rFonts w:ascii="Times New Roman" w:hAnsi="Times New Roman" w:cs="Times New Roman" w:eastAsiaTheme="minorEastAsia"/>
          <w:spacing w:val="0"/>
        </w:rPr>
        <w:t>的精炼及连铸，不</w:t>
      </w:r>
      <w:r>
        <w:rPr>
          <w:rFonts w:hint="eastAsia" w:ascii="Times New Roman" w:hAnsi="Times New Roman" w:cs="Times New Roman" w:eastAsiaTheme="minorEastAsia"/>
          <w:spacing w:val="0"/>
        </w:rPr>
        <w:t>产生</w:t>
      </w:r>
      <w:r>
        <w:rPr>
          <w:rFonts w:ascii="Times New Roman" w:hAnsi="Times New Roman" w:cs="Times New Roman" w:eastAsiaTheme="minorEastAsia"/>
          <w:spacing w:val="0"/>
        </w:rPr>
        <w:t>二噁英</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氟化物</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铬及其化合物、镍及其化合物，</w:t>
      </w:r>
      <w:r>
        <w:rPr>
          <w:rFonts w:hint="eastAsia" w:ascii="Times New Roman" w:hAnsi="Times New Roman" w:cs="Times New Roman" w:eastAsiaTheme="minorEastAsia"/>
          <w:spacing w:val="0"/>
        </w:rPr>
        <w:t>因此技改后</w:t>
      </w:r>
      <w:r>
        <w:rPr>
          <w:rFonts w:ascii="Times New Roman" w:hAnsi="Times New Roman" w:cs="Times New Roman" w:eastAsiaTheme="minorEastAsia"/>
          <w:spacing w:val="0"/>
        </w:rPr>
        <w:t>噁英</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氟化物</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铬及其化合物、镍及其化合物</w:t>
      </w:r>
      <w:r>
        <w:rPr>
          <w:rFonts w:hint="eastAsia" w:ascii="Times New Roman" w:hAnsi="Times New Roman" w:cs="Times New Roman" w:eastAsiaTheme="minorEastAsia"/>
          <w:spacing w:val="0"/>
        </w:rPr>
        <w:t>的排放量不再重新</w:t>
      </w:r>
      <w:r>
        <w:rPr>
          <w:rFonts w:ascii="Times New Roman" w:hAnsi="Times New Roman" w:cs="Times New Roman" w:eastAsiaTheme="minorEastAsia"/>
          <w:spacing w:val="0"/>
        </w:rPr>
        <w:t>核算。</w:t>
      </w:r>
    </w:p>
    <w:p>
      <w:pPr>
        <w:pStyle w:val="4"/>
        <w:rPr>
          <w:rFonts w:ascii="Times New Roman" w:hAnsi="Times New Roman" w:cs="Times New Roman" w:eastAsiaTheme="minorEastAsia"/>
          <w:spacing w:val="0"/>
          <w:vertAlign w:val="subscript"/>
        </w:rPr>
      </w:pP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2</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NO</w:t>
      </w:r>
      <w:r>
        <w:rPr>
          <w:rFonts w:ascii="Times New Roman" w:hAnsi="Times New Roman" w:cs="Times New Roman" w:eastAsiaTheme="minorEastAsia"/>
          <w:spacing w:val="0"/>
          <w:vertAlign w:val="subscript"/>
        </w:rPr>
        <w:t>X</w:t>
      </w:r>
    </w:p>
    <w:p>
      <w:pPr>
        <w:pStyle w:val="712"/>
        <w:spacing w:line="480" w:lineRule="exact"/>
        <w:rPr>
          <w:rFonts w:ascii="Times New Roman" w:hAnsi="Times New Roman" w:cs="Times New Roman" w:eastAsiaTheme="minorEastAsia"/>
          <w:spacing w:val="0"/>
          <w:szCs w:val="24"/>
          <w:lang w:eastAsia="zh-CN"/>
        </w:rPr>
      </w:pPr>
      <w:r>
        <w:rPr>
          <w:rFonts w:ascii="Times New Roman" w:hAnsi="Times New Roman" w:cs="Times New Roman" w:eastAsiaTheme="minorEastAsia"/>
          <w:spacing w:val="0"/>
          <w:szCs w:val="24"/>
        </w:rPr>
        <w:t>根据调查，企业现状天然气锅炉废气</w:t>
      </w:r>
      <w:r>
        <w:rPr>
          <w:rFonts w:hint="eastAsia" w:ascii="Times New Roman" w:hAnsi="Times New Roman" w:cs="Times New Roman" w:eastAsiaTheme="minorEastAsia"/>
          <w:spacing w:val="0"/>
          <w:szCs w:val="24"/>
          <w:lang w:eastAsia="zh-CN"/>
        </w:rPr>
        <w:t>N</w:t>
      </w:r>
      <w:r>
        <w:rPr>
          <w:rFonts w:ascii="Times New Roman" w:hAnsi="Times New Roman" w:cs="Times New Roman" w:eastAsiaTheme="minorEastAsia"/>
          <w:spacing w:val="0"/>
          <w:szCs w:val="24"/>
          <w:lang w:eastAsia="zh-CN"/>
        </w:rPr>
        <w:t>Ox</w:t>
      </w:r>
      <w:r>
        <w:rPr>
          <w:rFonts w:hint="eastAsia" w:ascii="Times New Roman" w:hAnsi="Times New Roman" w:cs="Times New Roman" w:eastAsiaTheme="minorEastAsia"/>
          <w:spacing w:val="0"/>
          <w:szCs w:val="24"/>
          <w:lang w:eastAsia="zh-CN"/>
        </w:rPr>
        <w:t>排放</w:t>
      </w:r>
      <w:r>
        <w:rPr>
          <w:rFonts w:ascii="Times New Roman" w:hAnsi="Times New Roman" w:cs="Times New Roman" w:eastAsiaTheme="minorEastAsia"/>
          <w:spacing w:val="0"/>
          <w:szCs w:val="24"/>
          <w:lang w:eastAsia="zh-CN"/>
        </w:rPr>
        <w:t>速率为0.41kg/h、达产排放量为</w:t>
      </w:r>
      <w:r>
        <w:rPr>
          <w:rFonts w:hint="eastAsia" w:ascii="Times New Roman" w:hAnsi="Times New Roman" w:cs="Times New Roman" w:eastAsiaTheme="minorEastAsia"/>
          <w:spacing w:val="0"/>
          <w:szCs w:val="24"/>
          <w:lang w:eastAsia="zh-CN"/>
        </w:rPr>
        <w:t>1.</w:t>
      </w:r>
      <w:r>
        <w:rPr>
          <w:rFonts w:ascii="Times New Roman" w:hAnsi="Times New Roman" w:cs="Times New Roman" w:eastAsiaTheme="minorEastAsia"/>
          <w:spacing w:val="0"/>
          <w:szCs w:val="24"/>
          <w:lang w:eastAsia="zh-CN"/>
        </w:rPr>
        <w:t>23</w:t>
      </w:r>
      <w:r>
        <w:rPr>
          <w:rFonts w:hint="eastAsia" w:ascii="Times New Roman" w:hAnsi="Times New Roman" w:cs="Times New Roman" w:eastAsiaTheme="minorEastAsia"/>
          <w:spacing w:val="0"/>
          <w:szCs w:val="24"/>
          <w:lang w:eastAsia="zh-CN"/>
        </w:rPr>
        <w:t>t/a</w:t>
      </w:r>
      <w:r>
        <w:rPr>
          <w:rFonts w:ascii="Times New Roman" w:hAnsi="Times New Roman" w:cs="Times New Roman" w:eastAsiaTheme="minorEastAsia"/>
          <w:spacing w:val="0"/>
          <w:szCs w:val="24"/>
          <w:lang w:eastAsia="zh-CN"/>
        </w:rPr>
        <w:t>，排放浓度为</w:t>
      </w:r>
      <w:r>
        <w:rPr>
          <w:rFonts w:hint="eastAsia" w:ascii="Times New Roman" w:hAnsi="Times New Roman" w:cs="Times New Roman" w:eastAsiaTheme="minorEastAsia"/>
          <w:spacing w:val="0"/>
          <w:szCs w:val="24"/>
          <w:lang w:eastAsia="zh-CN"/>
        </w:rPr>
        <w:t>123</w:t>
      </w:r>
      <w:r>
        <w:rPr>
          <w:rFonts w:ascii="Times New Roman" w:hAnsi="Times New Roman" w:cs="Times New Roman" w:eastAsiaTheme="minorEastAsia"/>
          <w:spacing w:val="0"/>
          <w:szCs w:val="24"/>
          <w:lang w:eastAsia="zh-CN"/>
        </w:rPr>
        <w:t>mg/Nm</w:t>
      </w:r>
      <w:r>
        <w:rPr>
          <w:rFonts w:ascii="Times New Roman" w:hAnsi="Times New Roman" w:cs="Times New Roman" w:eastAsiaTheme="minorEastAsia"/>
          <w:spacing w:val="0"/>
          <w:szCs w:val="24"/>
          <w:vertAlign w:val="superscript"/>
          <w:lang w:eastAsia="zh-CN"/>
        </w:rPr>
        <w:t>3</w:t>
      </w:r>
      <w:r>
        <w:rPr>
          <w:rFonts w:hint="eastAsia" w:ascii="Times New Roman" w:hAnsi="Times New Roman" w:cs="Times New Roman" w:eastAsiaTheme="minorEastAsia"/>
          <w:spacing w:val="0"/>
          <w:szCs w:val="24"/>
          <w:lang w:eastAsia="zh-CN"/>
        </w:rPr>
        <w:t>，</w:t>
      </w:r>
      <w:r>
        <w:rPr>
          <w:rFonts w:ascii="Times New Roman" w:hAnsi="Times New Roman" w:cs="Times New Roman" w:eastAsiaTheme="minorEastAsia"/>
          <w:spacing w:val="0"/>
          <w:szCs w:val="24"/>
        </w:rPr>
        <w:t>能够达到《锅炉大气污染物排放标准》(GB13271-2014)中燃气锅炉的大气污染物特别排放限值，但未达到</w:t>
      </w:r>
      <w:r>
        <w:rPr>
          <w:rFonts w:hint="eastAsia" w:ascii="Times New Roman" w:hAnsi="Times New Roman" w:cs="Times New Roman" w:eastAsiaTheme="minorEastAsia"/>
          <w:spacing w:val="0"/>
          <w:szCs w:val="24"/>
        </w:rPr>
        <w:t>湖政办发明</w:t>
      </w:r>
      <w:r>
        <w:rPr>
          <w:rFonts w:ascii="Times New Roman" w:hAnsi="Times New Roman" w:cs="Times New Roman" w:eastAsiaTheme="minorEastAsia"/>
          <w:spacing w:val="0"/>
          <w:szCs w:val="24"/>
        </w:rPr>
        <w:t>电[2018]162文中NOx排放浓度不高于50mg/m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的要求，</w:t>
      </w:r>
      <w:r>
        <w:rPr>
          <w:rFonts w:hint="eastAsia" w:ascii="Times New Roman" w:hAnsi="Times New Roman" w:cs="Times New Roman" w:eastAsiaTheme="minorEastAsia"/>
          <w:spacing w:val="0"/>
          <w:szCs w:val="24"/>
        </w:rPr>
        <w:t>需要</w:t>
      </w:r>
      <w:r>
        <w:rPr>
          <w:rFonts w:hint="eastAsia" w:ascii="Times New Roman" w:hAnsi="Times New Roman" w:cs="Times New Roman" w:eastAsiaTheme="minorEastAsia"/>
          <w:spacing w:val="0"/>
          <w:szCs w:val="24"/>
          <w:lang w:eastAsia="zh-CN"/>
        </w:rPr>
        <w:t>在2019年12月</w:t>
      </w:r>
      <w:r>
        <w:rPr>
          <w:rFonts w:ascii="Times New Roman" w:hAnsi="Times New Roman" w:cs="Times New Roman" w:eastAsiaTheme="minorEastAsia"/>
          <w:spacing w:val="0"/>
          <w:szCs w:val="24"/>
          <w:lang w:eastAsia="zh-CN"/>
        </w:rPr>
        <w:t>底</w:t>
      </w:r>
      <w:r>
        <w:rPr>
          <w:rFonts w:hint="eastAsia" w:ascii="Times New Roman" w:hAnsi="Times New Roman" w:cs="Times New Roman" w:eastAsiaTheme="minorEastAsia"/>
          <w:spacing w:val="0"/>
          <w:szCs w:val="24"/>
          <w:lang w:eastAsia="zh-CN"/>
        </w:rPr>
        <w:t>完成</w:t>
      </w:r>
      <w:r>
        <w:rPr>
          <w:rFonts w:ascii="Times New Roman" w:hAnsi="Times New Roman" w:cs="Times New Roman" w:eastAsiaTheme="minorEastAsia"/>
          <w:spacing w:val="0"/>
          <w:szCs w:val="24"/>
        </w:rPr>
        <w:t>低氮燃烧技术改造</w:t>
      </w:r>
      <w:r>
        <w:rPr>
          <w:rFonts w:ascii="Times New Roman" w:hAnsi="Times New Roman" w:cs="Times New Roman" w:eastAsiaTheme="minorEastAsia"/>
          <w:spacing w:val="0"/>
          <w:szCs w:val="24"/>
          <w:lang w:eastAsia="zh-CN"/>
        </w:rPr>
        <w:t>。</w:t>
      </w:r>
    </w:p>
    <w:p>
      <w:pPr>
        <w:pStyle w:val="4"/>
        <w:spacing w:line="480" w:lineRule="exact"/>
        <w:rPr>
          <w:rFonts w:ascii="Times New Roman" w:hAnsi="Times New Roman" w:cs="Times New Roman" w:eastAsiaTheme="minorEastAsia"/>
          <w:spacing w:val="0"/>
          <w:kern w:val="0"/>
          <w:szCs w:val="24"/>
        </w:rPr>
      </w:pPr>
      <w:r>
        <w:rPr>
          <w:rFonts w:ascii="Times New Roman" w:hAnsi="Times New Roman" w:cs="Times New Roman" w:eastAsiaTheme="minorEastAsia"/>
          <w:spacing w:val="0"/>
          <w:szCs w:val="24"/>
        </w:rPr>
        <w:t>现有锅炉大小为3t/h，项目锅炉所用的天然气来于外购，根据企业提供的蒸汽锅炉参数，满负荷运行下天然气消耗量约为210Nm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/h，企业日常平均负荷为75%，则日常天然气消耗量为157.5Nm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/h，锅炉年运行时间为2400h计。根据《第一次全国污染源普查工业污染源产排污系数手册（2010年修订）》（下册）</w:t>
      </w:r>
      <w:r>
        <w:rPr>
          <w:rFonts w:cs="Times New Roman" w:asciiTheme="minorEastAsia" w:hAnsiTheme="minorEastAsia" w:eastAsiaTheme="minorEastAsia"/>
          <w:spacing w:val="0"/>
          <w:szCs w:val="24"/>
        </w:rPr>
        <w:t>“</w:t>
      </w:r>
      <w:r>
        <w:rPr>
          <w:rFonts w:ascii="Times New Roman" w:hAnsi="Times New Roman" w:cs="Times New Roman" w:eastAsiaTheme="minorEastAsia"/>
          <w:spacing w:val="0"/>
          <w:szCs w:val="24"/>
        </w:rPr>
        <w:t>4430</w:t>
      </w:r>
      <w:r>
        <w:rPr>
          <w:rFonts w:cs="Times New Roman" w:asciiTheme="minorEastAsia" w:hAnsiTheme="minorEastAsia" w:eastAsiaTheme="minorEastAsia"/>
          <w:spacing w:val="0"/>
          <w:szCs w:val="24"/>
        </w:rPr>
        <w:t>工业热力生产和供应行业（包括工业锅炉）”，</w:t>
      </w:r>
      <w:r>
        <w:rPr>
          <w:rFonts w:ascii="Times New Roman" w:hAnsi="Times New Roman" w:cs="Times New Roman" w:eastAsiaTheme="minorEastAsia"/>
          <w:spacing w:val="0"/>
          <w:szCs w:val="24"/>
        </w:rPr>
        <w:t>锅炉废气产生量为136259.17</w:t>
      </w:r>
      <w:r>
        <w:rPr>
          <w:rFonts w:ascii="Times New Roman" w:hAnsi="Times New Roman" w:cs="Times New Roman" w:eastAsiaTheme="minorEastAsia"/>
          <w:spacing w:val="0"/>
          <w:kern w:val="0"/>
          <w:szCs w:val="24"/>
        </w:rPr>
        <w:t>标立方米/万立方米-原料、低氮燃烧器出口NOx浓度以50mg/m</w:t>
      </w:r>
      <w:r>
        <w:rPr>
          <w:rFonts w:ascii="Times New Roman" w:hAnsi="Times New Roman" w:cs="Times New Roman" w:eastAsiaTheme="minorEastAsia"/>
          <w:spacing w:val="0"/>
          <w:kern w:val="0"/>
          <w:szCs w:val="24"/>
          <w:vertAlign w:val="superscript"/>
        </w:rPr>
        <w:t>3</w:t>
      </w:r>
      <w:r>
        <w:rPr>
          <w:rFonts w:ascii="Times New Roman" w:hAnsi="Times New Roman" w:cs="Times New Roman" w:eastAsiaTheme="minorEastAsia"/>
          <w:spacing w:val="0"/>
          <w:kern w:val="0"/>
          <w:szCs w:val="24"/>
        </w:rPr>
        <w:t>计，则企业锅炉废气量为515万m</w:t>
      </w:r>
      <w:r>
        <w:rPr>
          <w:rFonts w:ascii="Times New Roman" w:hAnsi="Times New Roman" w:cs="Times New Roman" w:eastAsiaTheme="minorEastAsia"/>
          <w:spacing w:val="0"/>
          <w:kern w:val="0"/>
          <w:szCs w:val="24"/>
          <w:vertAlign w:val="superscript"/>
        </w:rPr>
        <w:t>3</w:t>
      </w:r>
      <w:r>
        <w:rPr>
          <w:rFonts w:ascii="Times New Roman" w:hAnsi="Times New Roman" w:cs="Times New Roman" w:eastAsiaTheme="minorEastAsia"/>
          <w:spacing w:val="0"/>
          <w:kern w:val="0"/>
          <w:szCs w:val="24"/>
        </w:rPr>
        <w:t>/a，NOx排放量为0.26t/a、</w:t>
      </w:r>
      <w:r>
        <w:rPr>
          <w:rFonts w:hint="eastAsia" w:ascii="Times New Roman" w:hAnsi="Times New Roman" w:cs="Times New Roman" w:eastAsiaTheme="minorEastAsia"/>
          <w:spacing w:val="0"/>
          <w:kern w:val="0"/>
          <w:szCs w:val="24"/>
        </w:rPr>
        <w:t>满负荷</w:t>
      </w:r>
      <w:r>
        <w:rPr>
          <w:rFonts w:ascii="Times New Roman" w:hAnsi="Times New Roman" w:cs="Times New Roman" w:eastAsiaTheme="minorEastAsia"/>
          <w:spacing w:val="0"/>
          <w:kern w:val="0"/>
          <w:szCs w:val="24"/>
        </w:rPr>
        <w:t>下最大排放速率为0.105kg/h。</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kern w:val="0"/>
          <w:szCs w:val="24"/>
        </w:rPr>
        <w:t>综上所述</w:t>
      </w:r>
      <w:r>
        <w:rPr>
          <w:rFonts w:ascii="Times New Roman" w:hAnsi="Times New Roman" w:cs="Times New Roman" w:eastAsiaTheme="minorEastAsia"/>
          <w:spacing w:val="0"/>
          <w:kern w:val="0"/>
          <w:szCs w:val="24"/>
        </w:rPr>
        <w:t>，</w:t>
      </w:r>
      <w:r>
        <w:rPr>
          <w:rFonts w:hint="eastAsia" w:ascii="Times New Roman" w:hAnsi="Times New Roman" w:cs="Times New Roman" w:eastAsiaTheme="minorEastAsia"/>
          <w:spacing w:val="0"/>
          <w:kern w:val="0"/>
          <w:szCs w:val="24"/>
        </w:rPr>
        <w:t>锅炉</w:t>
      </w:r>
      <w:r>
        <w:rPr>
          <w:rFonts w:ascii="Times New Roman" w:hAnsi="Times New Roman" w:cs="Times New Roman" w:eastAsiaTheme="minorEastAsia"/>
          <w:spacing w:val="0"/>
          <w:kern w:val="0"/>
          <w:szCs w:val="24"/>
        </w:rPr>
        <w:t>进行低氮燃烧改造后</w:t>
      </w:r>
      <w:r>
        <w:rPr>
          <w:rFonts w:hint="eastAsia" w:ascii="Times New Roman" w:hAnsi="Times New Roman" w:cs="Times New Roman" w:eastAsiaTheme="minorEastAsia"/>
          <w:spacing w:val="0"/>
          <w:kern w:val="0"/>
          <w:szCs w:val="24"/>
        </w:rPr>
        <w:t>企业NO</w:t>
      </w:r>
      <w:r>
        <w:rPr>
          <w:rFonts w:ascii="Times New Roman" w:hAnsi="Times New Roman" w:cs="Times New Roman" w:eastAsiaTheme="minorEastAsia"/>
          <w:spacing w:val="0"/>
          <w:kern w:val="0"/>
          <w:szCs w:val="24"/>
        </w:rPr>
        <w:t>x削减</w:t>
      </w:r>
      <w:r>
        <w:rPr>
          <w:rFonts w:hint="eastAsia" w:ascii="Times New Roman" w:hAnsi="Times New Roman" w:cs="Times New Roman" w:eastAsiaTheme="minorEastAsia"/>
          <w:spacing w:val="0"/>
          <w:kern w:val="0"/>
          <w:szCs w:val="24"/>
        </w:rPr>
        <w:t>量为</w:t>
      </w:r>
      <w:r>
        <w:rPr>
          <w:rFonts w:ascii="Times New Roman" w:hAnsi="Times New Roman" w:cs="Times New Roman" w:eastAsiaTheme="minorEastAsia"/>
          <w:spacing w:val="0"/>
          <w:kern w:val="0"/>
          <w:szCs w:val="24"/>
        </w:rPr>
        <w:t>0.97</w:t>
      </w:r>
      <w:r>
        <w:rPr>
          <w:rFonts w:hint="eastAsia" w:ascii="Times New Roman" w:hAnsi="Times New Roman" w:cs="Times New Roman" w:eastAsiaTheme="minorEastAsia"/>
          <w:spacing w:val="0"/>
          <w:kern w:val="0"/>
          <w:szCs w:val="24"/>
        </w:rPr>
        <w:t>t/a(1.23-0.26)，</w:t>
      </w:r>
      <w:r>
        <w:rPr>
          <w:rFonts w:ascii="Times New Roman" w:hAnsi="Times New Roman" w:cs="Times New Roman" w:eastAsiaTheme="minorEastAsia"/>
          <w:spacing w:val="0"/>
          <w:kern w:val="0"/>
          <w:szCs w:val="24"/>
        </w:rPr>
        <w:t>排放速率削减</w:t>
      </w:r>
      <w:r>
        <w:rPr>
          <w:rFonts w:hint="eastAsia" w:ascii="Times New Roman" w:hAnsi="Times New Roman" w:cs="Times New Roman" w:eastAsiaTheme="minorEastAsia"/>
          <w:spacing w:val="0"/>
          <w:kern w:val="0"/>
          <w:szCs w:val="24"/>
        </w:rPr>
        <w:t>0.30</w:t>
      </w:r>
      <w:r>
        <w:rPr>
          <w:rFonts w:ascii="Times New Roman" w:hAnsi="Times New Roman" w:cs="Times New Roman" w:eastAsiaTheme="minorEastAsia"/>
          <w:spacing w:val="0"/>
          <w:kern w:val="0"/>
          <w:szCs w:val="24"/>
        </w:rPr>
        <w:t>5kg/h</w:t>
      </w:r>
      <w:r>
        <w:rPr>
          <w:rFonts w:hint="eastAsia" w:ascii="Times New Roman" w:hAnsi="Times New Roman" w:cs="Times New Roman" w:eastAsiaTheme="minorEastAsia"/>
          <w:spacing w:val="0"/>
          <w:kern w:val="0"/>
          <w:szCs w:val="24"/>
        </w:rPr>
        <w:t>(</w:t>
      </w:r>
      <w:r>
        <w:rPr>
          <w:rFonts w:ascii="Times New Roman" w:hAnsi="Times New Roman" w:cs="Times New Roman" w:eastAsiaTheme="minorEastAsia"/>
          <w:spacing w:val="0"/>
          <w:kern w:val="0"/>
          <w:szCs w:val="24"/>
        </w:rPr>
        <w:t>0.41-0.105</w:t>
      </w:r>
      <w:r>
        <w:rPr>
          <w:rFonts w:hint="eastAsia" w:ascii="Times New Roman" w:hAnsi="Times New Roman" w:cs="Times New Roman" w:eastAsiaTheme="minorEastAsia"/>
          <w:spacing w:val="0"/>
          <w:kern w:val="0"/>
          <w:szCs w:val="24"/>
        </w:rPr>
        <w:t>)。</w:t>
      </w:r>
    </w:p>
    <w:p>
      <w:pPr>
        <w:pStyle w:val="3"/>
        <w:numPr>
          <w:ilvl w:val="1"/>
          <w:numId w:val="24"/>
        </w:numPr>
        <w:rPr>
          <w:rFonts w:ascii="Times New Roman" w:hAnsi="Times New Roman"/>
        </w:rPr>
      </w:pPr>
      <w:bookmarkStart w:id="83" w:name="_Toc10637143"/>
      <w:r>
        <w:rPr>
          <w:rFonts w:ascii="Times New Roman" w:hAnsi="Times New Roman"/>
        </w:rPr>
        <w:t>现有企业存在的主要环境问题</w:t>
      </w:r>
      <w:r>
        <w:rPr>
          <w:rFonts w:hint="eastAsia" w:ascii="Times New Roman" w:hAnsi="Times New Roman"/>
          <w:lang w:eastAsia="zh-CN"/>
        </w:rPr>
        <w:t>和</w:t>
      </w:r>
      <w:r>
        <w:rPr>
          <w:rFonts w:ascii="Times New Roman" w:hAnsi="Times New Roman"/>
        </w:rPr>
        <w:t>整改措施</w:t>
      </w:r>
      <w:bookmarkEnd w:id="83"/>
    </w:p>
    <w:p>
      <w:pPr>
        <w:pStyle w:val="712"/>
        <w:spacing w:line="480" w:lineRule="exact"/>
        <w:ind w:firstLine="486"/>
        <w:rPr>
          <w:rFonts w:ascii="Times New Roman" w:hAnsi="Times New Roman" w:cs="Times New Roman"/>
          <w:spacing w:val="0"/>
          <w:szCs w:val="24"/>
          <w:lang w:eastAsia="zh-CN"/>
        </w:rPr>
      </w:pPr>
      <w:r>
        <w:rPr>
          <w:rFonts w:hint="eastAsia" w:ascii="Times New Roman" w:hAnsi="Times New Roman" w:cs="Times New Roman"/>
          <w:spacing w:val="0"/>
          <w:szCs w:val="24"/>
          <w:lang w:eastAsia="zh-CN"/>
        </w:rPr>
        <w:t>综上所述，企业已落实各项污染防治措施，各项污染物做到稳定达标排放，</w:t>
      </w:r>
      <w:r>
        <w:rPr>
          <w:rFonts w:ascii="Times New Roman" w:hAnsi="Times New Roman" w:cs="Times New Roman"/>
          <w:spacing w:val="0"/>
          <w:szCs w:val="24"/>
          <w:lang w:eastAsia="zh-CN"/>
        </w:rPr>
        <w:t>但也存在一些问题：</w:t>
      </w:r>
    </w:p>
    <w:p>
      <w:pPr>
        <w:pStyle w:val="712"/>
        <w:spacing w:line="480" w:lineRule="exact"/>
        <w:ind w:firstLine="486"/>
        <w:rPr>
          <w:rFonts w:ascii="Times New Roman" w:hAnsi="Times New Roman" w:cs="Times New Roman"/>
          <w:spacing w:val="0"/>
          <w:szCs w:val="24"/>
          <w:lang w:eastAsia="zh-CN"/>
        </w:rPr>
      </w:pPr>
      <w:r>
        <w:rPr>
          <w:rFonts w:ascii="Times New Roman" w:hAnsi="Times New Roman" w:cs="Times New Roman"/>
          <w:spacing w:val="0"/>
          <w:szCs w:val="24"/>
          <w:lang w:eastAsia="zh-CN"/>
        </w:rPr>
        <w:t>1</w:t>
      </w:r>
      <w:r>
        <w:rPr>
          <w:rFonts w:hint="eastAsia" w:ascii="Times New Roman" w:hAnsi="Times New Roman" w:cs="Times New Roman"/>
          <w:spacing w:val="0"/>
          <w:szCs w:val="24"/>
          <w:lang w:eastAsia="zh-CN"/>
        </w:rPr>
        <w:t>、</w:t>
      </w:r>
      <w:r>
        <w:rPr>
          <w:rFonts w:ascii="Times New Roman" w:hAnsi="Times New Roman" w:cs="Times New Roman"/>
          <w:spacing w:val="0"/>
          <w:szCs w:val="24"/>
          <w:lang w:eastAsia="zh-CN"/>
        </w:rPr>
        <w:t>企业现状炼钢一厂、炼钢二厂</w:t>
      </w:r>
      <w:r>
        <w:rPr>
          <w:rFonts w:hint="eastAsia" w:ascii="Times New Roman" w:hAnsi="Times New Roman" w:cs="Times New Roman"/>
          <w:spacing w:val="0"/>
          <w:szCs w:val="24"/>
          <w:lang w:eastAsia="zh-CN"/>
        </w:rPr>
        <w:t>电炉</w:t>
      </w:r>
      <w:r>
        <w:rPr>
          <w:rFonts w:ascii="Times New Roman" w:hAnsi="Times New Roman" w:cs="Times New Roman"/>
          <w:spacing w:val="0"/>
          <w:szCs w:val="24"/>
          <w:lang w:eastAsia="zh-CN"/>
        </w:rPr>
        <w:t>废气排放口已设置了在线监测设施，但尚未与环保局联网，企业应及时环保局联网</w:t>
      </w:r>
      <w:r>
        <w:rPr>
          <w:rFonts w:hint="eastAsia" w:ascii="Times New Roman" w:hAnsi="Times New Roman" w:cs="Times New Roman"/>
          <w:spacing w:val="0"/>
          <w:szCs w:val="24"/>
          <w:lang w:eastAsia="zh-CN"/>
        </w:rPr>
        <w:t>。</w:t>
      </w:r>
    </w:p>
    <w:p>
      <w:pPr>
        <w:pStyle w:val="712"/>
        <w:spacing w:line="480" w:lineRule="exact"/>
        <w:ind w:firstLine="486"/>
        <w:rPr>
          <w:rFonts w:ascii="Times New Roman" w:hAnsi="Times New Roman" w:cs="Times New Roman" w:eastAsiaTheme="minorEastAsia"/>
          <w:spacing w:val="0"/>
          <w:szCs w:val="24"/>
          <w:lang w:eastAsia="zh-CN"/>
        </w:rPr>
      </w:pPr>
      <w:r>
        <w:rPr>
          <w:rFonts w:ascii="Times New Roman" w:hAnsi="Times New Roman" w:cs="Times New Roman"/>
          <w:spacing w:val="0"/>
          <w:szCs w:val="24"/>
          <w:lang w:eastAsia="zh-CN"/>
        </w:rPr>
        <w:t>2</w:t>
      </w:r>
      <w:r>
        <w:rPr>
          <w:rFonts w:hint="eastAsia" w:ascii="Times New Roman" w:hAnsi="Times New Roman" w:cs="Times New Roman"/>
          <w:spacing w:val="0"/>
          <w:szCs w:val="24"/>
          <w:lang w:eastAsia="zh-CN"/>
        </w:rPr>
        <w:t>、</w:t>
      </w:r>
      <w:r>
        <w:rPr>
          <w:rFonts w:ascii="Times New Roman" w:hAnsi="Times New Roman" w:cs="Times New Roman" w:eastAsiaTheme="minorEastAsia"/>
          <w:spacing w:val="0"/>
          <w:szCs w:val="24"/>
        </w:rPr>
        <w:t>企业现状天然气锅炉废气</w:t>
      </w:r>
      <w:r>
        <w:rPr>
          <w:rFonts w:hint="eastAsia" w:ascii="Times New Roman" w:hAnsi="Times New Roman" w:cs="Times New Roman" w:eastAsiaTheme="minorEastAsia"/>
          <w:spacing w:val="0"/>
          <w:szCs w:val="24"/>
          <w:lang w:eastAsia="zh-CN"/>
        </w:rPr>
        <w:t>NO</w:t>
      </w:r>
      <w:r>
        <w:rPr>
          <w:rFonts w:ascii="Times New Roman" w:hAnsi="Times New Roman" w:cs="Times New Roman" w:eastAsiaTheme="minorEastAsia"/>
          <w:spacing w:val="0"/>
          <w:szCs w:val="24"/>
          <w:lang w:eastAsia="zh-CN"/>
        </w:rPr>
        <w:t>x</w:t>
      </w:r>
      <w:r>
        <w:rPr>
          <w:rFonts w:hint="eastAsia" w:ascii="Times New Roman" w:hAnsi="Times New Roman" w:cs="Times New Roman" w:eastAsiaTheme="minorEastAsia"/>
          <w:spacing w:val="0"/>
          <w:szCs w:val="24"/>
          <w:lang w:eastAsia="zh-CN"/>
        </w:rPr>
        <w:t>排放</w:t>
      </w:r>
      <w:r>
        <w:rPr>
          <w:rFonts w:ascii="Times New Roman" w:hAnsi="Times New Roman" w:cs="Times New Roman" w:eastAsiaTheme="minorEastAsia"/>
          <w:spacing w:val="0"/>
          <w:szCs w:val="24"/>
          <w:lang w:eastAsia="zh-CN"/>
        </w:rPr>
        <w:t>速率为0.41kg/h、达产排放量为</w:t>
      </w:r>
      <w:r>
        <w:rPr>
          <w:rFonts w:hint="eastAsia" w:ascii="Times New Roman" w:hAnsi="Times New Roman" w:cs="Times New Roman" w:eastAsiaTheme="minorEastAsia"/>
          <w:spacing w:val="0"/>
          <w:szCs w:val="24"/>
          <w:lang w:eastAsia="zh-CN"/>
        </w:rPr>
        <w:t>1.</w:t>
      </w:r>
      <w:r>
        <w:rPr>
          <w:rFonts w:ascii="Times New Roman" w:hAnsi="Times New Roman" w:cs="Times New Roman" w:eastAsiaTheme="minorEastAsia"/>
          <w:spacing w:val="0"/>
          <w:szCs w:val="24"/>
          <w:lang w:eastAsia="zh-CN"/>
        </w:rPr>
        <w:t>23</w:t>
      </w:r>
      <w:r>
        <w:rPr>
          <w:rFonts w:hint="eastAsia" w:ascii="Times New Roman" w:hAnsi="Times New Roman" w:cs="Times New Roman" w:eastAsiaTheme="minorEastAsia"/>
          <w:spacing w:val="0"/>
          <w:szCs w:val="24"/>
          <w:lang w:eastAsia="zh-CN"/>
        </w:rPr>
        <w:t>t/a</w:t>
      </w:r>
      <w:r>
        <w:rPr>
          <w:rFonts w:ascii="Times New Roman" w:hAnsi="Times New Roman" w:cs="Times New Roman" w:eastAsiaTheme="minorEastAsia"/>
          <w:spacing w:val="0"/>
          <w:szCs w:val="24"/>
          <w:lang w:eastAsia="zh-CN"/>
        </w:rPr>
        <w:t>，排放浓度为</w:t>
      </w:r>
      <w:r>
        <w:rPr>
          <w:rFonts w:hint="eastAsia" w:ascii="Times New Roman" w:hAnsi="Times New Roman" w:cs="Times New Roman" w:eastAsiaTheme="minorEastAsia"/>
          <w:spacing w:val="0"/>
          <w:szCs w:val="24"/>
          <w:lang w:eastAsia="zh-CN"/>
        </w:rPr>
        <w:t>123</w:t>
      </w:r>
      <w:r>
        <w:rPr>
          <w:rFonts w:ascii="Times New Roman" w:hAnsi="Times New Roman" w:cs="Times New Roman" w:eastAsiaTheme="minorEastAsia"/>
          <w:spacing w:val="0"/>
          <w:szCs w:val="24"/>
          <w:lang w:eastAsia="zh-CN"/>
        </w:rPr>
        <w:t>mg/Nm</w:t>
      </w:r>
      <w:r>
        <w:rPr>
          <w:rFonts w:ascii="Times New Roman" w:hAnsi="Times New Roman" w:cs="Times New Roman" w:eastAsiaTheme="minorEastAsia"/>
          <w:spacing w:val="0"/>
          <w:szCs w:val="24"/>
          <w:vertAlign w:val="superscript"/>
          <w:lang w:eastAsia="zh-CN"/>
        </w:rPr>
        <w:t>3</w:t>
      </w:r>
      <w:r>
        <w:rPr>
          <w:rFonts w:hint="eastAsia" w:ascii="Times New Roman" w:hAnsi="Times New Roman" w:cs="Times New Roman" w:eastAsiaTheme="minorEastAsia"/>
          <w:spacing w:val="0"/>
          <w:szCs w:val="24"/>
          <w:lang w:eastAsia="zh-CN"/>
        </w:rPr>
        <w:t>，</w:t>
      </w:r>
      <w:r>
        <w:rPr>
          <w:rFonts w:ascii="Times New Roman" w:hAnsi="Times New Roman" w:cs="Times New Roman" w:eastAsiaTheme="minorEastAsia"/>
          <w:spacing w:val="0"/>
          <w:szCs w:val="24"/>
        </w:rPr>
        <w:t>能够达到《锅炉大气污染物排放标准》(GB13271-2014)中燃气锅炉的大气污染物特别排放限值，但未达到环大气[2018]140文中原则上NOx排放浓度不高于50mg/m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的要求</w:t>
      </w:r>
      <w:r>
        <w:rPr>
          <w:rFonts w:ascii="Times New Roman" w:hAnsi="Times New Roman" w:cs="Times New Roman" w:eastAsiaTheme="minorEastAsia"/>
          <w:spacing w:val="0"/>
          <w:szCs w:val="24"/>
          <w:lang w:eastAsia="zh-CN"/>
        </w:rPr>
        <w:t>，</w:t>
      </w:r>
      <w:r>
        <w:rPr>
          <w:rFonts w:hint="eastAsia" w:ascii="Times New Roman" w:hAnsi="Times New Roman" w:cs="Times New Roman" w:eastAsiaTheme="minorEastAsia"/>
          <w:spacing w:val="0"/>
          <w:szCs w:val="24"/>
          <w:lang w:eastAsia="zh-CN"/>
        </w:rPr>
        <w:t>企业现状</w:t>
      </w:r>
      <w:r>
        <w:rPr>
          <w:rFonts w:ascii="Times New Roman" w:hAnsi="Times New Roman" w:cs="Times New Roman" w:eastAsiaTheme="minorEastAsia"/>
          <w:spacing w:val="0"/>
          <w:szCs w:val="24"/>
          <w:lang w:eastAsia="zh-CN"/>
        </w:rPr>
        <w:t>正在对锅炉进行低氮燃烧技术改造</w:t>
      </w:r>
      <w:r>
        <w:rPr>
          <w:rFonts w:hint="eastAsia" w:ascii="Times New Roman" w:hAnsi="Times New Roman" w:cs="Times New Roman" w:eastAsiaTheme="minorEastAsia"/>
          <w:spacing w:val="0"/>
          <w:szCs w:val="24"/>
          <w:lang w:eastAsia="zh-CN"/>
        </w:rPr>
        <w:t>，计划</w:t>
      </w:r>
      <w:r>
        <w:rPr>
          <w:rFonts w:ascii="Times New Roman" w:hAnsi="Times New Roman" w:cs="Times New Roman" w:eastAsiaTheme="minorEastAsia"/>
          <w:spacing w:val="0"/>
          <w:szCs w:val="24"/>
          <w:lang w:eastAsia="zh-CN"/>
        </w:rPr>
        <w:t>于</w:t>
      </w:r>
      <w:r>
        <w:rPr>
          <w:rFonts w:hint="eastAsia" w:ascii="Times New Roman" w:hAnsi="Times New Roman" w:cs="Times New Roman" w:eastAsiaTheme="minorEastAsia"/>
          <w:spacing w:val="0"/>
          <w:szCs w:val="24"/>
          <w:lang w:eastAsia="zh-CN"/>
        </w:rPr>
        <w:t>2019.7改造完成</w:t>
      </w:r>
      <w:r>
        <w:rPr>
          <w:rFonts w:ascii="Times New Roman" w:hAnsi="Times New Roman" w:cs="Times New Roman" w:eastAsiaTheme="minorEastAsia"/>
          <w:spacing w:val="0"/>
          <w:szCs w:val="24"/>
          <w:lang w:eastAsia="zh-CN"/>
        </w:rPr>
        <w:t>。</w:t>
      </w:r>
    </w:p>
    <w:p>
      <w:pPr>
        <w:pStyle w:val="4"/>
        <w:spacing w:line="480" w:lineRule="exact"/>
        <w:rPr>
          <w:rFonts w:ascii="Times New Roman" w:hAnsi="Times New Roman" w:cs="Times New Roman"/>
          <w:spacing w:val="0"/>
          <w:lang w:val="zh-CN"/>
        </w:rPr>
      </w:pPr>
      <w:r>
        <w:rPr>
          <w:rFonts w:hint="eastAsia" w:ascii="Times New Roman" w:hAnsi="Times New Roman" w:cs="Times New Roman"/>
          <w:spacing w:val="0"/>
          <w:lang w:val="zh-CN"/>
        </w:rPr>
        <w:t>3、考虑</w:t>
      </w:r>
      <w:r>
        <w:rPr>
          <w:rFonts w:ascii="Times New Roman" w:hAnsi="Times New Roman" w:cs="Times New Roman"/>
          <w:spacing w:val="0"/>
          <w:lang w:val="zh-CN"/>
        </w:rPr>
        <w:t>到企业为不锈钢生产企业，</w:t>
      </w:r>
      <w:r>
        <w:rPr>
          <w:rFonts w:hint="eastAsia" w:ascii="Times New Roman" w:hAnsi="Times New Roman" w:cs="Times New Roman"/>
          <w:spacing w:val="0"/>
          <w:lang w:val="zh-CN"/>
        </w:rPr>
        <w:t>原辅料</w:t>
      </w:r>
      <w:r>
        <w:rPr>
          <w:rFonts w:ascii="Times New Roman" w:hAnsi="Times New Roman" w:cs="Times New Roman"/>
          <w:spacing w:val="0"/>
          <w:lang w:val="zh-CN"/>
        </w:rPr>
        <w:t>中涉及镍、铬，因此</w:t>
      </w:r>
      <w:r>
        <w:rPr>
          <w:rFonts w:hint="eastAsia" w:ascii="Times New Roman" w:hAnsi="Times New Roman" w:cs="Times New Roman"/>
          <w:spacing w:val="0"/>
          <w:lang w:val="zh-CN"/>
        </w:rPr>
        <w:t>本报告</w:t>
      </w:r>
      <w:r>
        <w:rPr>
          <w:rFonts w:ascii="Times New Roman" w:hAnsi="Times New Roman" w:cs="Times New Roman"/>
          <w:spacing w:val="0"/>
          <w:lang w:val="zh-CN"/>
        </w:rPr>
        <w:t>建议</w:t>
      </w:r>
      <w:r>
        <w:rPr>
          <w:rFonts w:hint="eastAsia" w:ascii="Times New Roman" w:hAnsi="Times New Roman" w:cs="Times New Roman"/>
          <w:spacing w:val="0"/>
          <w:lang w:val="zh-CN"/>
        </w:rPr>
        <w:t>在</w:t>
      </w:r>
      <w:r>
        <w:rPr>
          <w:rFonts w:ascii="Times New Roman" w:hAnsi="Times New Roman" w:cs="Times New Roman"/>
          <w:spacing w:val="0"/>
          <w:lang w:val="zh-CN"/>
        </w:rPr>
        <w:t>炼钢二厂、炼钢一厂</w:t>
      </w:r>
      <w:r>
        <w:rPr>
          <w:rFonts w:hint="eastAsia" w:ascii="Times New Roman" w:hAnsi="Times New Roman" w:cs="Times New Roman"/>
          <w:spacing w:val="0"/>
          <w:lang w:val="zh-CN"/>
        </w:rPr>
        <w:t>电炉</w:t>
      </w:r>
      <w:r>
        <w:rPr>
          <w:rFonts w:ascii="Times New Roman" w:hAnsi="Times New Roman" w:cs="Times New Roman"/>
          <w:spacing w:val="0"/>
          <w:lang w:val="zh-CN"/>
        </w:rPr>
        <w:t>废气</w:t>
      </w:r>
      <w:r>
        <w:rPr>
          <w:rFonts w:hint="eastAsia" w:ascii="Times New Roman" w:hAnsi="Times New Roman" w:cs="Times New Roman"/>
          <w:spacing w:val="0"/>
          <w:lang w:val="zh-CN"/>
        </w:rPr>
        <w:t>排气筒出口(</w:t>
      </w:r>
      <w:r>
        <w:rPr>
          <w:rFonts w:ascii="Times New Roman" w:hAnsi="Times New Roman" w:cs="Times New Roman"/>
          <w:spacing w:val="0"/>
          <w:lang w:val="zh-CN"/>
        </w:rPr>
        <w:t>DA001</w:t>
      </w:r>
      <w:r>
        <w:rPr>
          <w:rFonts w:hint="eastAsia" w:ascii="Times New Roman" w:hAnsi="Times New Roman" w:cs="Times New Roman"/>
          <w:spacing w:val="0"/>
          <w:lang w:val="zh-CN"/>
        </w:rPr>
        <w:t>、DA002)增加</w:t>
      </w:r>
      <w:r>
        <w:rPr>
          <w:rFonts w:ascii="Times New Roman" w:hAnsi="Times New Roman" w:cs="Times New Roman"/>
          <w:spacing w:val="0"/>
          <w:lang w:val="zh-CN"/>
        </w:rPr>
        <w:t>镍及其化合物、铬及其化合物监测指标，以了解重金属达标排放情况。</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4、</w:t>
      </w:r>
      <w:r>
        <w:rPr>
          <w:rFonts w:ascii="Times New Roman" w:hAnsi="Times New Roman" w:cs="Times New Roman"/>
          <w:spacing w:val="0"/>
        </w:rPr>
        <w:t>精整酸洗车间酸洗废气排放浓度波动较大，企业应加强酸洗</w:t>
      </w:r>
      <w:r>
        <w:rPr>
          <w:rFonts w:hint="eastAsia" w:ascii="Times New Roman" w:hAnsi="Times New Roman" w:cs="Times New Roman"/>
          <w:spacing w:val="0"/>
        </w:rPr>
        <w:t>废气</w:t>
      </w:r>
      <w:r>
        <w:rPr>
          <w:rFonts w:ascii="Times New Roman" w:hAnsi="Times New Roman" w:cs="Times New Roman"/>
          <w:spacing w:val="0"/>
        </w:rPr>
        <w:t>治理措施的运行管理，确保废气稳定达标排放。</w:t>
      </w:r>
    </w:p>
    <w:p>
      <w:pPr>
        <w:pStyle w:val="712"/>
        <w:spacing w:line="480" w:lineRule="exact"/>
        <w:ind w:firstLine="486"/>
        <w:rPr>
          <w:rFonts w:ascii="Times New Roman" w:hAnsi="Times New Roman" w:cs="Times New Roman"/>
          <w:spacing w:val="0"/>
          <w:szCs w:val="24"/>
          <w:lang w:eastAsia="zh-CN"/>
        </w:rPr>
      </w:pPr>
      <w:r>
        <w:rPr>
          <w:rFonts w:hint="eastAsia" w:ascii="Times New Roman" w:hAnsi="Times New Roman" w:cs="Times New Roman"/>
          <w:spacing w:val="0"/>
          <w:szCs w:val="24"/>
        </w:rPr>
        <w:t>5、</w:t>
      </w:r>
      <w:r>
        <w:rPr>
          <w:rFonts w:ascii="Times New Roman" w:hAnsi="Times New Roman" w:cs="Times New Roman"/>
          <w:spacing w:val="0"/>
        </w:rPr>
        <w:t>根据轧钢浊环水排放水监测</w:t>
      </w:r>
      <w:r>
        <w:rPr>
          <w:rFonts w:hint="eastAsia" w:ascii="Times New Roman" w:hAnsi="Times New Roman" w:cs="Times New Roman"/>
          <w:spacing w:val="0"/>
        </w:rPr>
        <w:t>结果</w:t>
      </w:r>
      <w:r>
        <w:rPr>
          <w:rFonts w:ascii="Times New Roman" w:hAnsi="Times New Roman" w:cs="Times New Roman"/>
          <w:spacing w:val="0"/>
        </w:rPr>
        <w:t>来看</w:t>
      </w:r>
      <w:r>
        <w:rPr>
          <w:rFonts w:hint="eastAsia" w:ascii="Times New Roman" w:hAnsi="Times New Roman" w:cs="Times New Roman"/>
          <w:spacing w:val="0"/>
        </w:rPr>
        <w:t>(详见</w:t>
      </w:r>
      <w:r>
        <w:rPr>
          <w:rFonts w:ascii="Times New Roman" w:hAnsi="Times New Roman" w:cs="Times New Roman"/>
          <w:spacing w:val="0"/>
        </w:rPr>
        <w:t>表</w:t>
      </w:r>
      <w:r>
        <w:rPr>
          <w:rFonts w:hint="eastAsia" w:ascii="Times New Roman" w:hAnsi="Times New Roman" w:cs="Times New Roman"/>
          <w:spacing w:val="0"/>
        </w:rPr>
        <w:t>3-32)，</w:t>
      </w:r>
      <w:r>
        <w:rPr>
          <w:rFonts w:ascii="Times New Roman" w:hAnsi="Times New Roman" w:cs="Times New Roman"/>
          <w:spacing w:val="0"/>
        </w:rPr>
        <w:t>该废水中含一类重金属，因此</w:t>
      </w:r>
      <w:r>
        <w:rPr>
          <w:rFonts w:hint="eastAsia" w:ascii="Times New Roman" w:hAnsi="Times New Roman" w:cs="Times New Roman"/>
          <w:spacing w:val="0"/>
          <w:lang w:eastAsia="zh-CN"/>
        </w:rPr>
        <w:t>建议</w:t>
      </w:r>
      <w:r>
        <w:rPr>
          <w:rFonts w:ascii="Times New Roman" w:hAnsi="Times New Roman" w:cs="Times New Roman"/>
          <w:spacing w:val="0"/>
        </w:rPr>
        <w:t>企业在轧钢</w:t>
      </w:r>
      <w:r>
        <w:rPr>
          <w:rFonts w:hint="eastAsia" w:ascii="Times New Roman" w:hAnsi="Times New Roman" w:cs="Times New Roman"/>
          <w:spacing w:val="0"/>
        </w:rPr>
        <w:t>浊环水</w:t>
      </w:r>
      <w:r>
        <w:rPr>
          <w:rFonts w:ascii="Times New Roman" w:hAnsi="Times New Roman" w:cs="Times New Roman"/>
          <w:spacing w:val="0"/>
        </w:rPr>
        <w:t>排放水单设一个</w:t>
      </w:r>
      <w:r>
        <w:rPr>
          <w:rFonts w:hint="eastAsia" w:ascii="Times New Roman" w:hAnsi="Times New Roman" w:cs="Times New Roman"/>
          <w:spacing w:val="0"/>
        </w:rPr>
        <w:t>废水</w:t>
      </w:r>
      <w:r>
        <w:rPr>
          <w:rFonts w:ascii="Times New Roman" w:hAnsi="Times New Roman" w:cs="Times New Roman"/>
          <w:spacing w:val="0"/>
        </w:rPr>
        <w:t>收集池兼做</w:t>
      </w:r>
      <w:r>
        <w:rPr>
          <w:rFonts w:hint="eastAsia" w:ascii="Times New Roman" w:hAnsi="Times New Roman" w:cs="Times New Roman"/>
          <w:spacing w:val="0"/>
        </w:rPr>
        <w:t>监控池</w:t>
      </w:r>
      <w:r>
        <w:rPr>
          <w:rFonts w:ascii="Times New Roman" w:hAnsi="Times New Roman" w:cs="Times New Roman"/>
          <w:spacing w:val="0"/>
        </w:rPr>
        <w:t>，对一类重金属污染物进行</w:t>
      </w:r>
      <w:r>
        <w:rPr>
          <w:rFonts w:hint="eastAsia" w:ascii="Times New Roman" w:hAnsi="Times New Roman" w:cs="Times New Roman"/>
          <w:spacing w:val="0"/>
        </w:rPr>
        <w:t>监控</w:t>
      </w:r>
      <w:r>
        <w:rPr>
          <w:rFonts w:hint="eastAsia" w:ascii="Times New Roman" w:hAnsi="Times New Roman" w:cs="Times New Roman"/>
          <w:spacing w:val="0"/>
          <w:lang w:eastAsia="zh-CN"/>
        </w:rPr>
        <w:t>。</w:t>
      </w:r>
    </w:p>
    <w:p>
      <w:pPr>
        <w:pStyle w:val="2"/>
        <w:numPr>
          <w:ilvl w:val="0"/>
          <w:numId w:val="1"/>
        </w:numPr>
        <w:rPr>
          <w:lang w:eastAsia="zh-CN"/>
        </w:rPr>
      </w:pPr>
      <w:bookmarkStart w:id="84" w:name="_Toc10637144"/>
      <w:r>
        <w:t>工程概况及工程分析</w:t>
      </w:r>
      <w:bookmarkEnd w:id="84"/>
    </w:p>
    <w:bookmarkEnd w:id="78"/>
    <w:p>
      <w:pPr>
        <w:pStyle w:val="3"/>
        <w:numPr>
          <w:ilvl w:val="1"/>
          <w:numId w:val="24"/>
        </w:numPr>
        <w:rPr>
          <w:rFonts w:ascii="Times New Roman" w:hAnsi="Times New Roman"/>
        </w:rPr>
      </w:pPr>
      <w:bookmarkStart w:id="85" w:name="_Toc10637145"/>
      <w:bookmarkStart w:id="86" w:name="_Toc469860861"/>
      <w:bookmarkStart w:id="87" w:name="_Toc269733206"/>
      <w:bookmarkStart w:id="88" w:name="_Toc309211146"/>
      <w:bookmarkStart w:id="89" w:name="_Toc122231301"/>
      <w:bookmarkStart w:id="90" w:name="_Toc82944725"/>
      <w:bookmarkStart w:id="91" w:name="_Toc145840825"/>
      <w:bookmarkStart w:id="92" w:name="_Toc167359694"/>
      <w:bookmarkStart w:id="93" w:name="_Toc97088117"/>
      <w:bookmarkStart w:id="94" w:name="_Toc122769023"/>
      <w:bookmarkStart w:id="95" w:name="_Toc84214488"/>
      <w:r>
        <w:rPr>
          <w:rFonts w:ascii="Times New Roman" w:hAnsi="Times New Roman"/>
        </w:rPr>
        <w:t>基本概况</w:t>
      </w:r>
      <w:bookmarkEnd w:id="85"/>
      <w:bookmarkEnd w:id="86"/>
    </w:p>
    <w:p>
      <w:pPr>
        <w:pStyle w:val="835"/>
        <w:spacing w:before="0" w:line="480" w:lineRule="exact"/>
        <w:ind w:firstLine="486"/>
        <w:rPr>
          <w:rFonts w:ascii="Times New Roman" w:hAnsi="Times New Roman"/>
        </w:rPr>
      </w:pPr>
      <w:r>
        <w:rPr>
          <w:rFonts w:ascii="Times New Roman" w:hAnsi="Times New Roman"/>
        </w:rPr>
        <w:t>项目名称：</w:t>
      </w:r>
      <w:r>
        <w:rPr>
          <w:rFonts w:hint="eastAsia" w:ascii="Times New Roman" w:hAnsi="Times New Roman"/>
        </w:rPr>
        <w:t>永兴特种不锈钢股份有限公司高性能不锈钢连铸系统升级改造项目</w:t>
      </w:r>
    </w:p>
    <w:p>
      <w:pPr>
        <w:pStyle w:val="835"/>
        <w:spacing w:before="0" w:line="480" w:lineRule="exact"/>
        <w:ind w:firstLine="486"/>
        <w:rPr>
          <w:rFonts w:ascii="Times New Roman" w:hAnsi="Times New Roman"/>
        </w:rPr>
      </w:pPr>
      <w:r>
        <w:rPr>
          <w:rFonts w:ascii="Times New Roman" w:hAnsi="Times New Roman"/>
        </w:rPr>
        <w:t>建设单位：</w:t>
      </w:r>
      <w:r>
        <w:rPr>
          <w:rFonts w:hint="eastAsia" w:ascii="Times New Roman" w:hAnsi="Times New Roman"/>
        </w:rPr>
        <w:t>永兴特种不锈钢股份有限公司</w:t>
      </w:r>
    </w:p>
    <w:p>
      <w:pPr>
        <w:pStyle w:val="835"/>
        <w:spacing w:before="0" w:line="480" w:lineRule="exact"/>
        <w:ind w:firstLine="486"/>
        <w:rPr>
          <w:rFonts w:ascii="Times New Roman" w:hAnsi="Times New Roman"/>
        </w:rPr>
      </w:pPr>
      <w:r>
        <w:rPr>
          <w:rFonts w:ascii="Times New Roman" w:hAnsi="Times New Roman"/>
        </w:rPr>
        <w:t>建设性质：</w:t>
      </w:r>
      <w:r>
        <w:rPr>
          <w:rFonts w:hint="eastAsia" w:ascii="Times New Roman" w:hAnsi="Times New Roman"/>
        </w:rPr>
        <w:t>技改</w:t>
      </w:r>
      <w:r>
        <w:rPr>
          <w:rFonts w:ascii="Times New Roman" w:hAnsi="Times New Roman"/>
        </w:rPr>
        <w:t>，C</w:t>
      </w:r>
      <w:r>
        <w:rPr>
          <w:rFonts w:hint="eastAsia" w:ascii="Times New Roman" w:hAnsi="Times New Roman"/>
        </w:rPr>
        <w:t>3120炼钢</w:t>
      </w:r>
    </w:p>
    <w:p>
      <w:pPr>
        <w:pStyle w:val="835"/>
        <w:spacing w:before="0" w:line="480" w:lineRule="exact"/>
        <w:ind w:firstLine="486"/>
        <w:rPr>
          <w:rFonts w:ascii="Times New Roman" w:hAnsi="Times New Roman"/>
        </w:rPr>
      </w:pPr>
      <w:r>
        <w:rPr>
          <w:rFonts w:ascii="Times New Roman" w:hAnsi="Times New Roman"/>
        </w:rPr>
        <w:t>投资总额：</w:t>
      </w:r>
      <w:r>
        <w:rPr>
          <w:rFonts w:hint="eastAsia" w:ascii="Times New Roman" w:hAnsi="Times New Roman"/>
        </w:rPr>
        <w:t xml:space="preserve"> 10808万元</w:t>
      </w:r>
    </w:p>
    <w:p>
      <w:pPr>
        <w:pStyle w:val="835"/>
        <w:spacing w:before="0" w:line="480" w:lineRule="exact"/>
        <w:ind w:firstLine="486"/>
        <w:rPr>
          <w:rFonts w:ascii="Times New Roman" w:hAnsi="Times New Roman"/>
        </w:rPr>
      </w:pPr>
      <w:r>
        <w:rPr>
          <w:rFonts w:ascii="Times New Roman" w:hAnsi="Times New Roman"/>
        </w:rPr>
        <w:t>建设地点：</w:t>
      </w:r>
      <w:r>
        <w:rPr>
          <w:rFonts w:hint="eastAsia" w:ascii="Times New Roman" w:hAnsi="Times New Roman"/>
        </w:rPr>
        <w:t>湖州市经济技术开发区杨家埠霅水桥路618号</w:t>
      </w:r>
    </w:p>
    <w:p>
      <w:pPr>
        <w:pStyle w:val="835"/>
        <w:spacing w:before="0" w:line="480" w:lineRule="exact"/>
        <w:ind w:firstLine="486"/>
        <w:rPr>
          <w:rFonts w:ascii="Times New Roman" w:hAnsi="Times New Roman"/>
        </w:rPr>
      </w:pPr>
      <w:r>
        <w:rPr>
          <w:rFonts w:ascii="Times New Roman" w:hAnsi="Times New Roman"/>
        </w:rPr>
        <w:t>建设规模：</w:t>
      </w:r>
      <w:r>
        <w:rPr>
          <w:rFonts w:hint="eastAsia" w:ascii="Times New Roman" w:hAnsi="Times New Roman"/>
          <w:szCs w:val="21"/>
        </w:rPr>
        <w:t>本项目拆除炼钢一厂旧厂房约7000m</w:t>
      </w:r>
      <w:r>
        <w:rPr>
          <w:rFonts w:hint="eastAsia" w:ascii="Times New Roman" w:hAnsi="Times New Roman"/>
          <w:szCs w:val="21"/>
          <w:vertAlign w:val="superscript"/>
        </w:rPr>
        <w:t>2</w:t>
      </w:r>
      <w:r>
        <w:rPr>
          <w:rFonts w:hint="eastAsia" w:ascii="Times New Roman" w:hAnsi="Times New Roman"/>
          <w:szCs w:val="21"/>
        </w:rPr>
        <w:t>，同时新建厂房约8842m</w:t>
      </w:r>
      <w:r>
        <w:rPr>
          <w:rFonts w:hint="eastAsia" w:ascii="Times New Roman" w:hAnsi="Times New Roman"/>
          <w:szCs w:val="21"/>
          <w:vertAlign w:val="superscript"/>
        </w:rPr>
        <w:t>2</w:t>
      </w:r>
      <w:r>
        <w:rPr>
          <w:rFonts w:hint="eastAsia" w:ascii="Times New Roman" w:hAnsi="Times New Roman"/>
          <w:szCs w:val="21"/>
        </w:rPr>
        <w:t>，将现有原料厂房改建成包含连铸和大型模铸的浇铸跨；购置一机一流弧形连铸机、VD真空脱气、起重设备、电气设备、AOD智能控制系统、空分装置等国产设备37台(套)，调整LF钢包炉位置，对现有不锈钢浇铸系统进行升级改造，将手工作业的小钢锭模铸升级为机械化连铸系统，项目建成后总生产能力保持不变(仍为炼钢10万t/a)，达到提高材料利用率、提升产品质量、实现机器换人、促进新品开发的目的，技改后模铸坯(钢锭)为4万t/a、连铸坯为6万t/a</w:t>
      </w:r>
      <w:r>
        <w:rPr>
          <w:rFonts w:ascii="Times New Roman" w:hAnsi="Times New Roman"/>
        </w:rPr>
        <w:t>。</w:t>
      </w:r>
    </w:p>
    <w:p>
      <w:pPr>
        <w:pStyle w:val="835"/>
        <w:spacing w:before="0" w:line="480" w:lineRule="exact"/>
        <w:ind w:firstLine="486"/>
        <w:rPr>
          <w:rFonts w:ascii="Times New Roman" w:hAnsi="Times New Roman"/>
        </w:rPr>
      </w:pPr>
      <w:r>
        <w:rPr>
          <w:rFonts w:ascii="Times New Roman" w:hAnsi="Times New Roman"/>
        </w:rPr>
        <w:t>投产时间：20</w:t>
      </w:r>
      <w:r>
        <w:rPr>
          <w:rFonts w:hint="eastAsia" w:ascii="Times New Roman" w:hAnsi="Times New Roman"/>
        </w:rPr>
        <w:t>20</w:t>
      </w:r>
      <w:r>
        <w:rPr>
          <w:rFonts w:ascii="Times New Roman" w:hAnsi="Times New Roman"/>
        </w:rPr>
        <w:t>年</w:t>
      </w:r>
      <w:r>
        <w:rPr>
          <w:rFonts w:hint="eastAsia" w:ascii="Times New Roman" w:hAnsi="Times New Roman"/>
        </w:rPr>
        <w:t>02</w:t>
      </w:r>
      <w:r>
        <w:rPr>
          <w:rFonts w:ascii="Times New Roman" w:hAnsi="Times New Roman"/>
        </w:rPr>
        <w:t>月</w:t>
      </w:r>
    </w:p>
    <w:p>
      <w:pPr>
        <w:pStyle w:val="835"/>
        <w:spacing w:before="0" w:line="480" w:lineRule="exact"/>
        <w:ind w:firstLine="486"/>
        <w:rPr>
          <w:rFonts w:ascii="Times New Roman" w:hAnsi="Times New Roman"/>
        </w:rPr>
      </w:pPr>
      <w:r>
        <w:rPr>
          <w:rFonts w:ascii="Times New Roman" w:hAnsi="Times New Roman"/>
        </w:rPr>
        <w:t>建设项目基本概况见</w:t>
      </w:r>
      <w:r>
        <w:rPr>
          <w:rFonts w:hint="eastAsia" w:ascii="Times New Roman" w:hAnsi="Times New Roman"/>
        </w:rPr>
        <w:t>表4-1</w:t>
      </w:r>
      <w:r>
        <w:rPr>
          <w:rFonts w:ascii="Times New Roman" w:hAnsi="Times New Roman"/>
        </w:rPr>
        <w:t>。</w:t>
      </w:r>
    </w:p>
    <w:p>
      <w:pPr>
        <w:pStyle w:val="313"/>
        <w:tabs>
          <w:tab w:val="clear" w:pos="3908"/>
        </w:tabs>
        <w:ind w:left="1122" w:hanging="561"/>
        <w:rPr>
          <w:rFonts w:ascii="Times New Roman" w:hAnsi="Times New Roman"/>
        </w:rPr>
      </w:pPr>
      <w:bookmarkStart w:id="96" w:name="_Toc236722004"/>
      <w:r>
        <w:rPr>
          <w:rFonts w:ascii="Times New Roman" w:hAnsi="Times New Roman"/>
        </w:rPr>
        <w:t>项目</w:t>
      </w:r>
      <w:r>
        <w:rPr>
          <w:rFonts w:ascii="Times New Roman" w:hAnsi="Times New Roman"/>
          <w:lang w:eastAsia="zh-CN"/>
        </w:rPr>
        <w:t>基本</w:t>
      </w:r>
      <w:r>
        <w:rPr>
          <w:rFonts w:ascii="Times New Roman" w:hAnsi="Times New Roman"/>
        </w:rPr>
        <w:t>概况</w:t>
      </w:r>
    </w:p>
    <w:bookmarkEnd w:id="96"/>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宋体"/>
                <w:sz w:val="21"/>
                <w:szCs w:val="21"/>
              </w:rPr>
            </w:pPr>
            <w:r>
              <w:rPr>
                <w:rFonts w:eastAsia="宋体"/>
                <w:sz w:val="21"/>
                <w:szCs w:val="21"/>
              </w:rPr>
              <w:t>项目名称</w:t>
            </w:r>
          </w:p>
        </w:tc>
        <w:tc>
          <w:tcPr>
            <w:tcW w:w="6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宋体"/>
                <w:sz w:val="21"/>
                <w:szCs w:val="21"/>
              </w:rPr>
            </w:pPr>
            <w:r>
              <w:rPr>
                <w:rFonts w:hint="eastAsia" w:eastAsia="宋体"/>
                <w:sz w:val="21"/>
                <w:szCs w:val="21"/>
              </w:rPr>
              <w:t>永兴特种不锈钢股份有限公司高性能不锈钢连铸系统升级改造项目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宋体"/>
                <w:sz w:val="21"/>
                <w:szCs w:val="21"/>
              </w:rPr>
            </w:pPr>
            <w:r>
              <w:rPr>
                <w:rFonts w:eastAsia="宋体"/>
                <w:sz w:val="21"/>
                <w:szCs w:val="21"/>
              </w:rPr>
              <w:t>建设单位</w:t>
            </w:r>
          </w:p>
        </w:tc>
        <w:tc>
          <w:tcPr>
            <w:tcW w:w="6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eastAsia="宋体"/>
                <w:sz w:val="21"/>
                <w:szCs w:val="21"/>
              </w:rPr>
            </w:pPr>
            <w:r>
              <w:rPr>
                <w:rFonts w:hint="eastAsia" w:eastAsia="宋体"/>
                <w:sz w:val="21"/>
                <w:szCs w:val="21"/>
              </w:rPr>
              <w:t>永兴特种不锈钢股份有限公司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vAlign w:val="center"/>
          </w:tcPr>
          <w:p>
            <w:pPr>
              <w:spacing w:line="360" w:lineRule="exact"/>
              <w:jc w:val="center"/>
              <w:rPr>
                <w:rFonts w:eastAsia="宋体"/>
                <w:sz w:val="21"/>
                <w:szCs w:val="21"/>
              </w:rPr>
            </w:pPr>
            <w:r>
              <w:rPr>
                <w:rFonts w:eastAsia="宋体"/>
                <w:sz w:val="21"/>
                <w:szCs w:val="21"/>
              </w:rPr>
              <w:t>建设性质</w:t>
            </w:r>
          </w:p>
        </w:tc>
        <w:tc>
          <w:tcPr>
            <w:tcW w:w="6588" w:type="dxa"/>
            <w:vAlign w:val="center"/>
          </w:tcPr>
          <w:p>
            <w:pPr>
              <w:spacing w:line="360" w:lineRule="exact"/>
              <w:jc w:val="center"/>
              <w:rPr>
                <w:rFonts w:eastAsia="宋体"/>
                <w:sz w:val="21"/>
                <w:szCs w:val="21"/>
              </w:rPr>
            </w:pPr>
            <w:r>
              <w:rPr>
                <w:rFonts w:hint="eastAsia" w:eastAsia="宋体"/>
                <w:sz w:val="21"/>
                <w:szCs w:val="21"/>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vAlign w:val="center"/>
          </w:tcPr>
          <w:p>
            <w:pPr>
              <w:spacing w:line="360" w:lineRule="exact"/>
              <w:jc w:val="center"/>
              <w:rPr>
                <w:rFonts w:eastAsia="宋体"/>
                <w:sz w:val="21"/>
                <w:szCs w:val="21"/>
              </w:rPr>
            </w:pPr>
            <w:r>
              <w:rPr>
                <w:rFonts w:eastAsia="宋体"/>
                <w:sz w:val="21"/>
                <w:szCs w:val="21"/>
              </w:rPr>
              <w:t>建设地点</w:t>
            </w:r>
          </w:p>
        </w:tc>
        <w:tc>
          <w:tcPr>
            <w:tcW w:w="6588" w:type="dxa"/>
            <w:vAlign w:val="center"/>
          </w:tcPr>
          <w:p>
            <w:pPr>
              <w:spacing w:line="360" w:lineRule="exact"/>
              <w:jc w:val="center"/>
              <w:rPr>
                <w:rFonts w:eastAsia="宋体"/>
                <w:sz w:val="21"/>
                <w:szCs w:val="21"/>
              </w:rPr>
            </w:pPr>
            <w:r>
              <w:rPr>
                <w:rFonts w:hint="eastAsia" w:eastAsia="宋体"/>
                <w:sz w:val="21"/>
                <w:szCs w:val="21"/>
              </w:rPr>
              <w:t>湖州市经济技术开发区杨家埠霅水桥路618号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vAlign w:val="center"/>
          </w:tcPr>
          <w:p>
            <w:pPr>
              <w:spacing w:line="360" w:lineRule="exact"/>
              <w:jc w:val="center"/>
              <w:rPr>
                <w:rFonts w:eastAsia="宋体"/>
                <w:sz w:val="21"/>
                <w:szCs w:val="21"/>
              </w:rPr>
            </w:pPr>
            <w:r>
              <w:rPr>
                <w:rFonts w:eastAsia="宋体"/>
                <w:sz w:val="21"/>
                <w:szCs w:val="21"/>
              </w:rPr>
              <w:t>总投资及投产时间</w:t>
            </w:r>
          </w:p>
        </w:tc>
        <w:tc>
          <w:tcPr>
            <w:tcW w:w="6588" w:type="dxa"/>
            <w:vAlign w:val="center"/>
          </w:tcPr>
          <w:p>
            <w:pPr>
              <w:spacing w:line="360" w:lineRule="exact"/>
              <w:jc w:val="center"/>
              <w:rPr>
                <w:rFonts w:eastAsia="宋体"/>
                <w:sz w:val="21"/>
                <w:szCs w:val="21"/>
              </w:rPr>
            </w:pPr>
            <w:r>
              <w:rPr>
                <w:rFonts w:eastAsia="宋体"/>
                <w:sz w:val="21"/>
                <w:szCs w:val="21"/>
              </w:rPr>
              <w:t>总投资</w:t>
            </w:r>
            <w:r>
              <w:rPr>
                <w:rFonts w:hint="eastAsia" w:eastAsia="宋体"/>
                <w:sz w:val="21"/>
                <w:szCs w:val="21"/>
              </w:rPr>
              <w:t>10808万元</w:t>
            </w:r>
            <w:r>
              <w:rPr>
                <w:rFonts w:eastAsia="宋体"/>
                <w:sz w:val="21"/>
                <w:szCs w:val="21"/>
              </w:rPr>
              <w:t>，预计20</w:t>
            </w:r>
            <w:r>
              <w:rPr>
                <w:rFonts w:hint="eastAsia" w:eastAsia="宋体"/>
                <w:sz w:val="21"/>
                <w:szCs w:val="21"/>
              </w:rPr>
              <w:t>20</w:t>
            </w:r>
            <w:r>
              <w:rPr>
                <w:rFonts w:eastAsia="宋体"/>
                <w:sz w:val="21"/>
                <w:szCs w:val="21"/>
              </w:rPr>
              <w:t>年</w:t>
            </w:r>
            <w:r>
              <w:rPr>
                <w:rFonts w:hint="eastAsia" w:eastAsia="宋体"/>
                <w:sz w:val="21"/>
                <w:szCs w:val="21"/>
              </w:rPr>
              <w:t>02</w:t>
            </w:r>
            <w:r>
              <w:rPr>
                <w:rFonts w:eastAsia="宋体"/>
                <w:sz w:val="21"/>
                <w:szCs w:val="21"/>
              </w:rPr>
              <w:t>月建成运行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vAlign w:val="center"/>
          </w:tcPr>
          <w:p>
            <w:pPr>
              <w:spacing w:line="360" w:lineRule="exact"/>
              <w:jc w:val="center"/>
              <w:rPr>
                <w:rFonts w:eastAsia="宋体"/>
                <w:sz w:val="21"/>
                <w:szCs w:val="21"/>
              </w:rPr>
            </w:pPr>
            <w:r>
              <w:rPr>
                <w:rFonts w:eastAsia="宋体"/>
                <w:sz w:val="21"/>
                <w:szCs w:val="21"/>
              </w:rPr>
              <w:t>生产组织</w:t>
            </w:r>
          </w:p>
        </w:tc>
        <w:tc>
          <w:tcPr>
            <w:tcW w:w="6588" w:type="dxa"/>
            <w:vAlign w:val="center"/>
          </w:tcPr>
          <w:p>
            <w:pPr>
              <w:spacing w:line="360" w:lineRule="exact"/>
              <w:jc w:val="center"/>
              <w:rPr>
                <w:rFonts w:eastAsia="宋体"/>
                <w:sz w:val="21"/>
                <w:szCs w:val="21"/>
              </w:rPr>
            </w:pPr>
            <w:r>
              <w:rPr>
                <w:rFonts w:eastAsia="宋体"/>
                <w:sz w:val="21"/>
                <w:szCs w:val="21"/>
              </w:rPr>
              <w:t>项目</w:t>
            </w:r>
            <w:r>
              <w:rPr>
                <w:rFonts w:hint="eastAsia" w:eastAsia="宋体"/>
                <w:sz w:val="21"/>
                <w:szCs w:val="21"/>
              </w:rPr>
              <w:t>不新增员工，所需员工均在现有厂区内调剂，企业</w:t>
            </w:r>
            <w:r>
              <w:rPr>
                <w:rFonts w:eastAsia="宋体"/>
                <w:sz w:val="21"/>
                <w:szCs w:val="21"/>
              </w:rPr>
              <w:t>年生产天数为300天</w:t>
            </w:r>
            <w:r>
              <w:rPr>
                <w:rFonts w:hint="eastAsia" w:eastAsia="宋体"/>
                <w:sz w:val="21"/>
                <w:szCs w:val="21"/>
              </w:rPr>
              <w:t>，三班制生产。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79" w:type="dxa"/>
            <w:vAlign w:val="center"/>
          </w:tcPr>
          <w:p>
            <w:pPr>
              <w:spacing w:line="360" w:lineRule="exact"/>
              <w:jc w:val="center"/>
              <w:rPr>
                <w:rFonts w:eastAsiaTheme="minorEastAsia"/>
                <w:sz w:val="21"/>
                <w:szCs w:val="21"/>
              </w:rPr>
            </w:pPr>
            <w:r>
              <w:rPr>
                <w:rFonts w:eastAsiaTheme="minorEastAsia"/>
                <w:sz w:val="21"/>
                <w:szCs w:val="21"/>
              </w:rPr>
              <w:t>建设规模</w:t>
            </w:r>
          </w:p>
        </w:tc>
        <w:tc>
          <w:tcPr>
            <w:tcW w:w="6588" w:type="dxa"/>
            <w:vAlign w:val="center"/>
          </w:tcPr>
          <w:p>
            <w:pPr>
              <w:spacing w:line="360" w:lineRule="exact"/>
              <w:jc w:val="center"/>
              <w:rPr>
                <w:rFonts w:eastAsiaTheme="minorEastAsia"/>
                <w:sz w:val="21"/>
                <w:szCs w:val="21"/>
              </w:rPr>
            </w:pPr>
            <w:r>
              <w:rPr>
                <w:rFonts w:eastAsiaTheme="minorEastAsia"/>
                <w:sz w:val="21"/>
                <w:szCs w:val="21"/>
              </w:rPr>
              <w:t>本项目拆除炼钢一厂旧厂房约7000m</w:t>
            </w:r>
            <w:r>
              <w:rPr>
                <w:rFonts w:eastAsiaTheme="minorEastAsia"/>
                <w:sz w:val="21"/>
                <w:szCs w:val="21"/>
                <w:vertAlign w:val="superscript"/>
              </w:rPr>
              <w:t>2</w:t>
            </w:r>
            <w:r>
              <w:rPr>
                <w:rFonts w:eastAsiaTheme="minorEastAsia"/>
                <w:sz w:val="21"/>
                <w:szCs w:val="21"/>
              </w:rPr>
              <w:t>，同时新建厂房约8842m</w:t>
            </w:r>
            <w:r>
              <w:rPr>
                <w:rFonts w:eastAsiaTheme="minorEastAsia"/>
                <w:sz w:val="21"/>
                <w:szCs w:val="21"/>
                <w:vertAlign w:val="superscript"/>
              </w:rPr>
              <w:t>2</w:t>
            </w:r>
            <w:r>
              <w:rPr>
                <w:rFonts w:eastAsiaTheme="minorEastAsia"/>
                <w:sz w:val="21"/>
                <w:szCs w:val="21"/>
              </w:rPr>
              <w:t>，技改后总生产能力保持不变，仍为炼钢10万t/a，</w:t>
            </w:r>
            <w:r>
              <w:rPr>
                <w:rFonts w:hint="eastAsia" w:eastAsiaTheme="minorEastAsia"/>
                <w:sz w:val="21"/>
                <w:szCs w:val="21"/>
              </w:rPr>
              <w:t>技改后产品方案调整为</w:t>
            </w:r>
            <w:r>
              <w:rPr>
                <w:rFonts w:eastAsiaTheme="minorEastAsia"/>
                <w:sz w:val="21"/>
                <w:szCs w:val="21"/>
              </w:rPr>
              <w:t>模铸坯4万t/a、连铸坯6万t/a</w:t>
            </w:r>
          </w:p>
        </w:tc>
      </w:tr>
    </w:tbl>
    <w:p>
      <w:pPr>
        <w:pStyle w:val="3"/>
        <w:numPr>
          <w:ilvl w:val="1"/>
          <w:numId w:val="24"/>
        </w:numPr>
        <w:rPr>
          <w:rFonts w:ascii="Times New Roman" w:hAnsi="Times New Roman"/>
          <w:lang w:eastAsia="zh-CN"/>
        </w:rPr>
      </w:pPr>
      <w:bookmarkStart w:id="97" w:name="_Toc10637146"/>
      <w:r>
        <w:rPr>
          <w:rFonts w:ascii="Times New Roman" w:hAnsi="Times New Roman"/>
          <w:lang w:eastAsia="zh-CN"/>
        </w:rPr>
        <w:t>项目组成</w:t>
      </w:r>
      <w:bookmarkEnd w:id="97"/>
    </w:p>
    <w:p>
      <w:pPr>
        <w:pStyle w:val="4"/>
        <w:rPr>
          <w:rFonts w:ascii="Times New Roman" w:hAnsi="Times New Roman" w:cs="Times New Roman"/>
          <w:spacing w:val="0"/>
          <w:lang w:val="zh-CN"/>
        </w:rPr>
      </w:pPr>
      <w:r>
        <w:rPr>
          <w:rFonts w:hint="eastAsia" w:ascii="Times New Roman" w:hAnsi="Times New Roman" w:cs="Times New Roman"/>
          <w:spacing w:val="0"/>
          <w:lang w:val="zh-CN"/>
        </w:rPr>
        <w:t>项目设冶炼跨、原料跨、辅助跨、精炼浇铸跨、转运跨等</w:t>
      </w:r>
      <w:r>
        <w:rPr>
          <w:rFonts w:hint="eastAsia" w:ascii="Times New Roman" w:hAnsi="Times New Roman" w:cs="Times New Roman"/>
          <w:spacing w:val="0"/>
          <w:szCs w:val="24"/>
          <w:lang w:val="zh-CN"/>
        </w:rPr>
        <w:t>，</w:t>
      </w:r>
      <w:r>
        <w:rPr>
          <w:rFonts w:ascii="Times New Roman" w:hAnsi="Times New Roman" w:cs="Times New Roman"/>
          <w:spacing w:val="0"/>
          <w:lang w:val="zh-CN"/>
        </w:rPr>
        <w:t>项目环保设施包括</w:t>
      </w:r>
      <w:r>
        <w:rPr>
          <w:rFonts w:hint="eastAsia" w:ascii="Times New Roman" w:hAnsi="Times New Roman" w:cs="Times New Roman"/>
          <w:spacing w:val="0"/>
          <w:lang w:val="zh-CN"/>
        </w:rPr>
        <w:t>除尘装置</w:t>
      </w:r>
      <w:r>
        <w:rPr>
          <w:rFonts w:ascii="Times New Roman" w:hAnsi="Times New Roman" w:cs="Times New Roman"/>
          <w:spacing w:val="0"/>
          <w:lang w:val="zh-CN"/>
        </w:rPr>
        <w:t>及噪声防治等，具体内容详见表4-2。</w:t>
      </w:r>
    </w:p>
    <w:p>
      <w:pPr>
        <w:pStyle w:val="313"/>
        <w:tabs>
          <w:tab w:val="clear" w:pos="3908"/>
        </w:tabs>
        <w:ind w:left="1122" w:hanging="561"/>
        <w:rPr>
          <w:rFonts w:ascii="Times New Roman" w:hAnsi="Times New Roman"/>
        </w:rPr>
      </w:pPr>
      <w:r>
        <w:rPr>
          <w:rFonts w:ascii="Times New Roman" w:hAnsi="Times New Roman"/>
        </w:rPr>
        <w:t>项目组成</w:t>
      </w:r>
    </w:p>
    <w:tbl>
      <w:tblPr>
        <w:tblStyle w:val="87"/>
        <w:tblW w:w="8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383"/>
        <w:gridCol w:w="1501"/>
        <w:gridCol w:w="3997"/>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04"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宋体"/>
                <w:sz w:val="21"/>
                <w:szCs w:val="21"/>
              </w:rPr>
            </w:pPr>
            <w:r>
              <w:rPr>
                <w:rFonts w:eastAsia="宋体"/>
                <w:sz w:val="21"/>
                <w:szCs w:val="21"/>
              </w:rPr>
              <w:t>类别</w:t>
            </w:r>
          </w:p>
        </w:tc>
        <w:tc>
          <w:tcPr>
            <w:tcW w:w="5498" w:type="dxa"/>
            <w:gridSpan w:val="2"/>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宋体"/>
                <w:sz w:val="21"/>
                <w:szCs w:val="21"/>
              </w:rPr>
            </w:pPr>
            <w:r>
              <w:rPr>
                <w:rFonts w:eastAsia="宋体"/>
                <w:sz w:val="21"/>
                <w:szCs w:val="21"/>
              </w:rPr>
              <w:t>工程概况</w:t>
            </w:r>
          </w:p>
        </w:tc>
        <w:tc>
          <w:tcPr>
            <w:tcW w:w="127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eastAsia="宋体"/>
                <w:sz w:val="21"/>
                <w:szCs w:val="21"/>
              </w:rPr>
            </w:pPr>
            <w:r>
              <w:rPr>
                <w:rFonts w:eastAsia="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21" w:type="dxa"/>
            <w:vMerge w:val="restart"/>
            <w:vAlign w:val="center"/>
          </w:tcPr>
          <w:p>
            <w:pPr>
              <w:spacing w:line="340" w:lineRule="exact"/>
              <w:jc w:val="center"/>
              <w:rPr>
                <w:rFonts w:eastAsia="宋体"/>
                <w:sz w:val="21"/>
                <w:szCs w:val="21"/>
              </w:rPr>
            </w:pPr>
            <w:r>
              <w:rPr>
                <w:rFonts w:eastAsia="宋体"/>
                <w:sz w:val="21"/>
                <w:szCs w:val="21"/>
              </w:rPr>
              <w:t>主体工程</w:t>
            </w:r>
          </w:p>
        </w:tc>
        <w:tc>
          <w:tcPr>
            <w:tcW w:w="1383" w:type="dxa"/>
            <w:vMerge w:val="restart"/>
            <w:vAlign w:val="center"/>
          </w:tcPr>
          <w:p>
            <w:pPr>
              <w:spacing w:line="340" w:lineRule="exact"/>
              <w:jc w:val="center"/>
              <w:rPr>
                <w:rFonts w:eastAsia="宋体"/>
                <w:sz w:val="21"/>
                <w:szCs w:val="21"/>
              </w:rPr>
            </w:pPr>
            <w:r>
              <w:rPr>
                <w:rFonts w:hint="eastAsia" w:eastAsia="宋体"/>
                <w:sz w:val="21"/>
                <w:szCs w:val="21"/>
              </w:rPr>
              <w:t>炼钢一厂生产车间</w:t>
            </w:r>
          </w:p>
        </w:tc>
        <w:tc>
          <w:tcPr>
            <w:tcW w:w="1501" w:type="dxa"/>
            <w:vAlign w:val="center"/>
          </w:tcPr>
          <w:p>
            <w:pPr>
              <w:spacing w:line="340" w:lineRule="exact"/>
              <w:jc w:val="center"/>
              <w:rPr>
                <w:rFonts w:eastAsia="宋体"/>
                <w:sz w:val="21"/>
                <w:szCs w:val="21"/>
              </w:rPr>
            </w:pPr>
            <w:r>
              <w:rPr>
                <w:rFonts w:hint="eastAsia" w:eastAsia="宋体"/>
                <w:sz w:val="21"/>
                <w:szCs w:val="21"/>
              </w:rPr>
              <w:t>冶炼跨</w:t>
            </w:r>
          </w:p>
        </w:tc>
        <w:tc>
          <w:tcPr>
            <w:tcW w:w="3997" w:type="dxa"/>
            <w:vAlign w:val="center"/>
          </w:tcPr>
          <w:p>
            <w:pPr>
              <w:spacing w:line="340" w:lineRule="exact"/>
              <w:jc w:val="left"/>
              <w:rPr>
                <w:rFonts w:eastAsia="宋体"/>
                <w:sz w:val="21"/>
                <w:szCs w:val="21"/>
              </w:rPr>
            </w:pPr>
            <w:r>
              <w:rPr>
                <w:rFonts w:hint="eastAsia" w:eastAsia="宋体"/>
                <w:sz w:val="21"/>
                <w:szCs w:val="21"/>
              </w:rPr>
              <w:t>利用现有，包括高合金钢高功率电弧炉、30tAOD炉、炉铸区</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21" w:type="dxa"/>
            <w:vMerge w:val="continue"/>
            <w:vAlign w:val="center"/>
          </w:tcPr>
          <w:p>
            <w:pPr>
              <w:spacing w:line="340" w:lineRule="exact"/>
              <w:jc w:val="center"/>
              <w:rPr>
                <w:rFonts w:eastAsia="宋体"/>
                <w:sz w:val="21"/>
                <w:szCs w:val="21"/>
              </w:rPr>
            </w:pPr>
          </w:p>
        </w:tc>
        <w:tc>
          <w:tcPr>
            <w:tcW w:w="1383" w:type="dxa"/>
            <w:vMerge w:val="continue"/>
            <w:vAlign w:val="center"/>
          </w:tcPr>
          <w:p>
            <w:pPr>
              <w:spacing w:line="340" w:lineRule="exact"/>
              <w:jc w:val="center"/>
              <w:rPr>
                <w:rFonts w:eastAsia="宋体"/>
                <w:sz w:val="21"/>
                <w:szCs w:val="21"/>
              </w:rPr>
            </w:pPr>
          </w:p>
        </w:tc>
        <w:tc>
          <w:tcPr>
            <w:tcW w:w="1501" w:type="dxa"/>
            <w:vAlign w:val="center"/>
          </w:tcPr>
          <w:p>
            <w:pPr>
              <w:spacing w:line="340" w:lineRule="exact"/>
              <w:jc w:val="center"/>
              <w:rPr>
                <w:rFonts w:eastAsia="宋体"/>
                <w:sz w:val="21"/>
                <w:szCs w:val="21"/>
              </w:rPr>
            </w:pPr>
            <w:r>
              <w:rPr>
                <w:rFonts w:hint="eastAsia" w:eastAsia="宋体"/>
                <w:sz w:val="21"/>
                <w:szCs w:val="21"/>
              </w:rPr>
              <w:t>精炼浇铸跨(A-B)1-9柱</w:t>
            </w:r>
          </w:p>
        </w:tc>
        <w:tc>
          <w:tcPr>
            <w:tcW w:w="3997" w:type="dxa"/>
            <w:vAlign w:val="center"/>
          </w:tcPr>
          <w:p>
            <w:pPr>
              <w:spacing w:line="340" w:lineRule="exact"/>
              <w:jc w:val="left"/>
              <w:rPr>
                <w:rFonts w:eastAsia="宋体"/>
                <w:sz w:val="21"/>
                <w:szCs w:val="21"/>
              </w:rPr>
            </w:pPr>
            <w:r>
              <w:rPr>
                <w:rFonts w:hint="eastAsia" w:eastAsia="宋体"/>
                <w:sz w:val="21"/>
                <w:szCs w:val="21"/>
              </w:rPr>
              <w:t>包括连铸区、30t平板车。长96m、宽28m，轨面标高2</w:t>
            </w:r>
            <w:r>
              <w:rPr>
                <w:rFonts w:eastAsia="宋体"/>
                <w:sz w:val="21"/>
                <w:szCs w:val="21"/>
              </w:rPr>
              <w:t>2.5</w:t>
            </w:r>
            <w:r>
              <w:rPr>
                <w:rFonts w:hint="eastAsia" w:eastAsia="宋体"/>
                <w:sz w:val="21"/>
                <w:szCs w:val="21"/>
              </w:rPr>
              <w:t>m，跨间面积2688m</w:t>
            </w:r>
            <w:r>
              <w:rPr>
                <w:rFonts w:hint="eastAsia" w:eastAsia="宋体"/>
                <w:sz w:val="21"/>
                <w:szCs w:val="21"/>
                <w:vertAlign w:val="superscript"/>
              </w:rPr>
              <w:t>2</w:t>
            </w:r>
            <w:r>
              <w:rPr>
                <w:rFonts w:hint="eastAsia" w:eastAsia="宋体"/>
                <w:sz w:val="21"/>
                <w:szCs w:val="21"/>
              </w:rPr>
              <w:t>，配置1</w:t>
            </w:r>
            <w:r>
              <w:rPr>
                <w:rFonts w:hint="eastAsia" w:ascii="宋体" w:hAnsi="宋体" w:eastAsia="宋体"/>
                <w:sz w:val="21"/>
                <w:szCs w:val="21"/>
              </w:rPr>
              <w:t>×</w:t>
            </w:r>
            <w:r>
              <w:rPr>
                <w:rFonts w:hint="eastAsia" w:eastAsia="宋体"/>
                <w:sz w:val="21"/>
                <w:szCs w:val="21"/>
              </w:rPr>
              <w:t>60/20t的铸造起重机、1</w:t>
            </w:r>
            <w:r>
              <w:rPr>
                <w:rFonts w:hint="eastAsia" w:ascii="宋体" w:hAnsi="宋体" w:eastAsia="宋体"/>
                <w:sz w:val="21"/>
                <w:szCs w:val="21"/>
              </w:rPr>
              <w:t>×</w:t>
            </w:r>
            <w:r>
              <w:rPr>
                <w:rFonts w:hint="eastAsia" w:eastAsia="宋体"/>
                <w:sz w:val="21"/>
                <w:szCs w:val="21"/>
              </w:rPr>
              <w:t>32/10t的桥式起重机</w:t>
            </w:r>
          </w:p>
        </w:tc>
        <w:tc>
          <w:tcPr>
            <w:tcW w:w="1272" w:type="dxa"/>
            <w:vAlign w:val="center"/>
          </w:tcPr>
          <w:p>
            <w:pPr>
              <w:spacing w:line="340" w:lineRule="exact"/>
              <w:jc w:val="center"/>
              <w:rPr>
                <w:rFonts w:eastAsia="宋体"/>
                <w:sz w:val="21"/>
                <w:szCs w:val="21"/>
              </w:rPr>
            </w:pPr>
            <w:r>
              <w:rPr>
                <w:rFonts w:hint="eastAsia" w:eastAsia="宋体"/>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521" w:type="dxa"/>
            <w:vMerge w:val="continue"/>
            <w:vAlign w:val="center"/>
          </w:tcPr>
          <w:p>
            <w:pPr>
              <w:spacing w:line="340" w:lineRule="exact"/>
              <w:jc w:val="center"/>
              <w:rPr>
                <w:rFonts w:eastAsia="宋体"/>
                <w:sz w:val="21"/>
                <w:szCs w:val="21"/>
              </w:rPr>
            </w:pPr>
          </w:p>
        </w:tc>
        <w:tc>
          <w:tcPr>
            <w:tcW w:w="1383" w:type="dxa"/>
            <w:vMerge w:val="continue"/>
            <w:vAlign w:val="center"/>
          </w:tcPr>
          <w:p>
            <w:pPr>
              <w:spacing w:line="340" w:lineRule="exact"/>
              <w:jc w:val="center"/>
              <w:rPr>
                <w:rFonts w:eastAsia="宋体"/>
                <w:sz w:val="21"/>
                <w:szCs w:val="21"/>
              </w:rPr>
            </w:pPr>
          </w:p>
        </w:tc>
        <w:tc>
          <w:tcPr>
            <w:tcW w:w="1501" w:type="dxa"/>
            <w:vAlign w:val="center"/>
          </w:tcPr>
          <w:p>
            <w:pPr>
              <w:spacing w:line="340" w:lineRule="exact"/>
              <w:jc w:val="center"/>
              <w:rPr>
                <w:rFonts w:eastAsia="宋体"/>
                <w:sz w:val="21"/>
                <w:szCs w:val="21"/>
              </w:rPr>
            </w:pPr>
            <w:r>
              <w:rPr>
                <w:rFonts w:hint="eastAsia" w:eastAsia="宋体"/>
                <w:sz w:val="21"/>
                <w:szCs w:val="21"/>
              </w:rPr>
              <w:t>精炼浇铸跨(A-B)9-13柱</w:t>
            </w:r>
          </w:p>
        </w:tc>
        <w:tc>
          <w:tcPr>
            <w:tcW w:w="3997" w:type="dxa"/>
            <w:vAlign w:val="center"/>
          </w:tcPr>
          <w:p>
            <w:pPr>
              <w:spacing w:line="340" w:lineRule="exact"/>
              <w:jc w:val="left"/>
              <w:rPr>
                <w:rFonts w:eastAsia="宋体"/>
                <w:sz w:val="21"/>
                <w:szCs w:val="21"/>
              </w:rPr>
            </w:pPr>
            <w:r>
              <w:rPr>
                <w:rFonts w:hint="eastAsia" w:eastAsia="宋体"/>
                <w:sz w:val="21"/>
                <w:szCs w:val="21"/>
              </w:rPr>
              <w:t>包括30tVD炉、模铸区。长60m、宽28m，轨面标高12m，跨间面积1680m</w:t>
            </w:r>
            <w:r>
              <w:rPr>
                <w:rFonts w:hint="eastAsia" w:eastAsia="宋体"/>
                <w:sz w:val="21"/>
                <w:szCs w:val="21"/>
                <w:vertAlign w:val="superscript"/>
              </w:rPr>
              <w:t>2</w:t>
            </w:r>
            <w:r>
              <w:rPr>
                <w:rFonts w:hint="eastAsia" w:eastAsia="宋体"/>
                <w:sz w:val="21"/>
                <w:szCs w:val="21"/>
              </w:rPr>
              <w:t>，配置1</w:t>
            </w:r>
            <w:r>
              <w:rPr>
                <w:rFonts w:hint="eastAsia" w:ascii="宋体" w:hAnsi="宋体" w:eastAsia="宋体"/>
                <w:sz w:val="21"/>
                <w:szCs w:val="21"/>
              </w:rPr>
              <w:t>×</w:t>
            </w:r>
            <w:r>
              <w:rPr>
                <w:rFonts w:hint="eastAsia" w:eastAsia="宋体"/>
                <w:sz w:val="21"/>
                <w:szCs w:val="21"/>
              </w:rPr>
              <w:t>32/10t的桥式起重机</w:t>
            </w:r>
          </w:p>
        </w:tc>
        <w:tc>
          <w:tcPr>
            <w:tcW w:w="1272" w:type="dxa"/>
            <w:vAlign w:val="center"/>
          </w:tcPr>
          <w:p>
            <w:pPr>
              <w:spacing w:line="340" w:lineRule="exact"/>
              <w:jc w:val="center"/>
              <w:rPr>
                <w:rFonts w:eastAsia="宋体"/>
                <w:sz w:val="21"/>
                <w:szCs w:val="21"/>
              </w:rPr>
            </w:pPr>
            <w:r>
              <w:rPr>
                <w:rFonts w:hint="eastAsia" w:eastAsia="宋体"/>
                <w:sz w:val="21"/>
                <w:szCs w:val="21"/>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restart"/>
            <w:vAlign w:val="center"/>
          </w:tcPr>
          <w:p>
            <w:pPr>
              <w:spacing w:line="340" w:lineRule="exact"/>
              <w:jc w:val="center"/>
              <w:rPr>
                <w:rFonts w:eastAsia="宋体"/>
                <w:sz w:val="21"/>
                <w:szCs w:val="21"/>
              </w:rPr>
            </w:pPr>
            <w:r>
              <w:rPr>
                <w:rFonts w:eastAsia="宋体"/>
                <w:sz w:val="21"/>
                <w:szCs w:val="21"/>
              </w:rPr>
              <w:t>辅助工程</w:t>
            </w:r>
          </w:p>
        </w:tc>
        <w:tc>
          <w:tcPr>
            <w:tcW w:w="1383" w:type="dxa"/>
            <w:vAlign w:val="center"/>
          </w:tcPr>
          <w:p>
            <w:pPr>
              <w:spacing w:line="340" w:lineRule="exact"/>
              <w:jc w:val="center"/>
              <w:rPr>
                <w:rFonts w:eastAsia="宋体"/>
                <w:sz w:val="21"/>
                <w:szCs w:val="21"/>
              </w:rPr>
            </w:pPr>
            <w:r>
              <w:rPr>
                <w:rFonts w:hint="eastAsia" w:eastAsia="宋体"/>
                <w:sz w:val="21"/>
                <w:szCs w:val="21"/>
              </w:rPr>
              <w:t>原料及钢包准备跨</w:t>
            </w:r>
          </w:p>
        </w:tc>
        <w:tc>
          <w:tcPr>
            <w:tcW w:w="5498" w:type="dxa"/>
            <w:gridSpan w:val="2"/>
            <w:vAlign w:val="center"/>
          </w:tcPr>
          <w:p>
            <w:pPr>
              <w:spacing w:line="340" w:lineRule="exact"/>
              <w:jc w:val="left"/>
              <w:rPr>
                <w:rFonts w:eastAsia="宋体"/>
                <w:sz w:val="21"/>
                <w:szCs w:val="21"/>
              </w:rPr>
            </w:pPr>
            <w:r>
              <w:rPr>
                <w:rFonts w:hint="eastAsia" w:eastAsia="宋体"/>
                <w:sz w:val="21"/>
                <w:szCs w:val="21"/>
              </w:rPr>
              <w:t>利用现有，包括烘包区、修包区、合金堆放区、原料区</w:t>
            </w:r>
          </w:p>
        </w:tc>
        <w:tc>
          <w:tcPr>
            <w:tcW w:w="1272" w:type="dxa"/>
            <w:vAlign w:val="center"/>
          </w:tcPr>
          <w:p>
            <w:pPr>
              <w:spacing w:line="340" w:lineRule="exact"/>
              <w:jc w:val="center"/>
              <w:rPr>
                <w:rFonts w:eastAsia="宋体"/>
                <w:sz w:val="21"/>
                <w:szCs w:val="21"/>
              </w:rPr>
            </w:pPr>
            <w:r>
              <w:rPr>
                <w:rFonts w:hint="eastAsia" w:eastAsia="宋体"/>
                <w:sz w:val="21"/>
                <w:szCs w:val="21"/>
              </w:rPr>
              <w:t>依托现有(原料跨)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hint="eastAsia" w:eastAsia="宋体"/>
                <w:sz w:val="21"/>
                <w:szCs w:val="21"/>
              </w:rPr>
              <w:t>辅助跨</w:t>
            </w:r>
          </w:p>
        </w:tc>
        <w:tc>
          <w:tcPr>
            <w:tcW w:w="5498" w:type="dxa"/>
            <w:gridSpan w:val="2"/>
            <w:vAlign w:val="center"/>
          </w:tcPr>
          <w:p>
            <w:pPr>
              <w:spacing w:line="340" w:lineRule="exact"/>
              <w:jc w:val="left"/>
              <w:rPr>
                <w:rFonts w:eastAsia="宋体"/>
                <w:sz w:val="21"/>
                <w:szCs w:val="21"/>
              </w:rPr>
            </w:pPr>
            <w:r>
              <w:rPr>
                <w:rFonts w:hint="eastAsia" w:eastAsia="宋体"/>
                <w:sz w:val="21"/>
                <w:szCs w:val="21"/>
              </w:rPr>
              <w:t>包括移位</w:t>
            </w:r>
            <w:r>
              <w:rPr>
                <w:rFonts w:eastAsia="宋体"/>
                <w:sz w:val="21"/>
                <w:szCs w:val="21"/>
              </w:rPr>
              <w:t>的</w:t>
            </w:r>
            <w:r>
              <w:rPr>
                <w:rFonts w:hint="eastAsia" w:eastAsia="宋体"/>
                <w:sz w:val="21"/>
                <w:szCs w:val="21"/>
              </w:rPr>
              <w:t>30tLF炉、VD炉的真空泵房，长156m、宽10.15m，轨面标高9m，跨间面积1583.4m</w:t>
            </w:r>
            <w:r>
              <w:rPr>
                <w:rFonts w:hint="eastAsia" w:eastAsia="宋体"/>
                <w:sz w:val="21"/>
                <w:szCs w:val="21"/>
                <w:vertAlign w:val="superscript"/>
              </w:rPr>
              <w:t>2</w:t>
            </w:r>
            <w:r>
              <w:rPr>
                <w:rFonts w:hint="eastAsia" w:eastAsia="宋体"/>
                <w:sz w:val="21"/>
                <w:szCs w:val="21"/>
              </w:rPr>
              <w:t>，配置1</w:t>
            </w:r>
            <w:r>
              <w:rPr>
                <w:rFonts w:hint="eastAsia" w:ascii="宋体" w:hAnsi="宋体" w:eastAsia="宋体"/>
                <w:sz w:val="21"/>
                <w:szCs w:val="21"/>
              </w:rPr>
              <w:t>×</w:t>
            </w:r>
            <w:r>
              <w:rPr>
                <w:rFonts w:hint="eastAsia" w:eastAsia="宋体"/>
                <w:sz w:val="21"/>
                <w:szCs w:val="21"/>
              </w:rPr>
              <w:t>10t 、1</w:t>
            </w:r>
            <w:r>
              <w:rPr>
                <w:rFonts w:hint="eastAsia" w:ascii="宋体" w:hAnsi="宋体" w:eastAsia="宋体"/>
                <w:sz w:val="21"/>
                <w:szCs w:val="21"/>
              </w:rPr>
              <w:t>×</w:t>
            </w:r>
            <w:r>
              <w:rPr>
                <w:rFonts w:hint="eastAsia" w:eastAsia="宋体"/>
                <w:sz w:val="21"/>
                <w:szCs w:val="21"/>
              </w:rPr>
              <w:t>5t的半龙门吊</w:t>
            </w:r>
          </w:p>
        </w:tc>
        <w:tc>
          <w:tcPr>
            <w:tcW w:w="1272" w:type="dxa"/>
            <w:vAlign w:val="center"/>
          </w:tcPr>
          <w:p>
            <w:pPr>
              <w:spacing w:line="340" w:lineRule="exact"/>
              <w:jc w:val="center"/>
              <w:rPr>
                <w:rFonts w:eastAsia="宋体"/>
                <w:sz w:val="21"/>
                <w:szCs w:val="21"/>
              </w:rPr>
            </w:pPr>
            <w:r>
              <w:rPr>
                <w:rFonts w:hint="eastAsia" w:eastAsia="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hint="eastAsia" w:eastAsia="宋体"/>
                <w:sz w:val="21"/>
                <w:szCs w:val="21"/>
              </w:rPr>
              <w:t>转运跨</w:t>
            </w:r>
          </w:p>
        </w:tc>
        <w:tc>
          <w:tcPr>
            <w:tcW w:w="5498" w:type="dxa"/>
            <w:gridSpan w:val="2"/>
            <w:vAlign w:val="center"/>
          </w:tcPr>
          <w:p>
            <w:pPr>
              <w:spacing w:line="340" w:lineRule="exact"/>
              <w:jc w:val="left"/>
              <w:rPr>
                <w:rFonts w:eastAsia="宋体"/>
                <w:sz w:val="21"/>
                <w:szCs w:val="21"/>
              </w:rPr>
            </w:pPr>
            <w:r>
              <w:rPr>
                <w:rFonts w:hint="eastAsia" w:eastAsia="宋体"/>
                <w:sz w:val="21"/>
                <w:szCs w:val="21"/>
              </w:rPr>
              <w:t>利用现有，长36m、宽18.9m，轨面标高12m，跨间面积680.4m</w:t>
            </w:r>
            <w:r>
              <w:rPr>
                <w:rFonts w:hint="eastAsia" w:eastAsia="宋体"/>
                <w:sz w:val="21"/>
                <w:szCs w:val="21"/>
                <w:vertAlign w:val="superscript"/>
              </w:rPr>
              <w:t>2</w:t>
            </w:r>
            <w:r>
              <w:rPr>
                <w:rFonts w:hint="eastAsia" w:eastAsia="宋体"/>
                <w:sz w:val="21"/>
                <w:szCs w:val="21"/>
              </w:rPr>
              <w:t>，配置1</w:t>
            </w:r>
            <w:r>
              <w:rPr>
                <w:rFonts w:hint="eastAsia" w:ascii="宋体" w:hAnsi="宋体" w:eastAsia="宋体"/>
                <w:sz w:val="21"/>
                <w:szCs w:val="21"/>
              </w:rPr>
              <w:t>×</w:t>
            </w:r>
            <w:r>
              <w:rPr>
                <w:rFonts w:hint="eastAsia" w:eastAsia="宋体"/>
                <w:sz w:val="21"/>
                <w:szCs w:val="21"/>
              </w:rPr>
              <w:t>20t的起重机</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成品库房</w:t>
            </w:r>
          </w:p>
        </w:tc>
        <w:tc>
          <w:tcPr>
            <w:tcW w:w="5498" w:type="dxa"/>
            <w:gridSpan w:val="2"/>
            <w:vAlign w:val="center"/>
          </w:tcPr>
          <w:p>
            <w:pPr>
              <w:spacing w:line="340" w:lineRule="exact"/>
              <w:jc w:val="left"/>
              <w:rPr>
                <w:rFonts w:eastAsia="宋体"/>
                <w:sz w:val="21"/>
                <w:szCs w:val="21"/>
              </w:rPr>
            </w:pPr>
            <w:r>
              <w:rPr>
                <w:rFonts w:hint="eastAsia" w:eastAsia="宋体"/>
                <w:sz w:val="21"/>
                <w:szCs w:val="21"/>
              </w:rPr>
              <w:t>建筑面积1200m</w:t>
            </w:r>
            <w:r>
              <w:rPr>
                <w:rFonts w:hint="eastAsia" w:eastAsia="宋体"/>
                <w:sz w:val="21"/>
                <w:szCs w:val="21"/>
                <w:vertAlign w:val="superscript"/>
              </w:rPr>
              <w:t>2</w:t>
            </w:r>
            <w:r>
              <w:rPr>
                <w:rFonts w:hint="eastAsia" w:eastAsia="宋体"/>
                <w:sz w:val="21"/>
                <w:szCs w:val="21"/>
              </w:rPr>
              <w:t>，位于5#仓库</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hint="eastAsia" w:eastAsia="宋体"/>
                <w:sz w:val="21"/>
                <w:szCs w:val="21"/>
              </w:rPr>
              <w:t>制氧车间</w:t>
            </w:r>
          </w:p>
        </w:tc>
        <w:tc>
          <w:tcPr>
            <w:tcW w:w="5498" w:type="dxa"/>
            <w:gridSpan w:val="2"/>
            <w:vAlign w:val="center"/>
          </w:tcPr>
          <w:p>
            <w:pPr>
              <w:spacing w:line="340" w:lineRule="exact"/>
              <w:jc w:val="left"/>
              <w:rPr>
                <w:rFonts w:eastAsia="宋体"/>
                <w:sz w:val="21"/>
                <w:szCs w:val="21"/>
                <w:lang w:val="zh-CN"/>
              </w:rPr>
            </w:pPr>
            <w:r>
              <w:rPr>
                <w:rFonts w:hint="eastAsia" w:eastAsia="宋体"/>
                <w:sz w:val="21"/>
                <w:szCs w:val="21"/>
              </w:rPr>
              <w:t>位于敢山东路东侧地块，现有氧气制备能力为1500万Nm</w:t>
            </w:r>
            <w:r>
              <w:rPr>
                <w:rFonts w:hint="eastAsia" w:eastAsia="宋体"/>
                <w:sz w:val="21"/>
                <w:szCs w:val="21"/>
                <w:vertAlign w:val="superscript"/>
              </w:rPr>
              <w:t>3</w:t>
            </w:r>
            <w:r>
              <w:rPr>
                <w:rFonts w:hint="eastAsia" w:eastAsia="宋体"/>
                <w:sz w:val="21"/>
                <w:szCs w:val="21"/>
              </w:rPr>
              <w:t>/a、氮气制备能力为1000万Nm</w:t>
            </w:r>
            <w:r>
              <w:rPr>
                <w:rFonts w:hint="eastAsia" w:eastAsia="宋体"/>
                <w:sz w:val="21"/>
                <w:szCs w:val="21"/>
                <w:vertAlign w:val="superscript"/>
              </w:rPr>
              <w:t>3</w:t>
            </w:r>
            <w:r>
              <w:rPr>
                <w:rFonts w:hint="eastAsia" w:eastAsia="宋体"/>
                <w:sz w:val="21"/>
                <w:szCs w:val="21"/>
              </w:rPr>
              <w:t>/a。本项目新增一台1000m</w:t>
            </w:r>
            <w:r>
              <w:rPr>
                <w:rFonts w:hint="eastAsia" w:eastAsia="宋体"/>
                <w:sz w:val="21"/>
                <w:szCs w:val="21"/>
                <w:vertAlign w:val="superscript"/>
              </w:rPr>
              <w:t>3</w:t>
            </w:r>
            <w:r>
              <w:rPr>
                <w:rFonts w:hint="eastAsia" w:eastAsia="宋体"/>
                <w:sz w:val="21"/>
                <w:szCs w:val="21"/>
              </w:rPr>
              <w:t>制氧空分机组，预计氧气制备能力为1000万Nm</w:t>
            </w:r>
            <w:r>
              <w:rPr>
                <w:rFonts w:hint="eastAsia" w:eastAsia="宋体"/>
                <w:sz w:val="21"/>
                <w:szCs w:val="21"/>
                <w:vertAlign w:val="superscript"/>
              </w:rPr>
              <w:t>3</w:t>
            </w:r>
            <w:r>
              <w:rPr>
                <w:rFonts w:hint="eastAsia" w:eastAsia="宋体"/>
                <w:sz w:val="21"/>
                <w:szCs w:val="21"/>
              </w:rPr>
              <w:t>/a、氮气制备能力为2000万Nm</w:t>
            </w:r>
            <w:r>
              <w:rPr>
                <w:rFonts w:hint="eastAsia" w:eastAsia="宋体"/>
                <w:sz w:val="21"/>
                <w:szCs w:val="21"/>
                <w:vertAlign w:val="superscript"/>
              </w:rPr>
              <w:t>3</w:t>
            </w:r>
            <w:r>
              <w:rPr>
                <w:rFonts w:hint="eastAsia" w:eastAsia="宋体"/>
                <w:sz w:val="21"/>
                <w:szCs w:val="21"/>
              </w:rPr>
              <w:t>/a</w:t>
            </w:r>
          </w:p>
        </w:tc>
        <w:tc>
          <w:tcPr>
            <w:tcW w:w="1272" w:type="dxa"/>
            <w:vAlign w:val="center"/>
          </w:tcPr>
          <w:p>
            <w:pPr>
              <w:spacing w:line="340" w:lineRule="exact"/>
              <w:jc w:val="center"/>
              <w:rPr>
                <w:rFonts w:eastAsia="宋体"/>
                <w:sz w:val="21"/>
                <w:szCs w:val="21"/>
              </w:rPr>
            </w:pPr>
            <w:r>
              <w:rPr>
                <w:rFonts w:hint="eastAsia" w:eastAsiaTheme="minorEastAsia"/>
                <w:sz w:val="21"/>
                <w:szCs w:val="21"/>
              </w:rPr>
              <w:t>新增一套1000m</w:t>
            </w:r>
            <w:r>
              <w:rPr>
                <w:rFonts w:hint="eastAsia" w:eastAsiaTheme="minorEastAsia"/>
                <w:sz w:val="21"/>
                <w:szCs w:val="21"/>
                <w:vertAlign w:val="superscript"/>
              </w:rPr>
              <w:t>3</w:t>
            </w:r>
            <w:r>
              <w:rPr>
                <w:rFonts w:hint="eastAsia" w:eastAsiaTheme="minorEastAsia"/>
                <w:sz w:val="21"/>
                <w:szCs w:val="21"/>
              </w:rPr>
              <w:t>制氧空分机组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办公区</w:t>
            </w:r>
          </w:p>
        </w:tc>
        <w:tc>
          <w:tcPr>
            <w:tcW w:w="5498" w:type="dxa"/>
            <w:gridSpan w:val="2"/>
            <w:vAlign w:val="center"/>
          </w:tcPr>
          <w:p>
            <w:pPr>
              <w:spacing w:line="340" w:lineRule="exact"/>
              <w:jc w:val="left"/>
              <w:rPr>
                <w:rFonts w:eastAsia="宋体"/>
                <w:sz w:val="21"/>
                <w:szCs w:val="21"/>
              </w:rPr>
            </w:pPr>
            <w:r>
              <w:rPr>
                <w:rFonts w:hint="eastAsia" w:eastAsia="宋体"/>
                <w:sz w:val="21"/>
                <w:szCs w:val="21"/>
              </w:rPr>
              <w:t>依托现有，位于厂区东南角</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食宿</w:t>
            </w:r>
          </w:p>
        </w:tc>
        <w:tc>
          <w:tcPr>
            <w:tcW w:w="5498" w:type="dxa"/>
            <w:gridSpan w:val="2"/>
            <w:vAlign w:val="center"/>
          </w:tcPr>
          <w:p>
            <w:pPr>
              <w:spacing w:line="340" w:lineRule="exact"/>
              <w:jc w:val="left"/>
              <w:rPr>
                <w:rFonts w:eastAsia="宋体"/>
                <w:sz w:val="21"/>
                <w:szCs w:val="21"/>
              </w:rPr>
            </w:pPr>
            <w:r>
              <w:rPr>
                <w:rFonts w:eastAsia="宋体"/>
                <w:sz w:val="21"/>
                <w:szCs w:val="21"/>
              </w:rPr>
              <w:t>本项目</w:t>
            </w:r>
            <w:r>
              <w:rPr>
                <w:rFonts w:hint="eastAsia" w:eastAsia="宋体"/>
                <w:sz w:val="21"/>
                <w:szCs w:val="21"/>
              </w:rPr>
              <w:t>不</w:t>
            </w:r>
            <w:r>
              <w:rPr>
                <w:rFonts w:eastAsia="宋体"/>
                <w:sz w:val="21"/>
                <w:szCs w:val="21"/>
              </w:rPr>
              <w:t>设食堂</w:t>
            </w:r>
            <w:r>
              <w:rPr>
                <w:rFonts w:hint="eastAsia" w:eastAsia="宋体"/>
                <w:sz w:val="21"/>
                <w:szCs w:val="21"/>
              </w:rPr>
              <w:t>，不设</w:t>
            </w:r>
            <w:r>
              <w:rPr>
                <w:rFonts w:eastAsia="宋体"/>
                <w:sz w:val="21"/>
                <w:szCs w:val="21"/>
              </w:rPr>
              <w:t>住宿</w:t>
            </w:r>
            <w:r>
              <w:rPr>
                <w:rFonts w:hint="eastAsia" w:eastAsia="宋体"/>
                <w:sz w:val="21"/>
                <w:szCs w:val="21"/>
              </w:rPr>
              <w:t>，员工就餐依托现有食堂，食堂位于办公楼西侧</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restart"/>
            <w:vAlign w:val="center"/>
          </w:tcPr>
          <w:p>
            <w:pPr>
              <w:spacing w:line="340" w:lineRule="exact"/>
              <w:ind w:left="-149" w:leftChars="-53" w:right="-113" w:rightChars="-40"/>
              <w:jc w:val="center"/>
              <w:rPr>
                <w:rFonts w:eastAsia="宋体"/>
                <w:sz w:val="21"/>
                <w:szCs w:val="21"/>
              </w:rPr>
            </w:pPr>
            <w:r>
              <w:rPr>
                <w:rFonts w:eastAsia="宋体"/>
                <w:sz w:val="21"/>
                <w:szCs w:val="21"/>
              </w:rPr>
              <w:t>公用工程</w:t>
            </w:r>
          </w:p>
        </w:tc>
        <w:tc>
          <w:tcPr>
            <w:tcW w:w="1383" w:type="dxa"/>
            <w:vAlign w:val="center"/>
          </w:tcPr>
          <w:p>
            <w:pPr>
              <w:spacing w:line="340" w:lineRule="exact"/>
              <w:jc w:val="center"/>
              <w:rPr>
                <w:rFonts w:eastAsia="宋体"/>
                <w:sz w:val="21"/>
                <w:szCs w:val="21"/>
              </w:rPr>
            </w:pPr>
            <w:r>
              <w:rPr>
                <w:rFonts w:eastAsia="宋体"/>
                <w:sz w:val="21"/>
                <w:szCs w:val="21"/>
              </w:rPr>
              <w:t>供水系统</w:t>
            </w:r>
          </w:p>
        </w:tc>
        <w:tc>
          <w:tcPr>
            <w:tcW w:w="5498" w:type="dxa"/>
            <w:gridSpan w:val="2"/>
            <w:vAlign w:val="center"/>
          </w:tcPr>
          <w:p>
            <w:pPr>
              <w:spacing w:line="340" w:lineRule="exact"/>
              <w:jc w:val="left"/>
              <w:rPr>
                <w:rFonts w:eastAsia="宋体"/>
                <w:sz w:val="21"/>
                <w:szCs w:val="21"/>
              </w:rPr>
            </w:pPr>
            <w:r>
              <w:rPr>
                <w:rFonts w:eastAsia="宋体"/>
                <w:sz w:val="21"/>
                <w:szCs w:val="21"/>
              </w:rPr>
              <w:t>由</w:t>
            </w:r>
            <w:r>
              <w:rPr>
                <w:rFonts w:hint="eastAsia" w:eastAsia="宋体"/>
                <w:sz w:val="21"/>
                <w:szCs w:val="21"/>
              </w:rPr>
              <w:t>湖州</w:t>
            </w:r>
            <w:r>
              <w:rPr>
                <w:rFonts w:eastAsia="宋体"/>
                <w:sz w:val="21"/>
                <w:szCs w:val="21"/>
              </w:rPr>
              <w:t>市</w:t>
            </w:r>
            <w:r>
              <w:rPr>
                <w:rFonts w:hint="eastAsia" w:eastAsia="宋体"/>
                <w:sz w:val="21"/>
                <w:szCs w:val="21"/>
              </w:rPr>
              <w:t>经济技术开发区</w:t>
            </w:r>
            <w:r>
              <w:rPr>
                <w:rFonts w:eastAsia="宋体"/>
                <w:sz w:val="21"/>
                <w:szCs w:val="21"/>
              </w:rPr>
              <w:t>政供水网供应</w:t>
            </w:r>
            <w:r>
              <w:rPr>
                <w:rFonts w:hint="eastAsia" w:eastAsia="宋体"/>
                <w:sz w:val="21"/>
                <w:szCs w:val="21"/>
              </w:rPr>
              <w:t>，厂内给水依托现有给水管网。</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排水系统</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企业排水采用雨污分流、清污分流制，雨水经雨水管道收集后排入附近市政雨水管网；</w:t>
            </w:r>
            <w:r>
              <w:rPr>
                <w:rFonts w:hint="eastAsia" w:eastAsiaTheme="minorEastAsia"/>
                <w:sz w:val="21"/>
                <w:szCs w:val="21"/>
              </w:rPr>
              <w:t>项目</w:t>
            </w:r>
            <w:r>
              <w:rPr>
                <w:rFonts w:eastAsiaTheme="minorEastAsia"/>
                <w:sz w:val="21"/>
                <w:szCs w:val="21"/>
              </w:rPr>
              <w:t>无</w:t>
            </w:r>
            <w:r>
              <w:rPr>
                <w:rFonts w:hint="eastAsia" w:eastAsiaTheme="minorEastAsia"/>
                <w:sz w:val="21"/>
                <w:szCs w:val="21"/>
              </w:rPr>
              <w:t>废水</w:t>
            </w:r>
            <w:r>
              <w:rPr>
                <w:rFonts w:eastAsiaTheme="minorEastAsia"/>
                <w:sz w:val="21"/>
                <w:szCs w:val="21"/>
              </w:rPr>
              <w:t>排放，企业现状生产废水及生活污水预处理达标后纳入市政截污管网，由凤凰污水处理厂处理后排放。</w:t>
            </w:r>
          </w:p>
        </w:tc>
        <w:tc>
          <w:tcPr>
            <w:tcW w:w="1272" w:type="dxa"/>
            <w:vAlign w:val="center"/>
          </w:tcPr>
          <w:p>
            <w:pPr>
              <w:spacing w:line="340" w:lineRule="exact"/>
              <w:jc w:val="center"/>
              <w:rPr>
                <w:rFonts w:eastAsiaTheme="minorEastAsia"/>
                <w:sz w:val="21"/>
                <w:szCs w:val="21"/>
              </w:rPr>
            </w:pPr>
            <w:r>
              <w:rPr>
                <w:rFonts w:eastAsiaTheme="minorEastAsia"/>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供电系统</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企业用电由湖州市经济技术开发区供电所提供。本工程一路LF炉35kV电源以及一路6kV电源均引自现有110/35kV总降变电所。本项目本次总装机容量为3686kW，总计算负荷约3121kVA，均为低压380V负荷</w:t>
            </w:r>
          </w:p>
        </w:tc>
        <w:tc>
          <w:tcPr>
            <w:tcW w:w="1272" w:type="dxa"/>
            <w:vAlign w:val="center"/>
          </w:tcPr>
          <w:p>
            <w:pPr>
              <w:spacing w:line="340" w:lineRule="exact"/>
              <w:jc w:val="center"/>
              <w:rPr>
                <w:rFonts w:eastAsiaTheme="minorEastAsia"/>
                <w:sz w:val="21"/>
                <w:szCs w:val="21"/>
              </w:rPr>
            </w:pPr>
            <w:r>
              <w:rPr>
                <w:rFonts w:eastAsiaTheme="minorEastAsia"/>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压缩空气</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项目新增用气负荷1.92 Nm</w:t>
            </w:r>
            <w:r>
              <w:rPr>
                <w:rFonts w:eastAsiaTheme="minorEastAsia"/>
                <w:sz w:val="21"/>
                <w:szCs w:val="21"/>
                <w:vertAlign w:val="superscript"/>
              </w:rPr>
              <w:t>3</w:t>
            </w:r>
            <w:r>
              <w:rPr>
                <w:rFonts w:eastAsiaTheme="minorEastAsia"/>
                <w:sz w:val="21"/>
                <w:szCs w:val="21"/>
              </w:rPr>
              <w:t>/min，</w:t>
            </w:r>
            <w:r>
              <w:rPr>
                <w:rFonts w:hint="eastAsia" w:eastAsiaTheme="minorEastAsia"/>
                <w:sz w:val="21"/>
                <w:szCs w:val="21"/>
              </w:rPr>
              <w:t>均外购。</w:t>
            </w:r>
          </w:p>
        </w:tc>
        <w:tc>
          <w:tcPr>
            <w:tcW w:w="1272" w:type="dxa"/>
            <w:vAlign w:val="center"/>
          </w:tcPr>
          <w:p>
            <w:pPr>
              <w:spacing w:line="340" w:lineRule="exact"/>
              <w:jc w:val="center"/>
              <w:rPr>
                <w:rFonts w:eastAsiaTheme="minorEastAsia"/>
                <w:sz w:val="21"/>
                <w:szCs w:val="21"/>
              </w:rPr>
            </w:pPr>
            <w:r>
              <w:rPr>
                <w:rFonts w:eastAsiaTheme="minorEastAsia"/>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天然气</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项目天然气用户平均用量为508Nm</w:t>
            </w:r>
            <w:r>
              <w:rPr>
                <w:rFonts w:eastAsiaTheme="minorEastAsia"/>
                <w:sz w:val="21"/>
                <w:szCs w:val="21"/>
                <w:vertAlign w:val="superscript"/>
              </w:rPr>
              <w:t>3</w:t>
            </w:r>
            <w:r>
              <w:rPr>
                <w:rFonts w:eastAsiaTheme="minorEastAsia"/>
                <w:sz w:val="21"/>
                <w:szCs w:val="21"/>
              </w:rPr>
              <w:t>/h，最大用量为610Nm</w:t>
            </w:r>
            <w:r>
              <w:rPr>
                <w:rFonts w:eastAsiaTheme="minorEastAsia"/>
                <w:sz w:val="21"/>
                <w:szCs w:val="21"/>
                <w:vertAlign w:val="superscript"/>
              </w:rPr>
              <w:t>3</w:t>
            </w:r>
            <w:r>
              <w:rPr>
                <w:rFonts w:eastAsiaTheme="minorEastAsia"/>
                <w:sz w:val="21"/>
                <w:szCs w:val="21"/>
              </w:rPr>
              <w:t>/h，</w:t>
            </w:r>
            <w:r>
              <w:rPr>
                <w:rFonts w:hint="eastAsia" w:eastAsiaTheme="minorEastAsia"/>
                <w:sz w:val="21"/>
                <w:szCs w:val="21"/>
              </w:rPr>
              <w:t>由管道天然气提供。</w:t>
            </w:r>
          </w:p>
        </w:tc>
        <w:tc>
          <w:tcPr>
            <w:tcW w:w="1272" w:type="dxa"/>
            <w:vAlign w:val="center"/>
          </w:tcPr>
          <w:p>
            <w:pPr>
              <w:spacing w:line="340" w:lineRule="exact"/>
              <w:jc w:val="center"/>
              <w:rPr>
                <w:rFonts w:eastAsiaTheme="minorEastAsia"/>
                <w:sz w:val="21"/>
                <w:szCs w:val="21"/>
              </w:rPr>
            </w:pPr>
            <w:r>
              <w:rPr>
                <w:rFonts w:eastAsiaTheme="minorEastAsia"/>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氧气</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本工程氧气平均用量为100Nm</w:t>
            </w:r>
            <w:r>
              <w:rPr>
                <w:rFonts w:eastAsiaTheme="minorEastAsia"/>
                <w:sz w:val="21"/>
                <w:szCs w:val="21"/>
                <w:vertAlign w:val="superscript"/>
              </w:rPr>
              <w:t>3</w:t>
            </w:r>
            <w:r>
              <w:rPr>
                <w:rFonts w:eastAsiaTheme="minorEastAsia"/>
                <w:sz w:val="21"/>
                <w:szCs w:val="21"/>
              </w:rPr>
              <w:t>/h，主要用于切割</w:t>
            </w:r>
            <w:r>
              <w:rPr>
                <w:rFonts w:hint="eastAsia" w:eastAsiaTheme="minorEastAsia"/>
                <w:sz w:val="21"/>
                <w:szCs w:val="21"/>
              </w:rPr>
              <w:t>，由</w:t>
            </w:r>
            <w:r>
              <w:rPr>
                <w:rFonts w:eastAsiaTheme="minorEastAsia"/>
                <w:sz w:val="21"/>
                <w:szCs w:val="21"/>
              </w:rPr>
              <w:t>制氧车间</w:t>
            </w:r>
            <w:r>
              <w:rPr>
                <w:rFonts w:hint="eastAsia" w:eastAsiaTheme="minorEastAsia"/>
                <w:sz w:val="21"/>
                <w:szCs w:val="21"/>
              </w:rPr>
              <w:t>新增</w:t>
            </w:r>
            <w:r>
              <w:rPr>
                <w:rFonts w:eastAsiaTheme="minorEastAsia"/>
                <w:sz w:val="21"/>
                <w:szCs w:val="21"/>
              </w:rPr>
              <w:t>的</w:t>
            </w:r>
            <w:r>
              <w:rPr>
                <w:rFonts w:hint="eastAsia" w:eastAsiaTheme="minorEastAsia"/>
                <w:sz w:val="21"/>
                <w:szCs w:val="21"/>
              </w:rPr>
              <w:t>1000m</w:t>
            </w:r>
            <w:r>
              <w:rPr>
                <w:rFonts w:hint="eastAsia" w:eastAsiaTheme="minorEastAsia"/>
                <w:sz w:val="21"/>
                <w:szCs w:val="21"/>
                <w:vertAlign w:val="superscript"/>
              </w:rPr>
              <w:t>3</w:t>
            </w:r>
            <w:r>
              <w:rPr>
                <w:rFonts w:hint="eastAsia" w:eastAsiaTheme="minorEastAsia"/>
                <w:sz w:val="21"/>
                <w:szCs w:val="21"/>
              </w:rPr>
              <w:t>制氧空分机组提供</w:t>
            </w:r>
          </w:p>
        </w:tc>
        <w:tc>
          <w:tcPr>
            <w:tcW w:w="1272" w:type="dxa"/>
            <w:vMerge w:val="restart"/>
            <w:vAlign w:val="center"/>
          </w:tcPr>
          <w:p>
            <w:pPr>
              <w:spacing w:line="340" w:lineRule="exact"/>
              <w:jc w:val="center"/>
              <w:rPr>
                <w:rFonts w:eastAsiaTheme="minorEastAsia"/>
                <w:sz w:val="21"/>
                <w:szCs w:val="21"/>
              </w:rPr>
            </w:pPr>
            <w:r>
              <w:rPr>
                <w:rFonts w:hint="eastAsia" w:eastAsiaTheme="minorEastAsia"/>
                <w:sz w:val="21"/>
                <w:szCs w:val="21"/>
              </w:rPr>
              <w:t>新增一套</w:t>
            </w:r>
          </w:p>
          <w:p>
            <w:pPr>
              <w:spacing w:line="340" w:lineRule="exact"/>
              <w:jc w:val="center"/>
              <w:rPr>
                <w:rFonts w:eastAsiaTheme="minorEastAsia"/>
                <w:sz w:val="21"/>
                <w:szCs w:val="21"/>
              </w:rPr>
            </w:pPr>
            <w:r>
              <w:rPr>
                <w:rFonts w:hint="eastAsia" w:eastAsiaTheme="minorEastAsia"/>
                <w:sz w:val="21"/>
                <w:szCs w:val="21"/>
              </w:rPr>
              <w:t>1000m</w:t>
            </w:r>
            <w:r>
              <w:rPr>
                <w:rFonts w:hint="eastAsia" w:eastAsiaTheme="minorEastAsia"/>
                <w:sz w:val="21"/>
                <w:szCs w:val="21"/>
                <w:vertAlign w:val="superscript"/>
              </w:rPr>
              <w:t>3</w:t>
            </w:r>
            <w:r>
              <w:rPr>
                <w:rFonts w:hint="eastAsia" w:eastAsiaTheme="minorEastAsia"/>
                <w:sz w:val="21"/>
                <w:szCs w:val="21"/>
              </w:rPr>
              <w:t>制氧空分机组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氮气</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本工程氮气平均用量为200Nm</w:t>
            </w:r>
            <w:r>
              <w:rPr>
                <w:rFonts w:eastAsiaTheme="minorEastAsia"/>
                <w:sz w:val="21"/>
                <w:szCs w:val="21"/>
                <w:vertAlign w:val="superscript"/>
              </w:rPr>
              <w:t>3</w:t>
            </w:r>
            <w:r>
              <w:rPr>
                <w:rFonts w:eastAsiaTheme="minorEastAsia"/>
                <w:sz w:val="21"/>
                <w:szCs w:val="21"/>
              </w:rPr>
              <w:t>/h，</w:t>
            </w:r>
            <w:r>
              <w:rPr>
                <w:rFonts w:hint="eastAsia" w:eastAsiaTheme="minorEastAsia"/>
                <w:sz w:val="21"/>
                <w:szCs w:val="21"/>
              </w:rPr>
              <w:t>由制氧车间新增</w:t>
            </w:r>
            <w:r>
              <w:rPr>
                <w:rFonts w:eastAsiaTheme="minorEastAsia"/>
                <w:sz w:val="21"/>
                <w:szCs w:val="21"/>
              </w:rPr>
              <w:t>的</w:t>
            </w:r>
            <w:r>
              <w:rPr>
                <w:rFonts w:hint="eastAsia" w:eastAsiaTheme="minorEastAsia"/>
                <w:sz w:val="21"/>
                <w:szCs w:val="21"/>
              </w:rPr>
              <w:t>1000m</w:t>
            </w:r>
            <w:r>
              <w:rPr>
                <w:rFonts w:hint="eastAsia" w:eastAsiaTheme="minorEastAsia"/>
                <w:sz w:val="21"/>
                <w:szCs w:val="21"/>
                <w:vertAlign w:val="superscript"/>
              </w:rPr>
              <w:t>3</w:t>
            </w:r>
            <w:r>
              <w:rPr>
                <w:rFonts w:hint="eastAsia" w:eastAsiaTheme="minorEastAsia"/>
                <w:sz w:val="21"/>
                <w:szCs w:val="21"/>
              </w:rPr>
              <w:t>制氧空分机组</w:t>
            </w:r>
            <w:r>
              <w:rPr>
                <w:rFonts w:eastAsiaTheme="minorEastAsia"/>
                <w:sz w:val="21"/>
                <w:szCs w:val="21"/>
              </w:rPr>
              <w:t>提供</w:t>
            </w:r>
          </w:p>
        </w:tc>
        <w:tc>
          <w:tcPr>
            <w:tcW w:w="1272" w:type="dxa"/>
            <w:vMerge w:val="continue"/>
            <w:vAlign w:val="center"/>
          </w:tcPr>
          <w:p>
            <w:pPr>
              <w:spacing w:line="3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Theme="minorEastAsia"/>
                <w:sz w:val="21"/>
                <w:szCs w:val="21"/>
              </w:rPr>
            </w:pPr>
            <w:r>
              <w:rPr>
                <w:rFonts w:eastAsiaTheme="minorEastAsia"/>
                <w:sz w:val="21"/>
                <w:szCs w:val="21"/>
              </w:rPr>
              <w:t>氩气</w:t>
            </w:r>
          </w:p>
        </w:tc>
        <w:tc>
          <w:tcPr>
            <w:tcW w:w="5498" w:type="dxa"/>
            <w:gridSpan w:val="2"/>
            <w:vAlign w:val="center"/>
          </w:tcPr>
          <w:p>
            <w:pPr>
              <w:spacing w:line="340" w:lineRule="exact"/>
              <w:jc w:val="left"/>
              <w:rPr>
                <w:rFonts w:eastAsiaTheme="minorEastAsia"/>
                <w:sz w:val="21"/>
                <w:szCs w:val="21"/>
              </w:rPr>
            </w:pPr>
            <w:r>
              <w:rPr>
                <w:rFonts w:eastAsiaTheme="minorEastAsia"/>
                <w:sz w:val="21"/>
                <w:szCs w:val="21"/>
              </w:rPr>
              <w:t>项目氩气平均用量为6Nm</w:t>
            </w:r>
            <w:r>
              <w:rPr>
                <w:rFonts w:eastAsiaTheme="minorEastAsia"/>
                <w:sz w:val="21"/>
                <w:szCs w:val="21"/>
                <w:vertAlign w:val="superscript"/>
              </w:rPr>
              <w:t>3</w:t>
            </w:r>
            <w:r>
              <w:rPr>
                <w:rFonts w:eastAsiaTheme="minorEastAsia"/>
                <w:sz w:val="21"/>
                <w:szCs w:val="21"/>
              </w:rPr>
              <w:t>/h，最大用量为6Nm</w:t>
            </w:r>
            <w:r>
              <w:rPr>
                <w:rFonts w:eastAsiaTheme="minorEastAsia"/>
                <w:sz w:val="21"/>
                <w:szCs w:val="21"/>
                <w:vertAlign w:val="superscript"/>
              </w:rPr>
              <w:t>3</w:t>
            </w:r>
            <w:r>
              <w:rPr>
                <w:rFonts w:eastAsiaTheme="minorEastAsia"/>
                <w:sz w:val="21"/>
                <w:szCs w:val="21"/>
              </w:rPr>
              <w:t>/h</w:t>
            </w:r>
            <w:r>
              <w:rPr>
                <w:rFonts w:hint="eastAsia" w:eastAsiaTheme="minorEastAsia"/>
                <w:sz w:val="21"/>
                <w:szCs w:val="21"/>
              </w:rPr>
              <w:t>，外购。</w:t>
            </w:r>
            <w:r>
              <w:rPr>
                <w:rFonts w:eastAsiaTheme="minorEastAsia"/>
                <w:sz w:val="21"/>
                <w:szCs w:val="21"/>
              </w:rPr>
              <w:t>本工程拟新建一根DN32氩气管道。</w:t>
            </w:r>
            <w:r>
              <w:rPr>
                <w:rFonts w:hint="eastAsia" w:eastAsiaTheme="minorEastAsia"/>
                <w:sz w:val="21"/>
                <w:szCs w:val="21"/>
              </w:rPr>
              <w:t>外购</w:t>
            </w:r>
          </w:p>
        </w:tc>
        <w:tc>
          <w:tcPr>
            <w:tcW w:w="1272" w:type="dxa"/>
            <w:vAlign w:val="center"/>
          </w:tcPr>
          <w:p>
            <w:pPr>
              <w:spacing w:line="340" w:lineRule="exact"/>
              <w:jc w:val="center"/>
              <w:rPr>
                <w:rFonts w:eastAsiaTheme="minorEastAsia"/>
                <w:sz w:val="21"/>
                <w:szCs w:val="21"/>
              </w:rPr>
            </w:pPr>
            <w:r>
              <w:rPr>
                <w:rFonts w:eastAsiaTheme="minorEastAsia"/>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restart"/>
            <w:vAlign w:val="center"/>
          </w:tcPr>
          <w:p>
            <w:pPr>
              <w:spacing w:line="340" w:lineRule="exact"/>
              <w:ind w:left="-149" w:leftChars="-53" w:right="-113" w:rightChars="-40"/>
              <w:jc w:val="center"/>
              <w:rPr>
                <w:rFonts w:eastAsia="宋体"/>
                <w:sz w:val="21"/>
                <w:szCs w:val="21"/>
              </w:rPr>
            </w:pPr>
            <w:r>
              <w:rPr>
                <w:rFonts w:eastAsia="宋体"/>
                <w:sz w:val="21"/>
                <w:szCs w:val="21"/>
              </w:rPr>
              <w:t>环保</w:t>
            </w:r>
          </w:p>
          <w:p>
            <w:pPr>
              <w:spacing w:line="340" w:lineRule="exact"/>
              <w:ind w:left="-149" w:leftChars="-53" w:right="-113" w:rightChars="-40"/>
              <w:jc w:val="center"/>
              <w:rPr>
                <w:rFonts w:eastAsia="宋体"/>
                <w:sz w:val="21"/>
                <w:szCs w:val="21"/>
              </w:rPr>
            </w:pPr>
            <w:r>
              <w:rPr>
                <w:rFonts w:eastAsia="宋体"/>
                <w:sz w:val="21"/>
                <w:szCs w:val="21"/>
              </w:rPr>
              <w:t>工程</w:t>
            </w:r>
          </w:p>
        </w:tc>
        <w:tc>
          <w:tcPr>
            <w:tcW w:w="1383" w:type="dxa"/>
            <w:vAlign w:val="center"/>
          </w:tcPr>
          <w:p>
            <w:pPr>
              <w:spacing w:line="340" w:lineRule="exact"/>
              <w:jc w:val="center"/>
              <w:rPr>
                <w:rFonts w:eastAsia="宋体"/>
                <w:sz w:val="21"/>
                <w:szCs w:val="21"/>
              </w:rPr>
            </w:pPr>
            <w:r>
              <w:rPr>
                <w:rFonts w:eastAsia="宋体"/>
                <w:sz w:val="21"/>
                <w:szCs w:val="21"/>
              </w:rPr>
              <w:t>废气</w:t>
            </w:r>
          </w:p>
        </w:tc>
        <w:tc>
          <w:tcPr>
            <w:tcW w:w="5498" w:type="dxa"/>
            <w:gridSpan w:val="2"/>
            <w:vAlign w:val="center"/>
          </w:tcPr>
          <w:p>
            <w:pPr>
              <w:pStyle w:val="328"/>
              <w:widowControl w:val="0"/>
              <w:pBdr>
                <w:left w:val="none" w:color="auto" w:sz="0" w:space="0"/>
                <w:bottom w:val="none" w:color="auto" w:sz="0" w:space="0"/>
                <w:right w:val="none" w:color="auto" w:sz="0" w:space="0"/>
              </w:pBdr>
              <w:spacing w:before="0" w:beforeAutospacing="0" w:after="0" w:afterAutospacing="0" w:line="340" w:lineRule="exact"/>
              <w:jc w:val="left"/>
              <w:rPr>
                <w:rFonts w:ascii="Times New Roman" w:hAnsi="Times New Roman"/>
                <w:kern w:val="2"/>
                <w:lang w:val="en-US" w:eastAsia="zh-CN"/>
              </w:rPr>
            </w:pPr>
            <w:r>
              <w:rPr>
                <w:rFonts w:hint="eastAsia" w:ascii="Times New Roman" w:hAnsi="Times New Roman"/>
                <w:kern w:val="2"/>
                <w:lang w:val="en-US" w:eastAsia="zh-CN"/>
              </w:rPr>
              <w:t>①在切割机上方设置集气罩，连铸切割</w:t>
            </w:r>
            <w:r>
              <w:rPr>
                <w:rFonts w:ascii="Times New Roman" w:hAnsi="Times New Roman"/>
                <w:kern w:val="2"/>
                <w:lang w:val="en-US" w:eastAsia="zh-CN"/>
              </w:rPr>
              <w:t>废气</w:t>
            </w:r>
            <w:r>
              <w:rPr>
                <w:rFonts w:hint="eastAsia" w:ascii="Times New Roman" w:hAnsi="Times New Roman"/>
                <w:kern w:val="2"/>
                <w:lang w:val="en-US" w:eastAsia="zh-CN"/>
              </w:rPr>
              <w:t>收集后经布袋除尘器除尘后接入现有电炉除尘系统；LF炉烟气采用炉盖罩捕集方式，收集后接入现有电炉除尘系统；VD炉</w:t>
            </w:r>
            <w:r>
              <w:rPr>
                <w:rFonts w:ascii="Times New Roman" w:hAnsi="Times New Roman"/>
                <w:kern w:val="2"/>
                <w:lang w:val="en-US" w:eastAsia="zh-CN"/>
              </w:rPr>
              <w:t>废气</w:t>
            </w:r>
            <w:r>
              <w:rPr>
                <w:rFonts w:hint="eastAsia" w:ascii="Times New Roman" w:hAnsi="Times New Roman"/>
                <w:kern w:val="2"/>
                <w:lang w:val="en-US" w:eastAsia="zh-CN"/>
              </w:rPr>
              <w:t>经布袋除尘+旋风</w:t>
            </w:r>
            <w:r>
              <w:rPr>
                <w:rFonts w:ascii="Times New Roman" w:hAnsi="Times New Roman"/>
                <w:kern w:val="2"/>
                <w:lang w:val="en-US" w:eastAsia="zh-CN"/>
              </w:rPr>
              <w:t>除尘后接入</w:t>
            </w:r>
            <w:r>
              <w:rPr>
                <w:rFonts w:hint="eastAsia" w:ascii="Times New Roman" w:hAnsi="Times New Roman"/>
                <w:kern w:val="2"/>
                <w:lang w:val="en-US" w:eastAsia="zh-CN"/>
              </w:rPr>
              <w:t>现有电炉除尘系统，</w:t>
            </w:r>
            <w:r>
              <w:rPr>
                <w:rFonts w:ascii="Times New Roman" w:hAnsi="Times New Roman"/>
                <w:kern w:val="2"/>
                <w:lang w:val="en-US" w:eastAsia="zh-CN"/>
              </w:rPr>
              <w:t>与现有</w:t>
            </w:r>
            <w:r>
              <w:rPr>
                <w:rFonts w:hint="eastAsia" w:ascii="Times New Roman" w:hAnsi="Times New Roman"/>
                <w:kern w:val="2"/>
                <w:lang w:val="en-US" w:eastAsia="zh-CN"/>
              </w:rPr>
              <w:t>炼钢</w:t>
            </w:r>
            <w:r>
              <w:rPr>
                <w:rFonts w:ascii="Times New Roman" w:hAnsi="Times New Roman"/>
                <w:kern w:val="2"/>
                <w:lang w:val="en-US" w:eastAsia="zh-CN"/>
              </w:rPr>
              <w:t>废气一起经</w:t>
            </w:r>
            <w:r>
              <w:rPr>
                <w:rFonts w:hint="eastAsia" w:ascii="Times New Roman" w:hAnsi="Times New Roman"/>
                <w:kern w:val="2"/>
                <w:lang w:val="en-US" w:eastAsia="zh-CN"/>
              </w:rPr>
              <w:t>布袋除尘器除尘后通过现有30m高排气筒(</w:t>
            </w:r>
            <w:r>
              <w:rPr>
                <w:rFonts w:ascii="Times New Roman" w:hAnsi="Times New Roman"/>
                <w:kern w:val="2"/>
                <w:lang w:val="en-US" w:eastAsia="zh-CN"/>
              </w:rPr>
              <w:t>DA001</w:t>
            </w:r>
            <w:r>
              <w:rPr>
                <w:rFonts w:hint="eastAsia" w:ascii="Times New Roman" w:hAnsi="Times New Roman"/>
                <w:kern w:val="2"/>
                <w:lang w:val="en-US" w:eastAsia="zh-CN"/>
              </w:rPr>
              <w:t>)排放；另外</w:t>
            </w:r>
            <w:r>
              <w:rPr>
                <w:rFonts w:ascii="Times New Roman" w:hAnsi="Times New Roman"/>
                <w:kern w:val="2"/>
                <w:lang w:val="en-US" w:eastAsia="zh-CN"/>
              </w:rPr>
              <w:t>，本项目实施的同时拟</w:t>
            </w:r>
            <w:r>
              <w:rPr>
                <w:rFonts w:hint="eastAsia" w:ascii="Times New Roman" w:hAnsi="Times New Roman" w:eastAsiaTheme="minorEastAsia"/>
                <w:lang w:eastAsia="zh-CN"/>
              </w:rPr>
              <w:t>将</w:t>
            </w:r>
            <w:r>
              <w:rPr>
                <w:rFonts w:ascii="Times New Roman" w:hAnsi="Times New Roman" w:eastAsiaTheme="minorEastAsia"/>
              </w:rPr>
              <w:t>现有</w:t>
            </w:r>
            <w:r>
              <w:rPr>
                <w:rFonts w:hint="eastAsia" w:ascii="Times New Roman" w:hAnsi="Times New Roman" w:eastAsiaTheme="minorEastAsia"/>
                <w:lang w:eastAsia="zh-CN"/>
              </w:rPr>
              <w:t>电炉</w:t>
            </w:r>
            <w:r>
              <w:rPr>
                <w:rFonts w:ascii="Times New Roman" w:hAnsi="Times New Roman" w:eastAsiaTheme="minorEastAsia"/>
                <w:lang w:eastAsia="zh-CN"/>
              </w:rPr>
              <w:t>炼钢废气除尘器</w:t>
            </w:r>
            <w:r>
              <w:rPr>
                <w:rFonts w:hint="eastAsia" w:ascii="Times New Roman" w:hAnsi="Times New Roman" w:eastAsiaTheme="minorEastAsia"/>
              </w:rPr>
              <w:t>布袋</w:t>
            </w:r>
            <w:r>
              <w:rPr>
                <w:rFonts w:ascii="Times New Roman" w:hAnsi="Times New Roman" w:eastAsiaTheme="minorEastAsia"/>
              </w:rPr>
              <w:t>更换</w:t>
            </w:r>
            <w:r>
              <w:rPr>
                <w:rFonts w:hint="eastAsia" w:ascii="Times New Roman" w:hAnsi="Times New Roman" w:eastAsiaTheme="minorEastAsia"/>
              </w:rPr>
              <w:t>为覆膜滤料</w:t>
            </w:r>
            <w:r>
              <w:rPr>
                <w:rFonts w:hint="eastAsia" w:ascii="Times New Roman" w:hAnsi="Times New Roman" w:eastAsiaTheme="minorEastAsia"/>
                <w:lang w:eastAsia="zh-CN"/>
              </w:rPr>
              <w:t>布袋</w:t>
            </w:r>
            <w:r>
              <w:rPr>
                <w:rFonts w:ascii="Times New Roman" w:hAnsi="Times New Roman" w:eastAsiaTheme="minorEastAsia"/>
              </w:rPr>
              <w:t>，以提高除尘效率</w:t>
            </w:r>
            <w:r>
              <w:rPr>
                <w:rFonts w:hint="eastAsia" w:ascii="Times New Roman" w:hAnsi="Times New Roman" w:eastAsiaTheme="minorEastAsia"/>
              </w:rPr>
              <w:t>（除尘效率</w:t>
            </w:r>
            <w:r>
              <w:rPr>
                <w:rFonts w:ascii="Times New Roman" w:hAnsi="Times New Roman" w:eastAsiaTheme="minorEastAsia"/>
              </w:rPr>
              <w:t>不低于</w:t>
            </w:r>
            <w:r>
              <w:rPr>
                <w:rFonts w:hint="eastAsia" w:ascii="Times New Roman" w:hAnsi="Times New Roman" w:eastAsiaTheme="minorEastAsia"/>
              </w:rPr>
              <w:t>99.5</w:t>
            </w:r>
            <w:r>
              <w:rPr>
                <w:rFonts w:ascii="Times New Roman" w:hAnsi="Times New Roman" w:eastAsiaTheme="minorEastAsia"/>
              </w:rPr>
              <w:t>%</w:t>
            </w:r>
            <w:r>
              <w:rPr>
                <w:rFonts w:hint="eastAsia" w:ascii="Times New Roman" w:hAnsi="Times New Roman" w:eastAsiaTheme="minorEastAsia"/>
              </w:rPr>
              <w:t>）</w:t>
            </w:r>
          </w:p>
          <w:p>
            <w:pPr>
              <w:pStyle w:val="328"/>
              <w:widowControl w:val="0"/>
              <w:pBdr>
                <w:left w:val="none" w:color="auto" w:sz="0" w:space="0"/>
                <w:bottom w:val="none" w:color="auto" w:sz="0" w:space="0"/>
                <w:right w:val="none" w:color="auto" w:sz="0" w:space="0"/>
              </w:pBdr>
              <w:spacing w:before="0" w:beforeAutospacing="0" w:after="0" w:afterAutospacing="0" w:line="340" w:lineRule="exact"/>
              <w:jc w:val="left"/>
              <w:rPr>
                <w:rFonts w:ascii="Times New Roman" w:hAnsi="Times New Roman"/>
                <w:lang w:val="en-US"/>
              </w:rPr>
            </w:pPr>
            <w:r>
              <w:rPr>
                <w:rFonts w:hint="eastAsia" w:ascii="Times New Roman" w:hAnsi="Times New Roman"/>
                <w:kern w:val="2"/>
                <w:lang w:val="en-US" w:eastAsia="zh-CN"/>
              </w:rPr>
              <w:t>②钢包烘烤采用天然气，燃烧废气车间内无组织排放</w:t>
            </w:r>
          </w:p>
        </w:tc>
        <w:tc>
          <w:tcPr>
            <w:tcW w:w="1272"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40" w:lineRule="exact"/>
              <w:rPr>
                <w:rFonts w:ascii="Times New Roman" w:hAnsi="Times New Roman"/>
                <w:lang w:val="en-US"/>
              </w:rPr>
            </w:pPr>
            <w:r>
              <w:rPr>
                <w:rFonts w:hint="eastAsia"/>
                <w:lang w:eastAsia="zh-CN"/>
              </w:rPr>
              <w:t>新增连铸</w:t>
            </w:r>
            <w:r>
              <w:rPr>
                <w:lang w:eastAsia="zh-CN"/>
              </w:rPr>
              <w:t>废气收集、</w:t>
            </w:r>
            <w:r>
              <w:rPr>
                <w:rFonts w:hint="eastAsia"/>
                <w:lang w:eastAsia="zh-CN"/>
              </w:rPr>
              <w:t>连铸</w:t>
            </w:r>
            <w:r>
              <w:rPr>
                <w:lang w:eastAsia="zh-CN"/>
              </w:rPr>
              <w:t>布袋除尘</w:t>
            </w:r>
            <w:r>
              <w:rPr>
                <w:rFonts w:hint="eastAsia"/>
                <w:lang w:eastAsia="zh-CN"/>
              </w:rPr>
              <w:t>，VD炉</w:t>
            </w:r>
            <w:r>
              <w:rPr>
                <w:lang w:eastAsia="zh-CN"/>
              </w:rPr>
              <w:t>废气接入主烟道，</w:t>
            </w:r>
            <w:r>
              <w:rPr>
                <w:rFonts w:hint="eastAsia"/>
                <w:lang w:eastAsia="zh-CN"/>
              </w:rPr>
              <w:t>更换</w:t>
            </w:r>
            <w:r>
              <w:rPr>
                <w:lang w:eastAsia="zh-CN"/>
              </w:rPr>
              <w:t>除尘器布袋，其余依托现有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废水</w:t>
            </w:r>
          </w:p>
        </w:tc>
        <w:tc>
          <w:tcPr>
            <w:tcW w:w="5498" w:type="dxa"/>
            <w:gridSpan w:val="2"/>
            <w:vAlign w:val="center"/>
          </w:tcPr>
          <w:p>
            <w:pPr>
              <w:spacing w:line="340" w:lineRule="exact"/>
              <w:jc w:val="left"/>
              <w:rPr>
                <w:rFonts w:eastAsia="宋体"/>
                <w:sz w:val="21"/>
                <w:szCs w:val="21"/>
              </w:rPr>
            </w:pPr>
            <w:r>
              <w:rPr>
                <w:rFonts w:eastAsia="宋体"/>
                <w:sz w:val="21"/>
                <w:szCs w:val="21"/>
              </w:rPr>
              <w:t>1</w:t>
            </w:r>
            <w:r>
              <w:rPr>
                <w:rFonts w:hint="eastAsia" w:eastAsia="宋体"/>
                <w:sz w:val="21"/>
                <w:szCs w:val="21"/>
              </w:rPr>
              <w:t>、净环水：</w:t>
            </w:r>
            <w:r>
              <w:rPr>
                <w:rFonts w:eastAsia="宋体"/>
                <w:sz w:val="21"/>
                <w:szCs w:val="21"/>
              </w:rPr>
              <w:t>厂区内新建一座</w:t>
            </w:r>
            <w:r>
              <w:rPr>
                <w:rFonts w:hint="eastAsia" w:eastAsia="宋体"/>
                <w:sz w:val="21"/>
                <w:szCs w:val="21"/>
              </w:rPr>
              <w:t>净环水循环水站，循环使用，部分排放作为直接冷却水用水</w:t>
            </w:r>
            <w:r>
              <w:rPr>
                <w:rFonts w:eastAsia="宋体"/>
                <w:sz w:val="21"/>
                <w:szCs w:val="21"/>
              </w:rPr>
              <w:t>。</w:t>
            </w:r>
          </w:p>
          <w:p>
            <w:pPr>
              <w:spacing w:line="340" w:lineRule="exact"/>
              <w:jc w:val="left"/>
              <w:rPr>
                <w:rFonts w:eastAsia="宋体"/>
                <w:sz w:val="21"/>
                <w:szCs w:val="21"/>
              </w:rPr>
            </w:pPr>
            <w:r>
              <w:rPr>
                <w:rFonts w:eastAsia="宋体"/>
                <w:sz w:val="21"/>
                <w:szCs w:val="21"/>
              </w:rPr>
              <w:t>2</w:t>
            </w:r>
            <w:r>
              <w:rPr>
                <w:rFonts w:hint="eastAsia" w:eastAsia="宋体"/>
                <w:sz w:val="21"/>
                <w:szCs w:val="21"/>
              </w:rPr>
              <w:t>、浊环水：</w:t>
            </w:r>
            <w:r>
              <w:rPr>
                <w:rFonts w:eastAsia="宋体"/>
                <w:sz w:val="21"/>
                <w:szCs w:val="21"/>
              </w:rPr>
              <w:t>厂区内新建一座</w:t>
            </w:r>
            <w:r>
              <w:rPr>
                <w:rFonts w:hint="eastAsia" w:eastAsia="宋体"/>
                <w:sz w:val="21"/>
                <w:szCs w:val="21"/>
              </w:rPr>
              <w:t>浊环水处理系统，浊环水经收集后先去除氧化铁皮，随后经隔油+沉淀+过滤+冷却处理后循环使用，不外排</w:t>
            </w:r>
            <w:r>
              <w:rPr>
                <w:rFonts w:eastAsia="宋体"/>
                <w:sz w:val="21"/>
                <w:szCs w:val="21"/>
              </w:rPr>
              <w:t>。</w:t>
            </w:r>
          </w:p>
        </w:tc>
        <w:tc>
          <w:tcPr>
            <w:tcW w:w="1272" w:type="dxa"/>
            <w:vAlign w:val="center"/>
          </w:tcPr>
          <w:p>
            <w:pPr>
              <w:spacing w:line="340" w:lineRule="exact"/>
              <w:jc w:val="center"/>
              <w:rPr>
                <w:rFonts w:eastAsia="宋体"/>
                <w:sz w:val="21"/>
                <w:szCs w:val="21"/>
              </w:rPr>
            </w:pPr>
            <w:r>
              <w:rPr>
                <w:rFonts w:hint="eastAsia" w:eastAsia="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噪声</w:t>
            </w:r>
          </w:p>
        </w:tc>
        <w:tc>
          <w:tcPr>
            <w:tcW w:w="5498" w:type="dxa"/>
            <w:gridSpan w:val="2"/>
            <w:vAlign w:val="center"/>
          </w:tcPr>
          <w:p>
            <w:pPr>
              <w:spacing w:line="340" w:lineRule="exact"/>
              <w:jc w:val="left"/>
              <w:rPr>
                <w:rFonts w:eastAsia="宋体"/>
                <w:sz w:val="21"/>
                <w:szCs w:val="21"/>
              </w:rPr>
            </w:pPr>
            <w:r>
              <w:rPr>
                <w:rFonts w:eastAsia="宋体"/>
                <w:sz w:val="21"/>
                <w:szCs w:val="21"/>
              </w:rPr>
              <w:t>选用低噪声设备和工艺；厂区合理布局等</w:t>
            </w:r>
          </w:p>
        </w:tc>
        <w:tc>
          <w:tcPr>
            <w:tcW w:w="1272" w:type="dxa"/>
            <w:vAlign w:val="center"/>
          </w:tcPr>
          <w:p>
            <w:pPr>
              <w:spacing w:line="340" w:lineRule="exact"/>
              <w:jc w:val="center"/>
              <w:rPr>
                <w:rFonts w:eastAsia="宋体"/>
                <w:sz w:val="21"/>
                <w:szCs w:val="21"/>
              </w:rPr>
            </w:pPr>
            <w:r>
              <w:rPr>
                <w:rFonts w:hint="eastAsia" w:eastAsia="宋体"/>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固废</w:t>
            </w:r>
          </w:p>
        </w:tc>
        <w:tc>
          <w:tcPr>
            <w:tcW w:w="5498" w:type="dxa"/>
            <w:gridSpan w:val="2"/>
            <w:vAlign w:val="center"/>
          </w:tcPr>
          <w:p>
            <w:pPr>
              <w:spacing w:line="340" w:lineRule="exact"/>
              <w:jc w:val="left"/>
              <w:rPr>
                <w:rFonts w:eastAsia="宋体"/>
                <w:sz w:val="21"/>
                <w:szCs w:val="21"/>
              </w:rPr>
            </w:pPr>
            <w:r>
              <w:rPr>
                <w:rFonts w:hint="eastAsia" w:eastAsia="宋体"/>
                <w:sz w:val="21"/>
                <w:szCs w:val="21"/>
              </w:rPr>
              <w:t>1、</w:t>
            </w:r>
            <w:r>
              <w:rPr>
                <w:rFonts w:eastAsia="宋体"/>
                <w:sz w:val="21"/>
                <w:szCs w:val="21"/>
              </w:rPr>
              <w:t>一般固废暂存间：氧化铁皮仓库位于炼钢一厂东侧，有效库容为150m</w:t>
            </w:r>
            <w:r>
              <w:rPr>
                <w:rFonts w:eastAsia="宋体"/>
                <w:sz w:val="21"/>
                <w:szCs w:val="21"/>
                <w:vertAlign w:val="superscript"/>
              </w:rPr>
              <w:t>3</w:t>
            </w:r>
            <w:r>
              <w:rPr>
                <w:rFonts w:eastAsia="宋体"/>
                <w:sz w:val="21"/>
                <w:szCs w:val="21"/>
              </w:rPr>
              <w:t>，主要临时暂存氧化铁皮、切割渣、砂轮片；废耐火材料仓库位于炼钢一厂内，总有效库容200m</w:t>
            </w:r>
            <w:r>
              <w:rPr>
                <w:rFonts w:eastAsia="宋体"/>
                <w:sz w:val="21"/>
                <w:szCs w:val="21"/>
                <w:vertAlign w:val="superscript"/>
              </w:rPr>
              <w:t>3</w:t>
            </w:r>
            <w:r>
              <w:rPr>
                <w:rFonts w:eastAsia="宋体"/>
                <w:sz w:val="21"/>
                <w:szCs w:val="21"/>
              </w:rPr>
              <w:t>，主要存放各种耐火材料；</w:t>
            </w:r>
            <w:r>
              <w:rPr>
                <w:rFonts w:hint="eastAsia" w:eastAsia="宋体"/>
                <w:sz w:val="21"/>
                <w:szCs w:val="21"/>
              </w:rPr>
              <w:t>废</w:t>
            </w:r>
            <w:r>
              <w:rPr>
                <w:rFonts w:eastAsia="宋体"/>
                <w:sz w:val="21"/>
                <w:szCs w:val="21"/>
              </w:rPr>
              <w:t>渣(炉渣)仓库位于危险总仓库东侧，有效库容230m</w:t>
            </w:r>
            <w:r>
              <w:rPr>
                <w:rFonts w:eastAsia="宋体"/>
                <w:sz w:val="21"/>
                <w:szCs w:val="21"/>
                <w:vertAlign w:val="superscript"/>
              </w:rPr>
              <w:t>3</w:t>
            </w:r>
            <w:r>
              <w:rPr>
                <w:rFonts w:eastAsia="宋体"/>
                <w:sz w:val="21"/>
                <w:szCs w:val="21"/>
              </w:rPr>
              <w:t>，主要用于贮存铸余渣</w:t>
            </w:r>
            <w:r>
              <w:rPr>
                <w:rFonts w:hint="eastAsia" w:eastAsia="宋体"/>
                <w:sz w:val="21"/>
                <w:szCs w:val="21"/>
              </w:rPr>
              <w:t>；</w:t>
            </w:r>
            <w:r>
              <w:rPr>
                <w:rFonts w:eastAsia="宋体"/>
                <w:sz w:val="21"/>
                <w:szCs w:val="21"/>
              </w:rPr>
              <w:t>现有</w:t>
            </w:r>
            <w:r>
              <w:rPr>
                <w:rFonts w:hint="eastAsia" w:eastAsia="宋体"/>
                <w:sz w:val="21"/>
                <w:szCs w:val="21"/>
              </w:rPr>
              <w:t>一般固废</w:t>
            </w:r>
            <w:r>
              <w:rPr>
                <w:rFonts w:eastAsia="宋体"/>
                <w:sz w:val="21"/>
                <w:szCs w:val="21"/>
              </w:rPr>
              <w:t>暂存间能够</w:t>
            </w:r>
            <w:r>
              <w:rPr>
                <w:rFonts w:hint="eastAsia" w:eastAsia="宋体"/>
                <w:sz w:val="21"/>
                <w:szCs w:val="21"/>
              </w:rPr>
              <w:t>满足</w:t>
            </w:r>
            <w:r>
              <w:rPr>
                <w:rFonts w:eastAsia="宋体"/>
                <w:sz w:val="21"/>
                <w:szCs w:val="21"/>
              </w:rPr>
              <w:t>项目实施需要</w:t>
            </w:r>
          </w:p>
          <w:p>
            <w:pPr>
              <w:spacing w:line="340" w:lineRule="exact"/>
              <w:jc w:val="left"/>
              <w:rPr>
                <w:rFonts w:eastAsia="宋体"/>
                <w:sz w:val="21"/>
                <w:szCs w:val="21"/>
              </w:rPr>
            </w:pPr>
            <w:r>
              <w:rPr>
                <w:rFonts w:eastAsia="宋体"/>
                <w:sz w:val="21"/>
                <w:szCs w:val="21"/>
              </w:rPr>
              <w:t>2、危险废物暂存间：炼钢一厂除尘灰仓库位于布袋除尘器西侧，用于贮存布袋除尘器收集灰</w:t>
            </w:r>
            <w:r>
              <w:rPr>
                <w:rFonts w:hint="eastAsia" w:eastAsia="宋体"/>
                <w:sz w:val="21"/>
                <w:szCs w:val="21"/>
              </w:rPr>
              <w:t>，有效库容90</w:t>
            </w:r>
            <w:r>
              <w:rPr>
                <w:rFonts w:eastAsia="宋体"/>
                <w:sz w:val="21"/>
                <w:szCs w:val="21"/>
              </w:rPr>
              <w:t>m</w:t>
            </w:r>
            <w:r>
              <w:rPr>
                <w:rFonts w:eastAsia="宋体"/>
                <w:sz w:val="21"/>
                <w:szCs w:val="21"/>
                <w:vertAlign w:val="superscript"/>
              </w:rPr>
              <w:t>3</w:t>
            </w:r>
            <w:r>
              <w:rPr>
                <w:rFonts w:eastAsia="宋体"/>
                <w:sz w:val="21"/>
                <w:szCs w:val="21"/>
              </w:rPr>
              <w:t>；危废总仓库位于厂区西侧，用于贮存废润滑油、废油、废包装桶</w:t>
            </w:r>
            <w:r>
              <w:rPr>
                <w:rFonts w:hint="eastAsia" w:eastAsia="宋体"/>
                <w:sz w:val="21"/>
                <w:szCs w:val="21"/>
              </w:rPr>
              <w:t>，</w:t>
            </w:r>
            <w:r>
              <w:rPr>
                <w:rFonts w:eastAsia="宋体"/>
                <w:sz w:val="21"/>
                <w:szCs w:val="21"/>
              </w:rPr>
              <w:t>有效库容</w:t>
            </w:r>
            <w:r>
              <w:rPr>
                <w:rFonts w:hint="eastAsia" w:eastAsia="宋体"/>
                <w:sz w:val="21"/>
                <w:szCs w:val="21"/>
              </w:rPr>
              <w:t>2195</w:t>
            </w:r>
            <w:r>
              <w:rPr>
                <w:rFonts w:eastAsia="宋体"/>
                <w:sz w:val="21"/>
                <w:szCs w:val="21"/>
              </w:rPr>
              <w:t>m</w:t>
            </w:r>
            <w:r>
              <w:rPr>
                <w:rFonts w:eastAsia="宋体"/>
                <w:sz w:val="21"/>
                <w:szCs w:val="21"/>
                <w:vertAlign w:val="superscript"/>
              </w:rPr>
              <w:t>3</w:t>
            </w:r>
            <w:r>
              <w:rPr>
                <w:rFonts w:eastAsia="宋体"/>
                <w:sz w:val="21"/>
                <w:szCs w:val="21"/>
              </w:rPr>
              <w:t>。现有</w:t>
            </w:r>
            <w:r>
              <w:rPr>
                <w:rFonts w:hint="eastAsia" w:eastAsia="宋体"/>
                <w:sz w:val="21"/>
                <w:szCs w:val="21"/>
              </w:rPr>
              <w:t>危险废物</w:t>
            </w:r>
            <w:r>
              <w:rPr>
                <w:rFonts w:eastAsia="宋体"/>
                <w:sz w:val="21"/>
                <w:szCs w:val="21"/>
              </w:rPr>
              <w:t>暂存间能够</w:t>
            </w:r>
            <w:r>
              <w:rPr>
                <w:rFonts w:hint="eastAsia" w:eastAsia="宋体"/>
                <w:sz w:val="21"/>
                <w:szCs w:val="21"/>
              </w:rPr>
              <w:t>满足</w:t>
            </w:r>
            <w:r>
              <w:rPr>
                <w:rFonts w:eastAsia="宋体"/>
                <w:sz w:val="21"/>
                <w:szCs w:val="21"/>
              </w:rPr>
              <w:t>项目实施需要</w:t>
            </w:r>
          </w:p>
          <w:p>
            <w:pPr>
              <w:spacing w:line="340" w:lineRule="exact"/>
              <w:jc w:val="left"/>
              <w:rPr>
                <w:rFonts w:eastAsia="宋体"/>
                <w:sz w:val="21"/>
                <w:szCs w:val="21"/>
              </w:rPr>
            </w:pPr>
            <w:r>
              <w:rPr>
                <w:rFonts w:eastAsia="宋体"/>
                <w:sz w:val="21"/>
                <w:szCs w:val="21"/>
              </w:rPr>
              <w:t>3、一般固废出售给回收公司进行综合利用，危险废物委托有资质单位进行进行处置</w:t>
            </w:r>
          </w:p>
        </w:tc>
        <w:tc>
          <w:tcPr>
            <w:tcW w:w="1272" w:type="dxa"/>
            <w:vAlign w:val="center"/>
          </w:tcPr>
          <w:p>
            <w:pPr>
              <w:spacing w:line="340" w:lineRule="exact"/>
              <w:jc w:val="center"/>
              <w:rPr>
                <w:rFonts w:eastAsia="宋体"/>
                <w:sz w:val="21"/>
                <w:szCs w:val="21"/>
              </w:rPr>
            </w:pPr>
            <w:r>
              <w:rPr>
                <w:rFonts w:hint="eastAsia" w:eastAsia="宋体"/>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1" w:type="dxa"/>
            <w:vMerge w:val="continue"/>
            <w:vAlign w:val="center"/>
          </w:tcPr>
          <w:p>
            <w:pPr>
              <w:spacing w:line="340" w:lineRule="exact"/>
              <w:ind w:left="-149" w:leftChars="-53" w:right="-113" w:rightChars="-40"/>
              <w:jc w:val="center"/>
              <w:rPr>
                <w:rFonts w:eastAsia="宋体"/>
                <w:sz w:val="21"/>
                <w:szCs w:val="21"/>
              </w:rPr>
            </w:pPr>
          </w:p>
        </w:tc>
        <w:tc>
          <w:tcPr>
            <w:tcW w:w="1383" w:type="dxa"/>
            <w:vAlign w:val="center"/>
          </w:tcPr>
          <w:p>
            <w:pPr>
              <w:spacing w:line="340" w:lineRule="exact"/>
              <w:jc w:val="center"/>
              <w:rPr>
                <w:rFonts w:eastAsia="宋体"/>
                <w:sz w:val="21"/>
                <w:szCs w:val="21"/>
              </w:rPr>
            </w:pPr>
            <w:r>
              <w:rPr>
                <w:rFonts w:eastAsia="宋体"/>
                <w:sz w:val="21"/>
                <w:szCs w:val="21"/>
              </w:rPr>
              <w:t>防渗工程</w:t>
            </w:r>
          </w:p>
        </w:tc>
        <w:tc>
          <w:tcPr>
            <w:tcW w:w="5498" w:type="dxa"/>
            <w:gridSpan w:val="2"/>
            <w:vAlign w:val="center"/>
          </w:tcPr>
          <w:p>
            <w:pPr>
              <w:spacing w:line="340" w:lineRule="exact"/>
              <w:jc w:val="left"/>
              <w:rPr>
                <w:rFonts w:eastAsia="宋体"/>
                <w:sz w:val="21"/>
                <w:szCs w:val="21"/>
              </w:rPr>
            </w:pPr>
            <w:r>
              <w:rPr>
                <w:rFonts w:eastAsiaTheme="minorEastAsia"/>
                <w:sz w:val="21"/>
                <w:szCs w:val="21"/>
              </w:rPr>
              <w:t>根据厂区天然包气带防污性能、污染控制难易程度及污染物特性，将厂区划分为重点防渗区、一般防渗区和简单防渗区。其中危险废物暂存库为重点防渗区，</w:t>
            </w:r>
            <w:r>
              <w:rPr>
                <w:rFonts w:hint="eastAsia" w:eastAsiaTheme="minorEastAsia"/>
                <w:sz w:val="21"/>
                <w:szCs w:val="21"/>
              </w:rPr>
              <w:t>浊环水系统</w:t>
            </w:r>
            <w:r>
              <w:rPr>
                <w:rFonts w:eastAsiaTheme="minorEastAsia"/>
                <w:sz w:val="21"/>
                <w:szCs w:val="21"/>
              </w:rPr>
              <w:t>、一般废物暂存库和其它仓库均为一般防渗区，其他区域(厂区道路、配电房、水泵房)为简单防渗区。</w:t>
            </w:r>
          </w:p>
        </w:tc>
        <w:tc>
          <w:tcPr>
            <w:tcW w:w="1272" w:type="dxa"/>
            <w:vAlign w:val="center"/>
          </w:tcPr>
          <w:p>
            <w:pPr>
              <w:spacing w:line="340" w:lineRule="exact"/>
              <w:jc w:val="center"/>
              <w:rPr>
                <w:rFonts w:eastAsia="宋体"/>
                <w:sz w:val="21"/>
                <w:szCs w:val="21"/>
              </w:rPr>
            </w:pPr>
            <w:r>
              <w:rPr>
                <w:rFonts w:hint="eastAsia" w:eastAsia="宋体"/>
                <w:sz w:val="21"/>
                <w:szCs w:val="21"/>
              </w:rPr>
              <w:t>新建</w:t>
            </w:r>
          </w:p>
        </w:tc>
      </w:tr>
    </w:tbl>
    <w:p>
      <w:pPr>
        <w:pStyle w:val="3"/>
        <w:numPr>
          <w:ilvl w:val="1"/>
          <w:numId w:val="24"/>
        </w:numPr>
        <w:rPr>
          <w:rFonts w:ascii="Times New Roman" w:hAnsi="Times New Roman"/>
        </w:rPr>
      </w:pPr>
      <w:bookmarkStart w:id="98" w:name="_Toc10637147"/>
      <w:bookmarkStart w:id="99" w:name="_Toc469860864"/>
      <w:r>
        <w:rPr>
          <w:rFonts w:ascii="Times New Roman" w:hAnsi="Times New Roman"/>
        </w:rPr>
        <w:t>项目产品方案</w:t>
      </w:r>
      <w:bookmarkEnd w:id="98"/>
    </w:p>
    <w:p>
      <w:pPr>
        <w:pStyle w:val="835"/>
        <w:spacing w:before="0" w:line="480" w:lineRule="exact"/>
        <w:ind w:firstLine="486"/>
        <w:rPr>
          <w:rFonts w:ascii="Times New Roman" w:hAnsi="Times New Roman"/>
        </w:rPr>
      </w:pPr>
      <w:r>
        <w:rPr>
          <w:rFonts w:hint="eastAsia" w:ascii="Times New Roman" w:hAnsi="Times New Roman"/>
        </w:rPr>
        <w:t>本技改</w:t>
      </w:r>
      <w:r>
        <w:rPr>
          <w:rFonts w:ascii="Times New Roman" w:hAnsi="Times New Roman"/>
        </w:rPr>
        <w:t>项目在炼钢一厂内实施，其余分厂或车间的生产工艺及生产规模均不变。本项目实施前后</w:t>
      </w:r>
      <w:r>
        <w:rPr>
          <w:rFonts w:hint="eastAsia" w:ascii="Times New Roman" w:hAnsi="Times New Roman"/>
        </w:rPr>
        <w:t>炼钢一厂</w:t>
      </w:r>
      <w:r>
        <w:rPr>
          <w:rFonts w:ascii="Times New Roman" w:hAnsi="Times New Roman"/>
        </w:rPr>
        <w:t>的</w:t>
      </w:r>
      <w:r>
        <w:rPr>
          <w:rFonts w:hint="eastAsia" w:ascii="Times New Roman" w:hAnsi="Times New Roman"/>
        </w:rPr>
        <w:t>钢</w:t>
      </w:r>
      <w:r>
        <w:rPr>
          <w:rFonts w:ascii="Times New Roman" w:hAnsi="Times New Roman"/>
        </w:rPr>
        <w:t>种不变，仍为</w:t>
      </w:r>
      <w:r>
        <w:rPr>
          <w:rFonts w:hint="eastAsia" w:ascii="Times New Roman" w:hAnsi="Times New Roman"/>
        </w:rPr>
        <w:t>奥氏体和超级奥氏体、双相和超级双相钢、焊接线材、镍铬合金、镍基合金、阀门不锈钢。项目实施</w:t>
      </w:r>
      <w:r>
        <w:rPr>
          <w:rFonts w:ascii="Times New Roman" w:hAnsi="Times New Roman"/>
        </w:rPr>
        <w:t>前后</w:t>
      </w:r>
      <w:r>
        <w:rPr>
          <w:rFonts w:hint="eastAsia" w:ascii="Times New Roman" w:hAnsi="Times New Roman"/>
        </w:rPr>
        <w:t>炼钢一厂</w:t>
      </w:r>
      <w:r>
        <w:rPr>
          <w:rFonts w:ascii="Times New Roman" w:hAnsi="Times New Roman"/>
        </w:rPr>
        <w:t>产品方案见表4-3</w:t>
      </w:r>
      <w:r>
        <w:rPr>
          <w:rFonts w:hint="eastAsia" w:ascii="Times New Roman" w:hAnsi="Times New Roman"/>
        </w:rPr>
        <w:t>，其中连铸坯产品大纲详见表4-4</w:t>
      </w:r>
      <w:r>
        <w:rPr>
          <w:rFonts w:ascii="Times New Roman" w:hAnsi="Times New Roman"/>
        </w:rPr>
        <w:t>。</w:t>
      </w:r>
    </w:p>
    <w:p>
      <w:pPr>
        <w:pStyle w:val="313"/>
        <w:tabs>
          <w:tab w:val="clear" w:pos="3908"/>
        </w:tabs>
        <w:ind w:left="1122" w:hanging="561"/>
        <w:rPr>
          <w:rFonts w:ascii="Times New Roman" w:hAnsi="Times New Roman"/>
        </w:rPr>
      </w:pPr>
      <w:r>
        <w:rPr>
          <w:rFonts w:hint="eastAsia" w:ascii="Times New Roman" w:hAnsi="Times New Roman"/>
          <w:lang w:eastAsia="zh-CN"/>
        </w:rPr>
        <w:t>技改前后炼钢一厂</w:t>
      </w:r>
      <w:r>
        <w:rPr>
          <w:rFonts w:ascii="Times New Roman" w:hAnsi="Times New Roman"/>
        </w:rPr>
        <w:t>产品方案</w:t>
      </w:r>
      <w:r>
        <w:rPr>
          <w:rFonts w:hint="eastAsia" w:ascii="Times New Roman" w:hAnsi="Times New Roman"/>
          <w:lang w:eastAsia="zh-CN"/>
        </w:rPr>
        <w:t>一览表</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078"/>
        <w:gridCol w:w="1345"/>
        <w:gridCol w:w="3759"/>
        <w:gridCol w:w="70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496"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eastAsiaTheme="minorEastAsia"/>
                <w:bCs/>
                <w:sz w:val="21"/>
                <w:szCs w:val="21"/>
              </w:rPr>
              <w:t>序号</w:t>
            </w:r>
          </w:p>
        </w:tc>
        <w:tc>
          <w:tcPr>
            <w:tcW w:w="1078"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eastAsiaTheme="minorEastAsia"/>
                <w:bCs/>
                <w:sz w:val="21"/>
                <w:szCs w:val="21"/>
              </w:rPr>
              <w:t>产品名称</w:t>
            </w:r>
          </w:p>
        </w:tc>
        <w:tc>
          <w:tcPr>
            <w:tcW w:w="1345"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技改前产品规模(万t/a)</w:t>
            </w:r>
          </w:p>
        </w:tc>
        <w:tc>
          <w:tcPr>
            <w:tcW w:w="3759"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技改后产品规模 (万t/a)</w:t>
            </w:r>
          </w:p>
        </w:tc>
        <w:tc>
          <w:tcPr>
            <w:tcW w:w="707"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变化</w:t>
            </w:r>
            <w:r>
              <w:rPr>
                <w:rFonts w:eastAsiaTheme="minorEastAsia"/>
                <w:bCs/>
                <w:sz w:val="21"/>
                <w:szCs w:val="21"/>
              </w:rPr>
              <w:t>情况</w:t>
            </w:r>
          </w:p>
        </w:tc>
        <w:tc>
          <w:tcPr>
            <w:tcW w:w="1382" w:type="dxa"/>
            <w:tcBorders>
              <w:top w:val="single" w:color="auto" w:sz="4" w:space="0"/>
              <w:left w:val="single" w:color="auto" w:sz="4" w:space="0"/>
              <w:right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6" w:type="dxa"/>
            <w:vAlign w:val="center"/>
          </w:tcPr>
          <w:p>
            <w:pPr>
              <w:adjustRightInd w:val="0"/>
              <w:snapToGrid w:val="0"/>
              <w:spacing w:line="0" w:lineRule="atLeast"/>
              <w:jc w:val="center"/>
              <w:rPr>
                <w:rFonts w:eastAsiaTheme="minorEastAsia"/>
                <w:bCs/>
                <w:sz w:val="21"/>
                <w:szCs w:val="21"/>
              </w:rPr>
            </w:pPr>
            <w:r>
              <w:rPr>
                <w:rFonts w:eastAsiaTheme="minorEastAsia"/>
                <w:bCs/>
                <w:sz w:val="21"/>
                <w:szCs w:val="21"/>
              </w:rPr>
              <w:t>1</w:t>
            </w:r>
          </w:p>
        </w:tc>
        <w:tc>
          <w:tcPr>
            <w:tcW w:w="1078"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连铸坯</w:t>
            </w:r>
          </w:p>
        </w:tc>
        <w:tc>
          <w:tcPr>
            <w:tcW w:w="1345"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0</w:t>
            </w:r>
          </w:p>
        </w:tc>
        <w:tc>
          <w:tcPr>
            <w:tcW w:w="3759"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6(具体详见表4-4)</w:t>
            </w:r>
          </w:p>
        </w:tc>
        <w:tc>
          <w:tcPr>
            <w:tcW w:w="707"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+6</w:t>
            </w:r>
          </w:p>
        </w:tc>
        <w:tc>
          <w:tcPr>
            <w:tcW w:w="1382" w:type="dxa"/>
            <w:vMerge w:val="restart"/>
            <w:vAlign w:val="center"/>
          </w:tcPr>
          <w:p>
            <w:pPr>
              <w:spacing w:line="360" w:lineRule="exact"/>
              <w:jc w:val="center"/>
              <w:rPr>
                <w:rFonts w:eastAsia="宋体"/>
                <w:sz w:val="21"/>
                <w:szCs w:val="21"/>
              </w:rPr>
            </w:pPr>
            <w:r>
              <w:rPr>
                <w:rFonts w:hint="eastAsia" w:eastAsia="宋体"/>
                <w:sz w:val="21"/>
                <w:szCs w:val="21"/>
              </w:rPr>
              <w:t>炼钢产能不变，仍为10万t/a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96" w:type="dxa"/>
            <w:vAlign w:val="center"/>
          </w:tcPr>
          <w:p>
            <w:pPr>
              <w:adjustRightInd w:val="0"/>
              <w:snapToGrid w:val="0"/>
              <w:spacing w:line="0" w:lineRule="atLeast"/>
              <w:jc w:val="center"/>
              <w:rPr>
                <w:rFonts w:eastAsiaTheme="minorEastAsia"/>
                <w:bCs/>
                <w:sz w:val="21"/>
                <w:szCs w:val="21"/>
              </w:rPr>
            </w:pPr>
            <w:r>
              <w:rPr>
                <w:rFonts w:eastAsiaTheme="minorEastAsia"/>
                <w:bCs/>
                <w:sz w:val="21"/>
                <w:szCs w:val="21"/>
              </w:rPr>
              <w:t>2</w:t>
            </w:r>
          </w:p>
        </w:tc>
        <w:tc>
          <w:tcPr>
            <w:tcW w:w="1078"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模铸坯</w:t>
            </w:r>
          </w:p>
        </w:tc>
        <w:tc>
          <w:tcPr>
            <w:tcW w:w="1345"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10</w:t>
            </w:r>
          </w:p>
        </w:tc>
        <w:tc>
          <w:tcPr>
            <w:tcW w:w="3759"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4(模铸锭型包括17"、20"、22"、24"、26"、32"、36"、39"、40"、48"、φ350、φ420、φ460、φ530)</w:t>
            </w:r>
          </w:p>
        </w:tc>
        <w:tc>
          <w:tcPr>
            <w:tcW w:w="707" w:type="dxa"/>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-6</w:t>
            </w:r>
          </w:p>
        </w:tc>
        <w:tc>
          <w:tcPr>
            <w:tcW w:w="1382" w:type="dxa"/>
            <w:vMerge w:val="continue"/>
            <w:vAlign w:val="center"/>
          </w:tcPr>
          <w:p>
            <w:pPr>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574" w:type="dxa"/>
            <w:gridSpan w:val="2"/>
            <w:tcBorders>
              <w:bottom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合计</w:t>
            </w:r>
          </w:p>
        </w:tc>
        <w:tc>
          <w:tcPr>
            <w:tcW w:w="1345" w:type="dxa"/>
            <w:tcBorders>
              <w:bottom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10</w:t>
            </w:r>
          </w:p>
        </w:tc>
        <w:tc>
          <w:tcPr>
            <w:tcW w:w="3759" w:type="dxa"/>
            <w:tcBorders>
              <w:bottom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10</w:t>
            </w:r>
          </w:p>
        </w:tc>
        <w:tc>
          <w:tcPr>
            <w:tcW w:w="707" w:type="dxa"/>
            <w:tcBorders>
              <w:bottom w:val="single" w:color="auto" w:sz="4" w:space="0"/>
            </w:tcBorders>
            <w:vAlign w:val="center"/>
          </w:tcPr>
          <w:p>
            <w:pPr>
              <w:adjustRightInd w:val="0"/>
              <w:snapToGrid w:val="0"/>
              <w:spacing w:line="0" w:lineRule="atLeast"/>
              <w:jc w:val="center"/>
              <w:rPr>
                <w:rFonts w:eastAsiaTheme="minorEastAsia"/>
                <w:bCs/>
                <w:sz w:val="21"/>
                <w:szCs w:val="21"/>
              </w:rPr>
            </w:pPr>
            <w:r>
              <w:rPr>
                <w:rFonts w:hint="eastAsia" w:eastAsiaTheme="minorEastAsia"/>
                <w:bCs/>
                <w:sz w:val="21"/>
                <w:szCs w:val="21"/>
              </w:rPr>
              <w:t>0</w:t>
            </w:r>
          </w:p>
        </w:tc>
        <w:tc>
          <w:tcPr>
            <w:tcW w:w="1382" w:type="dxa"/>
            <w:tcBorders>
              <w:bottom w:val="single" w:color="auto" w:sz="4" w:space="0"/>
            </w:tcBorders>
            <w:vAlign w:val="center"/>
          </w:tcPr>
          <w:p>
            <w:pPr>
              <w:adjustRightInd w:val="0"/>
              <w:snapToGrid w:val="0"/>
              <w:spacing w:line="0" w:lineRule="atLeast"/>
              <w:jc w:val="center"/>
              <w:rPr>
                <w:rFonts w:eastAsia="宋体"/>
                <w:bCs/>
                <w:szCs w:val="21"/>
              </w:rPr>
            </w:pPr>
            <w:r>
              <w:rPr>
                <w:rFonts w:hint="eastAsia" w:eastAsia="宋体"/>
                <w:bCs/>
                <w:szCs w:val="21"/>
              </w:rPr>
              <w:t>/</w:t>
            </w:r>
          </w:p>
        </w:tc>
      </w:tr>
    </w:tbl>
    <w:p>
      <w:pPr>
        <w:pStyle w:val="313"/>
        <w:tabs>
          <w:tab w:val="clear" w:pos="3908"/>
        </w:tabs>
        <w:ind w:left="1122" w:hanging="561"/>
        <w:rPr>
          <w:rFonts w:ascii="Times New Roman" w:hAnsi="Times New Roman"/>
        </w:rPr>
      </w:pPr>
      <w:bookmarkStart w:id="100" w:name="_Toc381697474"/>
      <w:r>
        <w:rPr>
          <w:rFonts w:hint="eastAsia" w:ascii="Times New Roman" w:hAnsi="Times New Roman"/>
          <w:lang w:eastAsia="zh-CN"/>
        </w:rPr>
        <w:t>连铸坯产品大纲</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
        <w:gridCol w:w="839"/>
        <w:gridCol w:w="2269"/>
        <w:gridCol w:w="727"/>
        <w:gridCol w:w="727"/>
        <w:gridCol w:w="727"/>
        <w:gridCol w:w="501"/>
        <w:gridCol w:w="727"/>
        <w:gridCol w:w="727"/>
        <w:gridCol w:w="727"/>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58" w:type="dxa"/>
            <w:vMerge w:val="restart"/>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序号</w:t>
            </w:r>
          </w:p>
        </w:tc>
        <w:tc>
          <w:tcPr>
            <w:tcW w:w="839" w:type="dxa"/>
            <w:vMerge w:val="restart"/>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钢种</w:t>
            </w:r>
          </w:p>
        </w:tc>
        <w:tc>
          <w:tcPr>
            <w:tcW w:w="2269" w:type="dxa"/>
            <w:vMerge w:val="restart"/>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代表钢种</w:t>
            </w:r>
          </w:p>
        </w:tc>
        <w:tc>
          <w:tcPr>
            <w:tcW w:w="2682" w:type="dxa"/>
            <w:gridSpan w:val="4"/>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百分比</w:t>
            </w:r>
          </w:p>
        </w:tc>
        <w:tc>
          <w:tcPr>
            <w:tcW w:w="2719" w:type="dxa"/>
            <w:gridSpan w:val="4"/>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年产量（万t/a）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58" w:type="dxa"/>
            <w:vMerge w:val="continue"/>
            <w:vAlign w:val="center"/>
          </w:tcPr>
          <w:p>
            <w:pPr>
              <w:widowControl/>
              <w:adjustRightInd w:val="0"/>
              <w:snapToGrid w:val="0"/>
              <w:spacing w:line="300" w:lineRule="exact"/>
              <w:ind w:left="-141" w:leftChars="-50" w:right="-141" w:rightChars="-50"/>
              <w:jc w:val="center"/>
              <w:rPr>
                <w:rFonts w:eastAsiaTheme="minorEastAsia"/>
                <w:kern w:val="0"/>
                <w:sz w:val="18"/>
                <w:szCs w:val="18"/>
              </w:rPr>
            </w:pPr>
          </w:p>
        </w:tc>
        <w:tc>
          <w:tcPr>
            <w:tcW w:w="839" w:type="dxa"/>
            <w:vMerge w:val="continue"/>
            <w:vAlign w:val="center"/>
          </w:tcPr>
          <w:p>
            <w:pPr>
              <w:widowControl/>
              <w:adjustRightInd w:val="0"/>
              <w:snapToGrid w:val="0"/>
              <w:spacing w:line="300" w:lineRule="exact"/>
              <w:ind w:left="-141" w:leftChars="-50" w:right="-141" w:rightChars="-50"/>
              <w:jc w:val="center"/>
              <w:rPr>
                <w:rFonts w:eastAsiaTheme="minorEastAsia"/>
                <w:kern w:val="0"/>
                <w:sz w:val="18"/>
                <w:szCs w:val="18"/>
              </w:rPr>
            </w:pPr>
          </w:p>
        </w:tc>
        <w:tc>
          <w:tcPr>
            <w:tcW w:w="2269" w:type="dxa"/>
            <w:vMerge w:val="continue"/>
            <w:vAlign w:val="center"/>
          </w:tcPr>
          <w:p>
            <w:pPr>
              <w:widowControl/>
              <w:adjustRightInd w:val="0"/>
              <w:snapToGrid w:val="0"/>
              <w:spacing w:line="300" w:lineRule="exact"/>
              <w:ind w:left="-141" w:leftChars="-50" w:right="-141" w:rightChars="-50"/>
              <w:jc w:val="center"/>
              <w:rPr>
                <w:rFonts w:eastAsiaTheme="minorEastAsia"/>
                <w:kern w:val="0"/>
                <w:sz w:val="18"/>
                <w:szCs w:val="18"/>
              </w:rPr>
            </w:pP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150×150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180×180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220×220</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小计</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150×150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180×180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220×220</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奥氏体和</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超级奥氏</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体不锈钢</w:t>
            </w:r>
          </w:p>
        </w:tc>
        <w:tc>
          <w:tcPr>
            <w:tcW w:w="2269" w:type="dxa"/>
            <w:vAlign w:val="center"/>
          </w:tcPr>
          <w:p>
            <w:pPr>
              <w:widowControl/>
              <w:adjustRightInd w:val="0"/>
              <w:snapToGrid w:val="0"/>
              <w:spacing w:line="300" w:lineRule="exact"/>
              <w:jc w:val="center"/>
              <w:rPr>
                <w:rFonts w:eastAsiaTheme="minorEastAsia"/>
                <w:kern w:val="0"/>
                <w:sz w:val="18"/>
                <w:szCs w:val="18"/>
              </w:rPr>
            </w:pPr>
            <w:r>
              <w:rPr>
                <w:rFonts w:eastAsiaTheme="minorEastAsia"/>
                <w:kern w:val="0"/>
                <w:sz w:val="18"/>
                <w:szCs w:val="18"/>
              </w:rPr>
              <w:t>304</w:t>
            </w:r>
            <w:r>
              <w:rPr>
                <w:rFonts w:hint="eastAsia" w:eastAsiaTheme="minorEastAsia"/>
                <w:kern w:val="0"/>
                <w:sz w:val="18"/>
                <w:szCs w:val="18"/>
              </w:rPr>
              <w:t>，</w:t>
            </w:r>
            <w:r>
              <w:rPr>
                <w:rFonts w:eastAsiaTheme="minorEastAsia"/>
                <w:kern w:val="0"/>
                <w:sz w:val="18"/>
                <w:szCs w:val="18"/>
              </w:rPr>
              <w:t>310</w:t>
            </w:r>
            <w:r>
              <w:rPr>
                <w:rFonts w:hint="eastAsia" w:eastAsiaTheme="minorEastAsia"/>
                <w:kern w:val="0"/>
                <w:sz w:val="18"/>
                <w:szCs w:val="18"/>
              </w:rPr>
              <w:t>，</w:t>
            </w:r>
            <w:r>
              <w:rPr>
                <w:rFonts w:eastAsiaTheme="minorEastAsia"/>
                <w:kern w:val="0"/>
                <w:sz w:val="18"/>
                <w:szCs w:val="18"/>
              </w:rPr>
              <w:t>314</w:t>
            </w:r>
            <w:r>
              <w:rPr>
                <w:rFonts w:hint="eastAsia" w:eastAsiaTheme="minorEastAsia"/>
                <w:kern w:val="0"/>
                <w:sz w:val="18"/>
                <w:szCs w:val="18"/>
              </w:rPr>
              <w:t>，</w:t>
            </w:r>
            <w:r>
              <w:rPr>
                <w:rFonts w:eastAsiaTheme="minorEastAsia"/>
                <w:kern w:val="0"/>
                <w:sz w:val="18"/>
                <w:szCs w:val="18"/>
              </w:rPr>
              <w:t>316</w:t>
            </w:r>
            <w:r>
              <w:rPr>
                <w:rFonts w:hint="eastAsia" w:eastAsiaTheme="minorEastAsia"/>
                <w:kern w:val="0"/>
                <w:sz w:val="18"/>
                <w:szCs w:val="18"/>
              </w:rPr>
              <w:t>，</w:t>
            </w:r>
            <w:r>
              <w:rPr>
                <w:rFonts w:eastAsiaTheme="minorEastAsia"/>
                <w:kern w:val="0"/>
                <w:sz w:val="18"/>
                <w:szCs w:val="18"/>
              </w:rPr>
              <w:t>317</w:t>
            </w:r>
            <w:r>
              <w:rPr>
                <w:rFonts w:hint="eastAsia" w:eastAsiaTheme="minorEastAsia"/>
                <w:kern w:val="0"/>
                <w:sz w:val="18"/>
                <w:szCs w:val="18"/>
              </w:rPr>
              <w:t>，</w:t>
            </w:r>
            <w:r>
              <w:rPr>
                <w:rFonts w:eastAsiaTheme="minorEastAsia"/>
                <w:kern w:val="0"/>
                <w:sz w:val="18"/>
                <w:szCs w:val="18"/>
              </w:rPr>
              <w:t>321</w:t>
            </w:r>
            <w:r>
              <w:rPr>
                <w:rFonts w:hint="eastAsia" w:eastAsiaTheme="minorEastAsia"/>
                <w:kern w:val="0"/>
                <w:sz w:val="18"/>
                <w:szCs w:val="18"/>
              </w:rPr>
              <w:t>，</w:t>
            </w:r>
            <w:r>
              <w:rPr>
                <w:rFonts w:eastAsiaTheme="minorEastAsia"/>
                <w:kern w:val="0"/>
                <w:sz w:val="18"/>
                <w:szCs w:val="18"/>
              </w:rPr>
              <w:t>316Ti</w:t>
            </w:r>
            <w:r>
              <w:rPr>
                <w:rFonts w:hint="eastAsia" w:eastAsiaTheme="minorEastAsia"/>
                <w:kern w:val="0"/>
                <w:sz w:val="18"/>
                <w:szCs w:val="18"/>
              </w:rPr>
              <w:t>；</w:t>
            </w:r>
            <w:r>
              <w:rPr>
                <w:rFonts w:eastAsiaTheme="minorEastAsia"/>
                <w:kern w:val="0"/>
                <w:sz w:val="18"/>
                <w:szCs w:val="18"/>
              </w:rPr>
              <w:t>TP347HFG</w:t>
            </w:r>
            <w:r>
              <w:rPr>
                <w:rFonts w:hint="eastAsia" w:eastAsiaTheme="minorEastAsia"/>
                <w:kern w:val="0"/>
                <w:sz w:val="18"/>
                <w:szCs w:val="18"/>
              </w:rPr>
              <w:t>，</w:t>
            </w:r>
            <w:r>
              <w:rPr>
                <w:rFonts w:eastAsiaTheme="minorEastAsia"/>
                <w:kern w:val="0"/>
                <w:sz w:val="18"/>
                <w:szCs w:val="18"/>
              </w:rPr>
              <w:t>TP310HNBN,S30432</w:t>
            </w:r>
            <w:r>
              <w:rPr>
                <w:rFonts w:hint="eastAsia" w:eastAsiaTheme="minorEastAsia"/>
                <w:kern w:val="0"/>
                <w:sz w:val="18"/>
                <w:szCs w:val="18"/>
              </w:rPr>
              <w:t>；</w:t>
            </w:r>
            <w:r>
              <w:rPr>
                <w:rFonts w:eastAsiaTheme="minorEastAsia"/>
                <w:kern w:val="0"/>
                <w:sz w:val="18"/>
                <w:szCs w:val="18"/>
              </w:rPr>
              <w:t>S31050,904L,S31254</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22%</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40%</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72%</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1.32</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2.4</w:t>
            </w:r>
          </w:p>
        </w:tc>
        <w:tc>
          <w:tcPr>
            <w:tcW w:w="538" w:type="dxa"/>
            <w:vAlign w:val="center"/>
          </w:tcPr>
          <w:p>
            <w:pPr>
              <w:widowControl/>
              <w:adjustRightInd w:val="0"/>
              <w:snapToGrid w:val="0"/>
              <w:spacing w:line="300" w:lineRule="exact"/>
              <w:ind w:right="-141" w:rightChars="-50"/>
              <w:jc w:val="center"/>
              <w:rPr>
                <w:rFonts w:eastAsiaTheme="minorEastAsia"/>
                <w:kern w:val="0"/>
                <w:sz w:val="18"/>
                <w:szCs w:val="18"/>
              </w:rPr>
            </w:pPr>
            <w:r>
              <w:rPr>
                <w:sz w:val="18"/>
                <w:szCs w:val="18"/>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双相和超</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级双相</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不锈钢</w:t>
            </w:r>
          </w:p>
        </w:tc>
        <w:tc>
          <w:tcPr>
            <w:tcW w:w="2269" w:type="dxa"/>
            <w:vAlign w:val="center"/>
          </w:tcPr>
          <w:p>
            <w:pPr>
              <w:widowControl/>
              <w:adjustRightInd w:val="0"/>
              <w:snapToGrid w:val="0"/>
              <w:spacing w:line="300" w:lineRule="exact"/>
              <w:jc w:val="center"/>
              <w:rPr>
                <w:rFonts w:eastAsiaTheme="minorEastAsia"/>
                <w:kern w:val="0"/>
                <w:sz w:val="18"/>
                <w:szCs w:val="18"/>
              </w:rPr>
            </w:pPr>
            <w:r>
              <w:rPr>
                <w:rFonts w:eastAsiaTheme="minorEastAsia"/>
                <w:kern w:val="0"/>
                <w:sz w:val="18"/>
                <w:szCs w:val="18"/>
              </w:rPr>
              <w:t>S32101，S23204</w:t>
            </w:r>
            <w:r>
              <w:rPr>
                <w:rFonts w:hint="eastAsia" w:eastAsiaTheme="minorEastAsia"/>
                <w:kern w:val="0"/>
                <w:sz w:val="18"/>
                <w:szCs w:val="18"/>
              </w:rPr>
              <w:t>，</w:t>
            </w:r>
            <w:r>
              <w:rPr>
                <w:rFonts w:eastAsiaTheme="minorEastAsia"/>
                <w:kern w:val="0"/>
                <w:sz w:val="18"/>
                <w:szCs w:val="18"/>
              </w:rPr>
              <w:t>231803</w:t>
            </w:r>
            <w:r>
              <w:rPr>
                <w:rFonts w:hint="eastAsia" w:eastAsiaTheme="minorEastAsia"/>
                <w:kern w:val="0"/>
                <w:sz w:val="18"/>
                <w:szCs w:val="18"/>
              </w:rPr>
              <w:t>；</w:t>
            </w:r>
            <w:r>
              <w:rPr>
                <w:rFonts w:eastAsiaTheme="minorEastAsia"/>
                <w:kern w:val="0"/>
                <w:sz w:val="18"/>
                <w:szCs w:val="18"/>
              </w:rPr>
              <w:t>S32205，S32750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6%</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0.18</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0.36</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3</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双相和</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超级双相</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不锈钢</w:t>
            </w:r>
          </w:p>
        </w:tc>
        <w:tc>
          <w:tcPr>
            <w:tcW w:w="2269" w:type="dxa"/>
            <w:vAlign w:val="center"/>
          </w:tcPr>
          <w:p>
            <w:pPr>
              <w:widowControl/>
              <w:adjustRightInd w:val="0"/>
              <w:snapToGrid w:val="0"/>
              <w:spacing w:line="300" w:lineRule="exact"/>
              <w:jc w:val="center"/>
              <w:rPr>
                <w:rFonts w:eastAsiaTheme="minorEastAsia"/>
                <w:kern w:val="0"/>
                <w:sz w:val="18"/>
                <w:szCs w:val="18"/>
              </w:rPr>
            </w:pPr>
            <w:r>
              <w:rPr>
                <w:rFonts w:eastAsiaTheme="minorEastAsia"/>
                <w:kern w:val="0"/>
                <w:sz w:val="18"/>
                <w:szCs w:val="18"/>
              </w:rPr>
              <w:t>ER2209</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　</w:t>
            </w:r>
            <w:r>
              <w:rPr>
                <w:rFonts w:hint="eastAsia" w:eastAsiaTheme="minorEastAsia"/>
                <w:kern w:val="0"/>
                <w:sz w:val="18"/>
                <w:szCs w:val="18"/>
              </w:rPr>
              <w:t>/</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0.5%</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0.5%</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0.03</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sz w:val="18"/>
                <w:szCs w:val="18"/>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4</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镍铬合金</w:t>
            </w:r>
          </w:p>
        </w:tc>
        <w:tc>
          <w:tcPr>
            <w:tcW w:w="2269" w:type="dxa"/>
            <w:vAlign w:val="center"/>
          </w:tcPr>
          <w:p>
            <w:pPr>
              <w:widowControl/>
              <w:adjustRightInd w:val="0"/>
              <w:snapToGrid w:val="0"/>
              <w:spacing w:line="300" w:lineRule="exact"/>
              <w:jc w:val="center"/>
              <w:rPr>
                <w:rFonts w:eastAsiaTheme="minorEastAsia"/>
                <w:kern w:val="0"/>
                <w:sz w:val="18"/>
                <w:szCs w:val="18"/>
              </w:rPr>
            </w:pPr>
            <w:r>
              <w:rPr>
                <w:rFonts w:eastAsiaTheme="minorEastAsia"/>
                <w:kern w:val="0"/>
                <w:sz w:val="18"/>
                <w:szCs w:val="18"/>
              </w:rPr>
              <w:t>N08810，N08825，N08028</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5%</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4%</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0.24</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5</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马氏体阀</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门不锈钢</w:t>
            </w:r>
          </w:p>
        </w:tc>
        <w:tc>
          <w:tcPr>
            <w:tcW w:w="2269" w:type="dxa"/>
            <w:vAlign w:val="center"/>
          </w:tcPr>
          <w:p>
            <w:pPr>
              <w:widowControl/>
              <w:adjustRightInd w:val="0"/>
              <w:snapToGrid w:val="0"/>
              <w:spacing w:line="300" w:lineRule="exact"/>
              <w:jc w:val="center"/>
              <w:rPr>
                <w:rFonts w:eastAsiaTheme="minorEastAsia"/>
                <w:kern w:val="0"/>
                <w:sz w:val="18"/>
                <w:szCs w:val="18"/>
              </w:rPr>
            </w:pPr>
            <w:r>
              <w:rPr>
                <w:rFonts w:eastAsiaTheme="minorEastAsia"/>
                <w:kern w:val="0"/>
                <w:sz w:val="18"/>
                <w:szCs w:val="18"/>
              </w:rPr>
              <w:t>40Cr10Si2Mo(HNV1)</w:t>
            </w:r>
            <w:r>
              <w:rPr>
                <w:rFonts w:hint="eastAsia" w:eastAsiaTheme="minorEastAsia"/>
                <w:kern w:val="0"/>
                <w:sz w:val="18"/>
                <w:szCs w:val="18"/>
              </w:rPr>
              <w:t>；</w:t>
            </w:r>
            <w:r>
              <w:rPr>
                <w:rFonts w:eastAsiaTheme="minorEastAsia"/>
                <w:kern w:val="0"/>
                <w:sz w:val="18"/>
                <w:szCs w:val="18"/>
              </w:rPr>
              <w:t>42Cr9Si2(HNV2)</w:t>
            </w:r>
            <w:r>
              <w:rPr>
                <w:rFonts w:hint="eastAsia" w:eastAsiaTheme="minorEastAsia"/>
                <w:kern w:val="0"/>
                <w:sz w:val="18"/>
                <w:szCs w:val="18"/>
              </w:rPr>
              <w:t>；</w:t>
            </w:r>
            <w:r>
              <w:rPr>
                <w:rFonts w:eastAsiaTheme="minorEastAsia"/>
                <w:kern w:val="0"/>
                <w:sz w:val="18"/>
                <w:szCs w:val="18"/>
              </w:rPr>
              <w:t>45Cr9Si3(HNV3)</w:t>
            </w:r>
            <w:r>
              <w:rPr>
                <w:rFonts w:hint="eastAsia" w:eastAsiaTheme="minorEastAsia"/>
                <w:kern w:val="0"/>
                <w:sz w:val="18"/>
                <w:szCs w:val="18"/>
              </w:rPr>
              <w:t>；</w:t>
            </w:r>
            <w:r>
              <w:rPr>
                <w:rFonts w:eastAsiaTheme="minorEastAsia"/>
                <w:kern w:val="0"/>
                <w:sz w:val="18"/>
                <w:szCs w:val="18"/>
              </w:rPr>
              <w:t>80Cr20Si2Ni(HNV6)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0.4%</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1.6%</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0.024</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0.096</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6</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奥氏体阀</w:t>
            </w:r>
          </w:p>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门不锈钢</w:t>
            </w:r>
          </w:p>
        </w:tc>
        <w:tc>
          <w:tcPr>
            <w:tcW w:w="226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20Cr21Ni12N(21-12N)</w:t>
            </w:r>
            <w:r>
              <w:rPr>
                <w:rFonts w:hint="eastAsia" w:eastAsiaTheme="minorEastAsia"/>
                <w:kern w:val="0"/>
                <w:sz w:val="18"/>
                <w:szCs w:val="18"/>
              </w:rPr>
              <w:t>；</w:t>
            </w:r>
            <w:r>
              <w:rPr>
                <w:rFonts w:eastAsiaTheme="minorEastAsia"/>
                <w:kern w:val="0"/>
                <w:sz w:val="18"/>
                <w:szCs w:val="18"/>
              </w:rPr>
              <w:t>53Cr21Mn9Ni4N(21-4N)</w:t>
            </w:r>
            <w:r>
              <w:rPr>
                <w:rFonts w:hint="eastAsia" w:eastAsiaTheme="minorEastAsia"/>
                <w:kern w:val="0"/>
                <w:sz w:val="18"/>
                <w:szCs w:val="18"/>
              </w:rPr>
              <w:t>；</w:t>
            </w:r>
            <w:r>
              <w:rPr>
                <w:rFonts w:eastAsiaTheme="minorEastAsia"/>
                <w:kern w:val="0"/>
                <w:sz w:val="18"/>
                <w:szCs w:val="18"/>
              </w:rPr>
              <w:t>55Cr21Mn8Ni2N(21-2N)</w:t>
            </w:r>
            <w:r>
              <w:rPr>
                <w:rFonts w:hint="eastAsia" w:eastAsiaTheme="minorEastAsia"/>
                <w:kern w:val="0"/>
                <w:sz w:val="18"/>
                <w:szCs w:val="18"/>
              </w:rPr>
              <w:t>；</w:t>
            </w:r>
            <w:r>
              <w:rPr>
                <w:rFonts w:eastAsiaTheme="minorEastAsia"/>
                <w:kern w:val="0"/>
                <w:sz w:val="18"/>
                <w:szCs w:val="18"/>
              </w:rPr>
              <w:t>33Cr23Ni8Mn3N(23-8N)</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0.4%</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1.6%</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0.024</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0.096</w:t>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25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7</w:t>
            </w:r>
          </w:p>
        </w:tc>
        <w:tc>
          <w:tcPr>
            <w:tcW w:w="83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镍基合金</w:t>
            </w:r>
          </w:p>
        </w:tc>
        <w:tc>
          <w:tcPr>
            <w:tcW w:w="2269"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Alloy600</w:t>
            </w:r>
            <w:r>
              <w:rPr>
                <w:rFonts w:hint="eastAsia" w:eastAsiaTheme="minorEastAsia"/>
                <w:kern w:val="0"/>
                <w:sz w:val="18"/>
                <w:szCs w:val="18"/>
              </w:rPr>
              <w:t>；</w:t>
            </w:r>
            <w:r>
              <w:rPr>
                <w:rFonts w:eastAsiaTheme="minorEastAsia"/>
                <w:kern w:val="0"/>
                <w:sz w:val="18"/>
                <w:szCs w:val="18"/>
              </w:rPr>
              <w:t>Alloy C-276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rPr>
                <w:rFonts w:eastAsiaTheme="minorEastAsia"/>
                <w:kern w:val="0"/>
                <w:sz w:val="18"/>
                <w:szCs w:val="18"/>
              </w:rPr>
            </w:pPr>
            <w:r>
              <w:rPr>
                <w:rFonts w:eastAsiaTheme="minorEastAsia"/>
                <w:kern w:val="0"/>
                <w:sz w:val="18"/>
                <w:szCs w:val="18"/>
              </w:rPr>
              <w:t>　　</w:t>
            </w:r>
            <w:r>
              <w:rPr>
                <w:rFonts w:hint="eastAsia" w:eastAsiaTheme="minorEastAsia"/>
                <w:kern w:val="0"/>
                <w:sz w:val="18"/>
                <w:szCs w:val="18"/>
              </w:rPr>
              <w:t>/</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0.06</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w:t>
            </w:r>
          </w:p>
        </w:tc>
        <w:tc>
          <w:tcPr>
            <w:tcW w:w="538" w:type="dxa"/>
            <w:vAlign w:val="center"/>
          </w:tcPr>
          <w:p>
            <w:pPr>
              <w:widowControl/>
              <w:adjustRightInd w:val="0"/>
              <w:snapToGrid w:val="0"/>
              <w:spacing w:line="300" w:lineRule="exact"/>
              <w:ind w:right="-141" w:rightChars="-50"/>
              <w:jc w:val="center"/>
              <w:rPr>
                <w:rFonts w:eastAsiaTheme="minorEastAsia"/>
                <w:kern w:val="0"/>
                <w:sz w:val="18"/>
                <w:szCs w:val="18"/>
              </w:rPr>
            </w:pPr>
            <w:r>
              <w:rPr>
                <w:sz w:val="18"/>
                <w:szCs w:val="18"/>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366" w:type="dxa"/>
            <w:gridSpan w:val="3"/>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合计</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33%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13%</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54%</w:t>
            </w:r>
          </w:p>
        </w:tc>
        <w:tc>
          <w:tcPr>
            <w:tcW w:w="501"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hint="eastAsia" w:eastAsiaTheme="minorEastAsia"/>
                <w:kern w:val="0"/>
                <w:sz w:val="18"/>
                <w:szCs w:val="18"/>
              </w:rPr>
              <w:t>100%</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t>1.98</w:t>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fldChar w:fldCharType="begin"/>
            </w:r>
            <w:r>
              <w:rPr>
                <w:rFonts w:eastAsiaTheme="minorEastAsia"/>
                <w:kern w:val="0"/>
                <w:sz w:val="18"/>
                <w:szCs w:val="18"/>
              </w:rPr>
              <w:instrText xml:space="preserve"> =SUM(ABOVE) </w:instrText>
            </w:r>
            <w:r>
              <w:rPr>
                <w:rFonts w:eastAsiaTheme="minorEastAsia"/>
                <w:kern w:val="0"/>
                <w:sz w:val="18"/>
                <w:szCs w:val="18"/>
              </w:rPr>
              <w:fldChar w:fldCharType="separate"/>
            </w:r>
            <w:r>
              <w:rPr>
                <w:rFonts w:eastAsiaTheme="minorEastAsia"/>
                <w:kern w:val="0"/>
                <w:sz w:val="18"/>
                <w:szCs w:val="18"/>
              </w:rPr>
              <w:t>0.798</w:t>
            </w:r>
            <w:r>
              <w:rPr>
                <w:rFonts w:eastAsiaTheme="minorEastAsia"/>
                <w:kern w:val="0"/>
                <w:sz w:val="18"/>
                <w:szCs w:val="18"/>
              </w:rPr>
              <w:fldChar w:fldCharType="end"/>
            </w:r>
          </w:p>
        </w:tc>
        <w:tc>
          <w:tcPr>
            <w:tcW w:w="727"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fldChar w:fldCharType="begin"/>
            </w:r>
            <w:r>
              <w:rPr>
                <w:rFonts w:eastAsiaTheme="minorEastAsia"/>
                <w:kern w:val="0"/>
                <w:sz w:val="18"/>
                <w:szCs w:val="18"/>
              </w:rPr>
              <w:instrText xml:space="preserve"> =SUM(ABOVE) </w:instrText>
            </w:r>
            <w:r>
              <w:rPr>
                <w:rFonts w:eastAsiaTheme="minorEastAsia"/>
                <w:kern w:val="0"/>
                <w:sz w:val="18"/>
                <w:szCs w:val="18"/>
              </w:rPr>
              <w:fldChar w:fldCharType="separate"/>
            </w:r>
            <w:r>
              <w:rPr>
                <w:rFonts w:eastAsiaTheme="minorEastAsia"/>
                <w:kern w:val="0"/>
                <w:sz w:val="18"/>
                <w:szCs w:val="18"/>
              </w:rPr>
              <w:t>3.222</w:t>
            </w:r>
            <w:r>
              <w:rPr>
                <w:rFonts w:eastAsiaTheme="minorEastAsia"/>
                <w:kern w:val="0"/>
                <w:sz w:val="18"/>
                <w:szCs w:val="18"/>
              </w:rPr>
              <w:fldChar w:fldCharType="end"/>
            </w:r>
          </w:p>
        </w:tc>
        <w:tc>
          <w:tcPr>
            <w:tcW w:w="538" w:type="dxa"/>
            <w:vAlign w:val="center"/>
          </w:tcPr>
          <w:p>
            <w:pPr>
              <w:widowControl/>
              <w:adjustRightInd w:val="0"/>
              <w:snapToGrid w:val="0"/>
              <w:spacing w:line="300" w:lineRule="exact"/>
              <w:ind w:left="-141" w:leftChars="-50" w:right="-141" w:rightChars="-50"/>
              <w:jc w:val="center"/>
              <w:rPr>
                <w:rFonts w:eastAsiaTheme="minorEastAsia"/>
                <w:kern w:val="0"/>
                <w:sz w:val="18"/>
                <w:szCs w:val="18"/>
              </w:rPr>
            </w:pPr>
            <w:r>
              <w:rPr>
                <w:rFonts w:eastAsiaTheme="minorEastAsia"/>
                <w:kern w:val="0"/>
                <w:sz w:val="18"/>
                <w:szCs w:val="18"/>
              </w:rPr>
              <w:fldChar w:fldCharType="begin"/>
            </w:r>
            <w:r>
              <w:rPr>
                <w:rFonts w:eastAsiaTheme="minorEastAsia"/>
                <w:kern w:val="0"/>
                <w:sz w:val="18"/>
                <w:szCs w:val="18"/>
              </w:rPr>
              <w:instrText xml:space="preserve"> =SUM(ABOVE) </w:instrText>
            </w:r>
            <w:r>
              <w:rPr>
                <w:rFonts w:eastAsiaTheme="minorEastAsia"/>
                <w:kern w:val="0"/>
                <w:sz w:val="18"/>
                <w:szCs w:val="18"/>
              </w:rPr>
              <w:fldChar w:fldCharType="separate"/>
            </w:r>
            <w:r>
              <w:rPr>
                <w:rFonts w:eastAsiaTheme="minorEastAsia"/>
                <w:kern w:val="0"/>
                <w:sz w:val="18"/>
                <w:szCs w:val="18"/>
              </w:rPr>
              <w:t>6</w:t>
            </w:r>
            <w:r>
              <w:rPr>
                <w:rFonts w:eastAsiaTheme="minorEastAsia"/>
                <w:kern w:val="0"/>
                <w:sz w:val="18"/>
                <w:szCs w:val="18"/>
              </w:rPr>
              <w:fldChar w:fldCharType="end"/>
            </w:r>
          </w:p>
        </w:tc>
      </w:tr>
    </w:tbl>
    <w:p>
      <w:pPr>
        <w:pStyle w:val="3"/>
        <w:numPr>
          <w:ilvl w:val="1"/>
          <w:numId w:val="24"/>
        </w:numPr>
        <w:rPr>
          <w:rFonts w:ascii="Times New Roman" w:hAnsi="Times New Roman"/>
        </w:rPr>
      </w:pPr>
      <w:bookmarkStart w:id="101" w:name="_Toc10637148"/>
      <w:r>
        <w:rPr>
          <w:rFonts w:ascii="Times New Roman" w:hAnsi="Times New Roman"/>
        </w:rPr>
        <w:t>主要原辅材料</w:t>
      </w:r>
      <w:bookmarkEnd w:id="100"/>
      <w:bookmarkEnd w:id="101"/>
    </w:p>
    <w:p>
      <w:pPr>
        <w:pStyle w:val="4"/>
        <w:spacing w:line="480" w:lineRule="exact"/>
        <w:ind w:firstLine="522"/>
        <w:rPr>
          <w:rFonts w:ascii="Times New Roman" w:hAnsi="Times New Roman" w:cs="Times New Roman"/>
          <w:spacing w:val="0"/>
        </w:rPr>
      </w:pPr>
      <w:r>
        <w:rPr>
          <w:rFonts w:ascii="Times New Roman" w:hAnsi="Times New Roman" w:cs="Times New Roman"/>
          <w:spacing w:val="0"/>
        </w:rPr>
        <w:t>项目</w:t>
      </w:r>
      <w:r>
        <w:rPr>
          <w:rFonts w:hint="eastAsia" w:ascii="Times New Roman" w:hAnsi="Times New Roman" w:cs="Times New Roman"/>
          <w:spacing w:val="0"/>
        </w:rPr>
        <w:t>实施前后炼钢二厂、轧钢厂、精整酸洗车间、钢渣车间及其它配套设施生产工艺及工艺均不变，原辅材料消耗亦不变。本项目在炼钢一厂内实施，技改</w:t>
      </w:r>
      <w:r>
        <w:rPr>
          <w:rFonts w:ascii="Times New Roman" w:hAnsi="Times New Roman" w:cs="Times New Roman"/>
          <w:spacing w:val="0"/>
        </w:rPr>
        <w:t>前后电炉、</w:t>
      </w:r>
      <w:r>
        <w:rPr>
          <w:rFonts w:hint="eastAsia" w:ascii="Times New Roman" w:hAnsi="Times New Roman" w:cs="Times New Roman"/>
          <w:spacing w:val="0"/>
        </w:rPr>
        <w:t>AOD炉</w:t>
      </w:r>
      <w:r>
        <w:rPr>
          <w:rFonts w:ascii="Times New Roman" w:hAnsi="Times New Roman" w:cs="Times New Roman"/>
          <w:spacing w:val="0"/>
        </w:rPr>
        <w:t>炼钢工序均不变</w:t>
      </w:r>
      <w:r>
        <w:rPr>
          <w:rFonts w:hint="eastAsia" w:ascii="Times New Roman" w:hAnsi="Times New Roman" w:cs="Times New Roman"/>
          <w:spacing w:val="0"/>
        </w:rPr>
        <w:t>，</w:t>
      </w:r>
      <w:r>
        <w:rPr>
          <w:rFonts w:ascii="Times New Roman" w:hAnsi="Times New Roman" w:cs="Times New Roman"/>
          <w:spacing w:val="0"/>
        </w:rPr>
        <w:t>因此电炉、</w:t>
      </w:r>
      <w:r>
        <w:rPr>
          <w:rFonts w:hint="eastAsia" w:ascii="Times New Roman" w:hAnsi="Times New Roman" w:cs="Times New Roman"/>
          <w:spacing w:val="0"/>
        </w:rPr>
        <w:t>AOD炉</w:t>
      </w:r>
      <w:r>
        <w:rPr>
          <w:rFonts w:ascii="Times New Roman" w:hAnsi="Times New Roman" w:cs="Times New Roman"/>
          <w:spacing w:val="0"/>
        </w:rPr>
        <w:t>炼钢所用的原辅材料均不变</w:t>
      </w:r>
      <w:r>
        <w:rPr>
          <w:rFonts w:hint="eastAsia" w:ascii="Times New Roman" w:hAnsi="Times New Roman" w:cs="Times New Roman"/>
          <w:spacing w:val="0"/>
        </w:rPr>
        <w:t>。</w:t>
      </w:r>
      <w:r>
        <w:rPr>
          <w:rFonts w:ascii="Times New Roman" w:hAnsi="Times New Roman" w:cs="Times New Roman"/>
          <w:spacing w:val="0"/>
        </w:rPr>
        <w:t>本技改项目以</w:t>
      </w:r>
      <w:r>
        <w:rPr>
          <w:rFonts w:hint="eastAsia" w:ascii="Times New Roman" w:hAnsi="Times New Roman" w:cs="Times New Roman"/>
          <w:spacing w:val="0"/>
        </w:rPr>
        <w:t>AOD精炼</w:t>
      </w:r>
      <w:r>
        <w:rPr>
          <w:rFonts w:ascii="Times New Roman" w:hAnsi="Times New Roman" w:cs="Times New Roman"/>
          <w:spacing w:val="0"/>
        </w:rPr>
        <w:t>后的合格钢水为原料，</w:t>
      </w:r>
      <w:r>
        <w:rPr>
          <w:rFonts w:hint="eastAsia" w:ascii="Times New Roman" w:hAnsi="Times New Roman" w:cs="Times New Roman"/>
          <w:spacing w:val="0"/>
        </w:rPr>
        <w:t>技改项目所需</w:t>
      </w:r>
      <w:r>
        <w:rPr>
          <w:rFonts w:ascii="Times New Roman" w:hAnsi="Times New Roman" w:cs="Times New Roman"/>
          <w:spacing w:val="0"/>
        </w:rPr>
        <w:t>的原辅料消耗</w:t>
      </w:r>
      <w:r>
        <w:rPr>
          <w:rFonts w:hint="eastAsia" w:ascii="Times New Roman" w:hAnsi="Times New Roman" w:cs="Times New Roman"/>
          <w:spacing w:val="0"/>
        </w:rPr>
        <w:t>情况</w:t>
      </w:r>
      <w:r>
        <w:rPr>
          <w:rFonts w:ascii="Times New Roman" w:hAnsi="Times New Roman" w:cs="Times New Roman"/>
          <w:spacing w:val="0"/>
        </w:rPr>
        <w:t>见表4-</w:t>
      </w:r>
      <w:r>
        <w:rPr>
          <w:rFonts w:hint="eastAsia" w:ascii="Times New Roman" w:hAnsi="Times New Roman" w:cs="Times New Roman"/>
          <w:spacing w:val="0"/>
        </w:rPr>
        <w:t>5</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lang w:eastAsia="zh-CN"/>
        </w:rPr>
        <w:t>项目</w:t>
      </w:r>
      <w:r>
        <w:rPr>
          <w:rFonts w:hint="eastAsia" w:ascii="Times New Roman" w:hAnsi="Times New Roman"/>
          <w:lang w:eastAsia="zh-CN"/>
        </w:rPr>
        <w:t>实施前后炼钢一厂</w:t>
      </w:r>
      <w:r>
        <w:rPr>
          <w:rFonts w:ascii="Times New Roman" w:hAnsi="Times New Roman"/>
        </w:rPr>
        <w:t>主要原辅材料消耗表</w:t>
      </w:r>
      <w:r>
        <w:rPr>
          <w:rFonts w:hint="eastAsia" w:ascii="Times New Roman" w:hAnsi="Times New Roman"/>
          <w:lang w:eastAsia="zh-CN"/>
        </w:rPr>
        <w:t xml:space="preserve">   单位：t/a</w:t>
      </w:r>
    </w:p>
    <w:tbl>
      <w:tblPr>
        <w:tblStyle w:val="87"/>
        <w:tblW w:w="87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676"/>
        <w:gridCol w:w="1307"/>
        <w:gridCol w:w="952"/>
        <w:gridCol w:w="845"/>
        <w:gridCol w:w="845"/>
        <w:gridCol w:w="1155"/>
        <w:gridCol w:w="1378"/>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restart"/>
            <w:vAlign w:val="center"/>
          </w:tcPr>
          <w:p>
            <w:pPr>
              <w:spacing w:line="240" w:lineRule="exact"/>
              <w:jc w:val="center"/>
              <w:rPr>
                <w:rFonts w:eastAsiaTheme="minorEastAsia"/>
                <w:sz w:val="21"/>
                <w:szCs w:val="21"/>
              </w:rPr>
            </w:pPr>
            <w:r>
              <w:rPr>
                <w:rFonts w:eastAsiaTheme="minorEastAsia"/>
                <w:sz w:val="21"/>
                <w:szCs w:val="21"/>
              </w:rPr>
              <w:t>序号</w:t>
            </w:r>
          </w:p>
        </w:tc>
        <w:tc>
          <w:tcPr>
            <w:tcW w:w="676" w:type="dxa"/>
            <w:vMerge w:val="restart"/>
            <w:vAlign w:val="center"/>
          </w:tcPr>
          <w:p>
            <w:pPr>
              <w:spacing w:line="240" w:lineRule="exact"/>
              <w:jc w:val="center"/>
              <w:rPr>
                <w:rFonts w:eastAsiaTheme="minorEastAsia"/>
                <w:sz w:val="21"/>
                <w:szCs w:val="21"/>
              </w:rPr>
            </w:pPr>
            <w:r>
              <w:rPr>
                <w:rFonts w:hint="eastAsia" w:eastAsiaTheme="minorEastAsia"/>
                <w:sz w:val="21"/>
                <w:szCs w:val="21"/>
              </w:rPr>
              <w:t>使用</w:t>
            </w:r>
            <w:r>
              <w:rPr>
                <w:rFonts w:eastAsiaTheme="minorEastAsia"/>
                <w:sz w:val="21"/>
                <w:szCs w:val="21"/>
              </w:rPr>
              <w:t>工段</w:t>
            </w:r>
          </w:p>
        </w:tc>
        <w:tc>
          <w:tcPr>
            <w:tcW w:w="1307" w:type="dxa"/>
            <w:vMerge w:val="restart"/>
            <w:vAlign w:val="center"/>
          </w:tcPr>
          <w:p>
            <w:pPr>
              <w:spacing w:line="240" w:lineRule="exact"/>
              <w:jc w:val="center"/>
              <w:rPr>
                <w:rFonts w:eastAsiaTheme="minorEastAsia"/>
                <w:sz w:val="21"/>
                <w:szCs w:val="21"/>
              </w:rPr>
            </w:pPr>
            <w:r>
              <w:rPr>
                <w:rFonts w:eastAsiaTheme="minorEastAsia"/>
                <w:sz w:val="21"/>
                <w:szCs w:val="21"/>
              </w:rPr>
              <w:t>名称</w:t>
            </w:r>
          </w:p>
        </w:tc>
        <w:tc>
          <w:tcPr>
            <w:tcW w:w="2642" w:type="dxa"/>
            <w:gridSpan w:val="3"/>
            <w:vAlign w:val="center"/>
          </w:tcPr>
          <w:p>
            <w:pPr>
              <w:spacing w:line="240" w:lineRule="exact"/>
              <w:jc w:val="center"/>
              <w:rPr>
                <w:rFonts w:eastAsiaTheme="minorEastAsia"/>
                <w:sz w:val="21"/>
                <w:szCs w:val="21"/>
              </w:rPr>
            </w:pPr>
            <w:r>
              <w:rPr>
                <w:rFonts w:eastAsiaTheme="minorEastAsia"/>
                <w:sz w:val="21"/>
                <w:szCs w:val="21"/>
              </w:rPr>
              <w:t>年用量</w:t>
            </w:r>
          </w:p>
        </w:tc>
        <w:tc>
          <w:tcPr>
            <w:tcW w:w="1155" w:type="dxa"/>
            <w:vMerge w:val="restart"/>
            <w:vAlign w:val="center"/>
          </w:tcPr>
          <w:p>
            <w:pPr>
              <w:spacing w:line="240" w:lineRule="exact"/>
              <w:jc w:val="center"/>
              <w:rPr>
                <w:rFonts w:eastAsiaTheme="minorEastAsia"/>
                <w:sz w:val="21"/>
                <w:szCs w:val="21"/>
              </w:rPr>
            </w:pPr>
            <w:r>
              <w:rPr>
                <w:rFonts w:eastAsiaTheme="minorEastAsia"/>
                <w:sz w:val="21"/>
                <w:szCs w:val="21"/>
              </w:rPr>
              <w:t>包装方式</w:t>
            </w:r>
          </w:p>
        </w:tc>
        <w:tc>
          <w:tcPr>
            <w:tcW w:w="1378" w:type="dxa"/>
            <w:vMerge w:val="restart"/>
            <w:vAlign w:val="center"/>
          </w:tcPr>
          <w:p>
            <w:pPr>
              <w:spacing w:line="240" w:lineRule="exact"/>
              <w:jc w:val="center"/>
              <w:rPr>
                <w:rFonts w:eastAsiaTheme="minorEastAsia"/>
                <w:sz w:val="21"/>
                <w:szCs w:val="21"/>
              </w:rPr>
            </w:pPr>
            <w:r>
              <w:rPr>
                <w:rFonts w:eastAsiaTheme="minorEastAsia"/>
                <w:sz w:val="21"/>
                <w:szCs w:val="21"/>
              </w:rPr>
              <w:t>储存位置</w:t>
            </w:r>
          </w:p>
        </w:tc>
        <w:tc>
          <w:tcPr>
            <w:tcW w:w="1011" w:type="dxa"/>
            <w:vMerge w:val="restart"/>
            <w:vAlign w:val="center"/>
          </w:tcPr>
          <w:p>
            <w:pPr>
              <w:spacing w:line="240" w:lineRule="exact"/>
              <w:jc w:val="center"/>
              <w:rPr>
                <w:rFonts w:eastAsiaTheme="minorEastAsia"/>
                <w:sz w:val="21"/>
                <w:szCs w:val="21"/>
              </w:rPr>
            </w:pPr>
            <w:r>
              <w:rPr>
                <w:rFonts w:eastAsiaTheme="minorEastAsia"/>
                <w:sz w:val="21"/>
                <w:szCs w:val="21"/>
              </w:rPr>
              <w:t>厂区内最大贮存量(t)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Merge w:val="continue"/>
            <w:vAlign w:val="center"/>
          </w:tcPr>
          <w:p>
            <w:pPr>
              <w:spacing w:line="240" w:lineRule="exact"/>
              <w:jc w:val="center"/>
              <w:rPr>
                <w:rFonts w:eastAsiaTheme="minorEastAsia"/>
                <w:sz w:val="21"/>
                <w:szCs w:val="21"/>
              </w:rPr>
            </w:pPr>
          </w:p>
        </w:tc>
        <w:tc>
          <w:tcPr>
            <w:tcW w:w="676" w:type="dxa"/>
            <w:vMerge w:val="continue"/>
            <w:vAlign w:val="center"/>
          </w:tcPr>
          <w:p>
            <w:pPr>
              <w:spacing w:line="240" w:lineRule="exact"/>
              <w:jc w:val="center"/>
              <w:rPr>
                <w:rFonts w:eastAsiaTheme="minorEastAsia"/>
                <w:sz w:val="21"/>
                <w:szCs w:val="21"/>
              </w:rPr>
            </w:pPr>
          </w:p>
        </w:tc>
        <w:tc>
          <w:tcPr>
            <w:tcW w:w="1307" w:type="dxa"/>
            <w:vMerge w:val="continue"/>
            <w:vAlign w:val="center"/>
          </w:tcPr>
          <w:p>
            <w:pPr>
              <w:spacing w:line="240" w:lineRule="exact"/>
              <w:jc w:val="center"/>
              <w:rPr>
                <w:rFonts w:eastAsiaTheme="minorEastAsia"/>
                <w:sz w:val="21"/>
                <w:szCs w:val="21"/>
              </w:rPr>
            </w:pP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技改前(达产)</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本项目</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技改后</w:t>
            </w:r>
          </w:p>
        </w:tc>
        <w:tc>
          <w:tcPr>
            <w:tcW w:w="1155" w:type="dxa"/>
            <w:vMerge w:val="continue"/>
            <w:vAlign w:val="center"/>
          </w:tcPr>
          <w:p>
            <w:pPr>
              <w:spacing w:line="240" w:lineRule="exact"/>
              <w:jc w:val="center"/>
              <w:rPr>
                <w:rFonts w:eastAsiaTheme="minorEastAsia"/>
                <w:sz w:val="21"/>
                <w:szCs w:val="21"/>
              </w:rPr>
            </w:pPr>
          </w:p>
        </w:tc>
        <w:tc>
          <w:tcPr>
            <w:tcW w:w="1378" w:type="dxa"/>
            <w:vMerge w:val="continue"/>
            <w:vAlign w:val="center"/>
          </w:tcPr>
          <w:p>
            <w:pPr>
              <w:spacing w:line="240" w:lineRule="exact"/>
              <w:jc w:val="center"/>
              <w:rPr>
                <w:rFonts w:eastAsiaTheme="minorEastAsia"/>
                <w:sz w:val="21"/>
                <w:szCs w:val="21"/>
              </w:rPr>
            </w:pPr>
          </w:p>
        </w:tc>
        <w:tc>
          <w:tcPr>
            <w:tcW w:w="1011" w:type="dxa"/>
            <w:vMerge w:val="continue"/>
            <w:vAlign w:val="center"/>
          </w:tcPr>
          <w:p>
            <w:pPr>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restart"/>
            <w:vAlign w:val="center"/>
          </w:tcPr>
          <w:p>
            <w:pPr>
              <w:spacing w:line="240" w:lineRule="exact"/>
              <w:jc w:val="center"/>
              <w:rPr>
                <w:rFonts w:eastAsiaTheme="minorEastAsia"/>
                <w:sz w:val="21"/>
                <w:szCs w:val="21"/>
              </w:rPr>
            </w:pPr>
            <w:r>
              <w:rPr>
                <w:rFonts w:hint="eastAsia" w:eastAsiaTheme="minorEastAsia"/>
                <w:sz w:val="21"/>
                <w:szCs w:val="21"/>
              </w:rPr>
              <w:t>现有电炉</w:t>
            </w:r>
            <w:r>
              <w:rPr>
                <w:rFonts w:eastAsiaTheme="minorEastAsia"/>
                <w:sz w:val="21"/>
                <w:szCs w:val="21"/>
              </w:rPr>
              <w:t>、</w:t>
            </w:r>
            <w:r>
              <w:rPr>
                <w:rFonts w:hint="eastAsia" w:eastAsiaTheme="minorEastAsia"/>
                <w:sz w:val="21"/>
                <w:szCs w:val="21"/>
              </w:rPr>
              <w:t>AOD炉炼钢</w:t>
            </w:r>
            <w:r>
              <w:rPr>
                <w:rFonts w:eastAsiaTheme="minorEastAsia"/>
                <w:sz w:val="21"/>
                <w:szCs w:val="21"/>
              </w:rPr>
              <w:t>工段</w:t>
            </w:r>
          </w:p>
        </w:tc>
        <w:tc>
          <w:tcPr>
            <w:tcW w:w="1307" w:type="dxa"/>
            <w:vAlign w:val="center"/>
          </w:tcPr>
          <w:p>
            <w:pPr>
              <w:spacing w:line="240" w:lineRule="exact"/>
              <w:jc w:val="center"/>
              <w:rPr>
                <w:rFonts w:eastAsiaTheme="minorEastAsia"/>
                <w:sz w:val="21"/>
                <w:szCs w:val="21"/>
              </w:rPr>
            </w:pPr>
            <w:r>
              <w:rPr>
                <w:rFonts w:eastAsiaTheme="minorEastAsia"/>
                <w:sz w:val="21"/>
                <w:szCs w:val="21"/>
              </w:rPr>
              <w:t>废不锈钢</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60789</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60789</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镍铁</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18099</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18099</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铬铁</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20430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20430</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钼铁</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729</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729</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石灰</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11728</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11728</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1t/袋</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萤石</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2060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2060</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50kg/袋</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耐火材料</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5073</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5073</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eastAsiaTheme="minor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 w:hRule="atLeast"/>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石墨电极</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375</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0</w:t>
            </w:r>
          </w:p>
        </w:tc>
        <w:tc>
          <w:tcPr>
            <w:tcW w:w="845" w:type="dxa"/>
            <w:vAlign w:val="center"/>
          </w:tcPr>
          <w:p>
            <w:pPr>
              <w:spacing w:line="240" w:lineRule="exact"/>
              <w:jc w:val="center"/>
              <w:rPr>
                <w:rFonts w:eastAsiaTheme="minorEastAsia"/>
                <w:sz w:val="21"/>
                <w:szCs w:val="21"/>
              </w:rPr>
            </w:pPr>
            <w:r>
              <w:rPr>
                <w:rFonts w:eastAsiaTheme="minorEastAsia"/>
                <w:sz w:val="21"/>
                <w:szCs w:val="21"/>
              </w:rPr>
              <w:t>375</w:t>
            </w:r>
          </w:p>
        </w:tc>
        <w:tc>
          <w:tcPr>
            <w:tcW w:w="1155" w:type="dxa"/>
            <w:vAlign w:val="center"/>
          </w:tcPr>
          <w:p>
            <w:pPr>
              <w:spacing w:line="240" w:lineRule="exact"/>
              <w:jc w:val="center"/>
              <w:rPr>
                <w:rFonts w:eastAsiaTheme="minorEastAsia"/>
                <w:sz w:val="21"/>
                <w:szCs w:val="21"/>
              </w:rPr>
            </w:pPr>
            <w:r>
              <w:rPr>
                <w:rFonts w:eastAsiaTheme="minorEastAsia"/>
                <w:sz w:val="21"/>
                <w:szCs w:val="21"/>
              </w:rPr>
              <w:t>木框</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eastAsiaTheme="minorEastAsia"/>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restart"/>
            <w:vAlign w:val="center"/>
          </w:tcPr>
          <w:p>
            <w:pPr>
              <w:spacing w:line="240" w:lineRule="exact"/>
              <w:jc w:val="center"/>
              <w:rPr>
                <w:rFonts w:eastAsiaTheme="minorEastAsia"/>
                <w:sz w:val="21"/>
                <w:szCs w:val="21"/>
              </w:rPr>
            </w:pPr>
            <w:r>
              <w:rPr>
                <w:rFonts w:hint="eastAsia" w:eastAsiaTheme="minorEastAsia"/>
                <w:sz w:val="21"/>
                <w:szCs w:val="21"/>
              </w:rPr>
              <w:t>本项目精炼</w:t>
            </w:r>
            <w:r>
              <w:rPr>
                <w:rFonts w:eastAsiaTheme="minorEastAsia"/>
                <w:sz w:val="21"/>
                <w:szCs w:val="21"/>
              </w:rPr>
              <w:t>、连铸</w:t>
            </w:r>
            <w:r>
              <w:rPr>
                <w:rFonts w:hint="eastAsia" w:eastAsiaTheme="minorEastAsia"/>
                <w:sz w:val="21"/>
                <w:szCs w:val="21"/>
              </w:rPr>
              <w:t>工段</w:t>
            </w:r>
          </w:p>
        </w:tc>
        <w:tc>
          <w:tcPr>
            <w:tcW w:w="1307" w:type="dxa"/>
            <w:vAlign w:val="center"/>
          </w:tcPr>
          <w:p>
            <w:pPr>
              <w:spacing w:line="240" w:lineRule="exact"/>
              <w:jc w:val="center"/>
              <w:rPr>
                <w:rFonts w:eastAsiaTheme="minorEastAsia"/>
                <w:sz w:val="21"/>
                <w:szCs w:val="21"/>
              </w:rPr>
            </w:pPr>
            <w:r>
              <w:rPr>
                <w:rFonts w:eastAsiaTheme="minorEastAsia"/>
                <w:sz w:val="21"/>
                <w:szCs w:val="21"/>
              </w:rPr>
              <w:t>耐火材料</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390</w:t>
            </w:r>
          </w:p>
        </w:tc>
        <w:tc>
          <w:tcPr>
            <w:tcW w:w="845" w:type="dxa"/>
            <w:vAlign w:val="center"/>
          </w:tcPr>
          <w:p>
            <w:pPr>
              <w:spacing w:line="240" w:lineRule="exact"/>
              <w:jc w:val="center"/>
              <w:rPr>
                <w:rFonts w:eastAsiaTheme="minorEastAsia"/>
                <w:sz w:val="21"/>
                <w:szCs w:val="21"/>
              </w:rPr>
            </w:pPr>
            <w:r>
              <w:rPr>
                <w:rFonts w:eastAsiaTheme="minorEastAsia"/>
                <w:sz w:val="21"/>
                <w:szCs w:val="21"/>
              </w:rPr>
              <w:t>390</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石墨电极</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360</w:t>
            </w:r>
          </w:p>
        </w:tc>
        <w:tc>
          <w:tcPr>
            <w:tcW w:w="845" w:type="dxa"/>
            <w:vAlign w:val="center"/>
          </w:tcPr>
          <w:p>
            <w:pPr>
              <w:spacing w:line="240" w:lineRule="exact"/>
              <w:jc w:val="center"/>
              <w:rPr>
                <w:rFonts w:eastAsiaTheme="minorEastAsia"/>
                <w:sz w:val="21"/>
                <w:szCs w:val="21"/>
              </w:rPr>
            </w:pPr>
            <w:r>
              <w:rPr>
                <w:rFonts w:hint="eastAsia" w:eastAsiaTheme="minorEastAsia"/>
                <w:sz w:val="21"/>
                <w:szCs w:val="21"/>
              </w:rPr>
              <w:t>360</w:t>
            </w:r>
          </w:p>
        </w:tc>
        <w:tc>
          <w:tcPr>
            <w:tcW w:w="1155" w:type="dxa"/>
            <w:vAlign w:val="center"/>
          </w:tcPr>
          <w:p>
            <w:pPr>
              <w:spacing w:line="240" w:lineRule="exact"/>
              <w:jc w:val="center"/>
              <w:rPr>
                <w:rFonts w:eastAsiaTheme="minorEastAsia"/>
                <w:sz w:val="21"/>
                <w:szCs w:val="21"/>
              </w:rPr>
            </w:pPr>
            <w:r>
              <w:rPr>
                <w:rFonts w:eastAsiaTheme="minorEastAsia"/>
                <w:sz w:val="21"/>
                <w:szCs w:val="21"/>
              </w:rPr>
              <w:t>木框</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中间罐保温剂</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36</w:t>
            </w:r>
          </w:p>
        </w:tc>
        <w:tc>
          <w:tcPr>
            <w:tcW w:w="845" w:type="dxa"/>
            <w:vAlign w:val="center"/>
          </w:tcPr>
          <w:p>
            <w:pPr>
              <w:spacing w:line="240" w:lineRule="exact"/>
              <w:jc w:val="center"/>
              <w:rPr>
                <w:rFonts w:eastAsiaTheme="minorEastAsia"/>
                <w:sz w:val="21"/>
                <w:szCs w:val="21"/>
              </w:rPr>
            </w:pPr>
            <w:r>
              <w:rPr>
                <w:rFonts w:eastAsiaTheme="minorEastAsia"/>
                <w:sz w:val="21"/>
                <w:szCs w:val="21"/>
              </w:rPr>
              <w:t>36</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5kg/包</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结晶器保护渣</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42</w:t>
            </w:r>
          </w:p>
        </w:tc>
        <w:tc>
          <w:tcPr>
            <w:tcW w:w="845" w:type="dxa"/>
            <w:vAlign w:val="center"/>
          </w:tcPr>
          <w:p>
            <w:pPr>
              <w:spacing w:line="240" w:lineRule="exact"/>
              <w:jc w:val="center"/>
              <w:rPr>
                <w:rFonts w:eastAsiaTheme="minorEastAsia"/>
                <w:sz w:val="21"/>
                <w:szCs w:val="21"/>
              </w:rPr>
            </w:pPr>
            <w:r>
              <w:rPr>
                <w:rFonts w:eastAsiaTheme="minorEastAsia"/>
                <w:sz w:val="21"/>
                <w:szCs w:val="21"/>
              </w:rPr>
              <w:t>42</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5kg/包</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铁粉</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8.4</w:t>
            </w:r>
          </w:p>
        </w:tc>
        <w:tc>
          <w:tcPr>
            <w:tcW w:w="845" w:type="dxa"/>
            <w:vAlign w:val="center"/>
          </w:tcPr>
          <w:p>
            <w:pPr>
              <w:spacing w:line="240" w:lineRule="exact"/>
              <w:jc w:val="center"/>
              <w:rPr>
                <w:rFonts w:eastAsiaTheme="minorEastAsia"/>
                <w:sz w:val="21"/>
                <w:szCs w:val="21"/>
              </w:rPr>
            </w:pPr>
            <w:r>
              <w:rPr>
                <w:rFonts w:eastAsiaTheme="minorEastAsia"/>
                <w:sz w:val="21"/>
                <w:szCs w:val="21"/>
              </w:rPr>
              <w:t>8.4</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5kg/包</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润滑油</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1.2</w:t>
            </w:r>
          </w:p>
        </w:tc>
        <w:tc>
          <w:tcPr>
            <w:tcW w:w="845" w:type="dxa"/>
            <w:vAlign w:val="center"/>
          </w:tcPr>
          <w:p>
            <w:pPr>
              <w:spacing w:line="240" w:lineRule="exact"/>
              <w:jc w:val="center"/>
              <w:rPr>
                <w:rFonts w:eastAsiaTheme="minorEastAsia"/>
                <w:sz w:val="21"/>
                <w:szCs w:val="21"/>
              </w:rPr>
            </w:pPr>
            <w:r>
              <w:rPr>
                <w:rFonts w:eastAsiaTheme="minorEastAsia"/>
                <w:sz w:val="21"/>
                <w:szCs w:val="21"/>
              </w:rPr>
              <w:t>1.2</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200kg/桶</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tcMar>
              <w:top w:w="28" w:type="dxa"/>
              <w:left w:w="28" w:type="dxa"/>
              <w:bottom w:w="28" w:type="dxa"/>
              <w:right w:w="28" w:type="dxa"/>
            </w:tcMar>
            <w:vAlign w:val="center"/>
          </w:tcPr>
          <w:p>
            <w:pPr>
              <w:pStyle w:val="466"/>
              <w:numPr>
                <w:ilvl w:val="0"/>
                <w:numId w:val="28"/>
              </w:numPr>
              <w:spacing w:line="240" w:lineRule="exact"/>
              <w:ind w:firstLineChars="0"/>
              <w:jc w:val="center"/>
              <w:rPr>
                <w:rFonts w:ascii="Times New Roman" w:hAnsi="Times New Roman" w:eastAsiaTheme="minorEastAsia"/>
                <w:szCs w:val="21"/>
              </w:rPr>
            </w:pPr>
          </w:p>
        </w:tc>
        <w:tc>
          <w:tcPr>
            <w:tcW w:w="676" w:type="dxa"/>
            <w:vMerge w:val="continue"/>
            <w:vAlign w:val="center"/>
          </w:tcPr>
          <w:p>
            <w:pPr>
              <w:spacing w:line="240" w:lineRule="exact"/>
              <w:jc w:val="center"/>
              <w:rPr>
                <w:rFonts w:eastAsiaTheme="minorEastAsia"/>
                <w:sz w:val="21"/>
                <w:szCs w:val="21"/>
              </w:rPr>
            </w:pPr>
          </w:p>
        </w:tc>
        <w:tc>
          <w:tcPr>
            <w:tcW w:w="1307" w:type="dxa"/>
            <w:vAlign w:val="center"/>
          </w:tcPr>
          <w:p>
            <w:pPr>
              <w:spacing w:line="240" w:lineRule="exact"/>
              <w:jc w:val="center"/>
              <w:rPr>
                <w:rFonts w:eastAsiaTheme="minorEastAsia"/>
                <w:sz w:val="21"/>
                <w:szCs w:val="21"/>
              </w:rPr>
            </w:pPr>
            <w:r>
              <w:rPr>
                <w:rFonts w:eastAsiaTheme="minorEastAsia"/>
                <w:sz w:val="21"/>
                <w:szCs w:val="21"/>
              </w:rPr>
              <w:t>结晶器铜板</w:t>
            </w:r>
          </w:p>
        </w:tc>
        <w:tc>
          <w:tcPr>
            <w:tcW w:w="952"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845" w:type="dxa"/>
            <w:vAlign w:val="center"/>
          </w:tcPr>
          <w:p>
            <w:pPr>
              <w:spacing w:line="240" w:lineRule="exact"/>
              <w:jc w:val="center"/>
              <w:rPr>
                <w:rFonts w:eastAsiaTheme="minorEastAsia"/>
                <w:sz w:val="21"/>
                <w:szCs w:val="21"/>
              </w:rPr>
            </w:pPr>
            <w:r>
              <w:rPr>
                <w:rFonts w:eastAsiaTheme="minorEastAsia"/>
                <w:sz w:val="21"/>
                <w:szCs w:val="21"/>
              </w:rPr>
              <w:t>1.8</w:t>
            </w:r>
          </w:p>
        </w:tc>
        <w:tc>
          <w:tcPr>
            <w:tcW w:w="845" w:type="dxa"/>
            <w:vAlign w:val="center"/>
          </w:tcPr>
          <w:p>
            <w:pPr>
              <w:spacing w:line="240" w:lineRule="exact"/>
              <w:jc w:val="center"/>
              <w:rPr>
                <w:rFonts w:eastAsiaTheme="minorEastAsia"/>
                <w:sz w:val="21"/>
                <w:szCs w:val="21"/>
              </w:rPr>
            </w:pPr>
            <w:r>
              <w:rPr>
                <w:rFonts w:eastAsiaTheme="minorEastAsia"/>
                <w:sz w:val="21"/>
                <w:szCs w:val="21"/>
              </w:rPr>
              <w:t>1.8</w:t>
            </w:r>
          </w:p>
        </w:tc>
        <w:tc>
          <w:tcPr>
            <w:tcW w:w="1155" w:type="dxa"/>
            <w:vAlign w:val="center"/>
          </w:tcPr>
          <w:p>
            <w:pPr>
              <w:spacing w:line="240" w:lineRule="exact"/>
              <w:jc w:val="center"/>
              <w:rPr>
                <w:rFonts w:eastAsiaTheme="minorEastAsia"/>
                <w:sz w:val="21"/>
                <w:szCs w:val="21"/>
              </w:rPr>
            </w:pPr>
            <w:r>
              <w:rPr>
                <w:rFonts w:hint="eastAsia" w:eastAsiaTheme="minorEastAsia"/>
                <w:sz w:val="21"/>
                <w:szCs w:val="21"/>
              </w:rPr>
              <w:t>/</w:t>
            </w:r>
          </w:p>
        </w:tc>
        <w:tc>
          <w:tcPr>
            <w:tcW w:w="1378" w:type="dxa"/>
            <w:vAlign w:val="center"/>
          </w:tcPr>
          <w:p>
            <w:pPr>
              <w:spacing w:line="240" w:lineRule="exact"/>
              <w:jc w:val="center"/>
              <w:rPr>
                <w:rFonts w:eastAsiaTheme="minorEastAsia"/>
                <w:sz w:val="21"/>
                <w:szCs w:val="21"/>
              </w:rPr>
            </w:pPr>
            <w:r>
              <w:rPr>
                <w:rFonts w:eastAsiaTheme="minorEastAsia"/>
                <w:sz w:val="21"/>
                <w:szCs w:val="21"/>
              </w:rPr>
              <w:t>辅料仓库</w:t>
            </w:r>
          </w:p>
        </w:tc>
        <w:tc>
          <w:tcPr>
            <w:tcW w:w="1011" w:type="dxa"/>
            <w:vAlign w:val="center"/>
          </w:tcPr>
          <w:p>
            <w:pPr>
              <w:spacing w:line="240" w:lineRule="exact"/>
              <w:jc w:val="center"/>
              <w:rPr>
                <w:rFonts w:eastAsiaTheme="minorEastAsia"/>
                <w:sz w:val="21"/>
                <w:szCs w:val="21"/>
              </w:rPr>
            </w:pPr>
            <w:r>
              <w:rPr>
                <w:rFonts w:hint="eastAsia" w:eastAsiaTheme="minorEastAsia"/>
                <w:sz w:val="21"/>
                <w:szCs w:val="21"/>
              </w:rPr>
              <w:t>0.18</w:t>
            </w:r>
          </w:p>
        </w:tc>
      </w:tr>
      <w:bookmarkEnd w:id="99"/>
    </w:tbl>
    <w:p>
      <w:pPr>
        <w:widowControl/>
        <w:spacing w:line="480" w:lineRule="atLeast"/>
        <w:ind w:firstLine="514" w:firstLineChars="200"/>
        <w:jc w:val="left"/>
        <w:rPr>
          <w:rFonts w:eastAsia="宋体"/>
          <w:spacing w:val="7"/>
          <w:kern w:val="0"/>
          <w:sz w:val="24"/>
          <w:szCs w:val="24"/>
        </w:rPr>
      </w:pPr>
      <w:r>
        <w:rPr>
          <w:rFonts w:eastAsia="宋体"/>
          <w:spacing w:val="7"/>
          <w:kern w:val="0"/>
          <w:sz w:val="24"/>
          <w:szCs w:val="24"/>
        </w:rPr>
        <w:t>本项目</w:t>
      </w:r>
      <w:r>
        <w:rPr>
          <w:rFonts w:hint="eastAsia" w:eastAsia="宋体"/>
          <w:spacing w:val="7"/>
          <w:kern w:val="0"/>
          <w:sz w:val="24"/>
          <w:szCs w:val="24"/>
        </w:rPr>
        <w:t>主要</w:t>
      </w:r>
      <w:r>
        <w:rPr>
          <w:rFonts w:eastAsia="宋体"/>
          <w:spacing w:val="7"/>
          <w:kern w:val="0"/>
          <w:sz w:val="24"/>
          <w:szCs w:val="24"/>
        </w:rPr>
        <w:t>原辅材料理化性质见表</w:t>
      </w:r>
      <w:r>
        <w:rPr>
          <w:rFonts w:hint="eastAsia" w:eastAsia="宋体"/>
          <w:spacing w:val="7"/>
          <w:kern w:val="0"/>
          <w:sz w:val="24"/>
          <w:szCs w:val="24"/>
        </w:rPr>
        <w:t>4</w:t>
      </w:r>
      <w:r>
        <w:rPr>
          <w:rFonts w:eastAsia="宋体"/>
          <w:spacing w:val="7"/>
          <w:kern w:val="0"/>
          <w:sz w:val="24"/>
          <w:szCs w:val="24"/>
        </w:rPr>
        <w:t>-</w:t>
      </w:r>
      <w:r>
        <w:rPr>
          <w:rFonts w:hint="eastAsia" w:eastAsia="宋体"/>
          <w:spacing w:val="7"/>
          <w:kern w:val="0"/>
          <w:sz w:val="24"/>
          <w:szCs w:val="24"/>
        </w:rPr>
        <w:t>6，其中毒性分级根据《职业性接触毒物危害程度分级》(GBZ230-2010)。</w:t>
      </w:r>
    </w:p>
    <w:p>
      <w:pPr>
        <w:pStyle w:val="313"/>
        <w:tabs>
          <w:tab w:val="clear" w:pos="3908"/>
        </w:tabs>
        <w:ind w:left="1122" w:hanging="561"/>
        <w:rPr>
          <w:rFonts w:ascii="Times New Roman" w:hAnsi="Times New Roman"/>
          <w:lang w:eastAsia="zh-CN"/>
        </w:rPr>
      </w:pPr>
      <w:r>
        <w:rPr>
          <w:rFonts w:ascii="Times New Roman" w:hAnsi="Times New Roman"/>
          <w:lang w:eastAsia="zh-CN"/>
        </w:rPr>
        <w:t>本项目</w:t>
      </w:r>
      <w:r>
        <w:rPr>
          <w:rFonts w:hint="eastAsia" w:ascii="Times New Roman" w:hAnsi="Times New Roman"/>
          <w:lang w:eastAsia="zh-CN"/>
        </w:rPr>
        <w:t>新增主要</w:t>
      </w:r>
      <w:r>
        <w:rPr>
          <w:rFonts w:ascii="Times New Roman" w:hAnsi="Times New Roman"/>
          <w:lang w:eastAsia="zh-CN"/>
        </w:rPr>
        <w:t>原辅材料理化性质表</w:t>
      </w:r>
    </w:p>
    <w:tbl>
      <w:tblPr>
        <w:tblStyle w:val="87"/>
        <w:tblW w:w="8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839"/>
        <w:gridCol w:w="832"/>
        <w:gridCol w:w="2764"/>
        <w:gridCol w:w="1400"/>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6"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名称</w:t>
            </w:r>
          </w:p>
        </w:tc>
        <w:tc>
          <w:tcPr>
            <w:tcW w:w="839"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分子式</w:t>
            </w:r>
          </w:p>
        </w:tc>
        <w:tc>
          <w:tcPr>
            <w:tcW w:w="832"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分子量</w:t>
            </w:r>
          </w:p>
        </w:tc>
        <w:tc>
          <w:tcPr>
            <w:tcW w:w="2764"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理化性质</w:t>
            </w:r>
          </w:p>
        </w:tc>
        <w:tc>
          <w:tcPr>
            <w:tcW w:w="1400"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燃烧爆炸性</w:t>
            </w:r>
          </w:p>
        </w:tc>
        <w:tc>
          <w:tcPr>
            <w:tcW w:w="2258" w:type="dxa"/>
            <w:shd w:val="clear" w:color="auto" w:fill="auto"/>
            <w:vAlign w:val="center"/>
          </w:tcPr>
          <w:p>
            <w:pPr>
              <w:widowControl/>
              <w:adjustRightInd w:val="0"/>
              <w:spacing w:line="280" w:lineRule="exact"/>
              <w:jc w:val="center"/>
              <w:textAlignment w:val="baseline"/>
              <w:rPr>
                <w:rFonts w:eastAsia="宋体"/>
                <w:sz w:val="18"/>
                <w:szCs w:val="18"/>
              </w:rPr>
            </w:pPr>
            <w:r>
              <w:rPr>
                <w:rFonts w:eastAsia="宋体"/>
                <w:sz w:val="18"/>
                <w:szCs w:val="18"/>
              </w:rPr>
              <w:t>毒理性质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6"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铁粉</w:t>
            </w:r>
          </w:p>
        </w:tc>
        <w:tc>
          <w:tcPr>
            <w:tcW w:w="839"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Fe</w:t>
            </w:r>
          </w:p>
        </w:tc>
        <w:tc>
          <w:tcPr>
            <w:tcW w:w="832"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56</w:t>
            </w:r>
          </w:p>
        </w:tc>
        <w:tc>
          <w:tcPr>
            <w:tcW w:w="2764" w:type="dxa"/>
            <w:shd w:val="clear" w:color="auto" w:fill="auto"/>
            <w:vAlign w:val="center"/>
          </w:tcPr>
          <w:p>
            <w:pPr>
              <w:widowControl/>
              <w:spacing w:line="280" w:lineRule="exact"/>
              <w:jc w:val="center"/>
              <w:rPr>
                <w:rFonts w:eastAsia="宋体"/>
                <w:sz w:val="18"/>
                <w:szCs w:val="18"/>
              </w:rPr>
            </w:pPr>
            <w:r>
              <w:rPr>
                <w:rFonts w:eastAsia="宋体"/>
                <w:spacing w:val="4"/>
                <w:sz w:val="18"/>
                <w:szCs w:val="18"/>
              </w:rPr>
              <w:t>常温状态是银白色固体或灰黑色粉末</w:t>
            </w:r>
            <w:r>
              <w:rPr>
                <w:rFonts w:hint="eastAsia" w:eastAsia="宋体"/>
                <w:spacing w:val="4"/>
                <w:sz w:val="18"/>
                <w:szCs w:val="18"/>
              </w:rPr>
              <w:t>，</w:t>
            </w:r>
            <w:r>
              <w:rPr>
                <w:rFonts w:eastAsia="宋体"/>
                <w:spacing w:val="4"/>
                <w:sz w:val="18"/>
                <w:szCs w:val="18"/>
              </w:rPr>
              <w:t>密度</w:t>
            </w:r>
            <w:r>
              <w:rPr>
                <w:rFonts w:hint="eastAsia" w:eastAsia="宋体"/>
                <w:spacing w:val="4"/>
                <w:sz w:val="18"/>
                <w:szCs w:val="18"/>
              </w:rPr>
              <w:t>7.845</w:t>
            </w:r>
            <w:r>
              <w:rPr>
                <w:rFonts w:eastAsia="宋体"/>
                <w:spacing w:val="4"/>
                <w:sz w:val="18"/>
                <w:szCs w:val="18"/>
              </w:rPr>
              <w:t>g/cm</w:t>
            </w:r>
            <w:r>
              <w:rPr>
                <w:rFonts w:hint="eastAsia" w:eastAsia="宋体"/>
                <w:spacing w:val="4"/>
                <w:sz w:val="18"/>
                <w:szCs w:val="18"/>
                <w:vertAlign w:val="superscript"/>
              </w:rPr>
              <w:t>3</w:t>
            </w:r>
            <w:r>
              <w:rPr>
                <w:rFonts w:eastAsia="宋体"/>
                <w:spacing w:val="4"/>
                <w:sz w:val="18"/>
                <w:szCs w:val="18"/>
              </w:rPr>
              <w:t>，熔点1</w:t>
            </w:r>
            <w:r>
              <w:rPr>
                <w:rFonts w:hint="eastAsia" w:eastAsia="宋体"/>
                <w:spacing w:val="4"/>
                <w:sz w:val="18"/>
                <w:szCs w:val="18"/>
              </w:rPr>
              <w:t>537℃</w:t>
            </w:r>
            <w:r>
              <w:rPr>
                <w:rFonts w:eastAsia="宋体"/>
                <w:spacing w:val="4"/>
                <w:sz w:val="18"/>
                <w:szCs w:val="18"/>
              </w:rPr>
              <w:t>，沸点2</w:t>
            </w:r>
            <w:r>
              <w:rPr>
                <w:rFonts w:hint="eastAsia" w:eastAsia="宋体"/>
                <w:spacing w:val="4"/>
                <w:sz w:val="18"/>
                <w:szCs w:val="18"/>
              </w:rPr>
              <w:t>562℃</w:t>
            </w:r>
            <w:r>
              <w:rPr>
                <w:rFonts w:eastAsia="宋体"/>
                <w:spacing w:val="4"/>
                <w:sz w:val="18"/>
                <w:szCs w:val="18"/>
              </w:rPr>
              <w:t>，折光率1.434</w:t>
            </w:r>
            <w:r>
              <w:rPr>
                <w:rFonts w:hint="eastAsia" w:eastAsia="宋体"/>
                <w:spacing w:val="4"/>
                <w:sz w:val="18"/>
                <w:szCs w:val="18"/>
              </w:rPr>
              <w:t>，</w:t>
            </w:r>
            <w:r>
              <w:rPr>
                <w:rFonts w:eastAsia="宋体"/>
                <w:spacing w:val="4"/>
                <w:sz w:val="18"/>
                <w:szCs w:val="18"/>
              </w:rPr>
              <w:t>低毒</w:t>
            </w:r>
            <w:r>
              <w:rPr>
                <w:rFonts w:hint="eastAsia" w:eastAsia="宋体"/>
                <w:spacing w:val="4"/>
                <w:sz w:val="18"/>
                <w:szCs w:val="18"/>
              </w:rPr>
              <w:t>，不</w:t>
            </w:r>
            <w:r>
              <w:rPr>
                <w:rFonts w:eastAsia="宋体"/>
                <w:spacing w:val="4"/>
                <w:sz w:val="18"/>
                <w:szCs w:val="18"/>
              </w:rPr>
              <w:t>溶于水。</w:t>
            </w:r>
          </w:p>
        </w:tc>
        <w:tc>
          <w:tcPr>
            <w:tcW w:w="1400"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c>
          <w:tcPr>
            <w:tcW w:w="2258"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56"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润滑油</w:t>
            </w:r>
          </w:p>
        </w:tc>
        <w:tc>
          <w:tcPr>
            <w:tcW w:w="839"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c>
          <w:tcPr>
            <w:tcW w:w="832"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c>
          <w:tcPr>
            <w:tcW w:w="2764" w:type="dxa"/>
            <w:shd w:val="clear" w:color="auto" w:fill="auto"/>
            <w:vAlign w:val="center"/>
          </w:tcPr>
          <w:p>
            <w:pPr>
              <w:widowControl/>
              <w:spacing w:line="280" w:lineRule="exact"/>
              <w:jc w:val="center"/>
              <w:rPr>
                <w:rFonts w:eastAsia="宋体"/>
                <w:spacing w:val="4"/>
                <w:sz w:val="18"/>
                <w:szCs w:val="18"/>
              </w:rPr>
            </w:pPr>
            <w:r>
              <w:rPr>
                <w:rFonts w:hint="eastAsia" w:eastAsia="宋体"/>
                <w:spacing w:val="4"/>
                <w:sz w:val="18"/>
                <w:szCs w:val="18"/>
              </w:rPr>
              <w:t>琥珀色</w:t>
            </w:r>
            <w:r>
              <w:rPr>
                <w:rFonts w:eastAsia="宋体"/>
                <w:spacing w:val="4"/>
                <w:sz w:val="18"/>
                <w:szCs w:val="18"/>
              </w:rPr>
              <w:t>液体，</w:t>
            </w:r>
            <w:r>
              <w:rPr>
                <w:rFonts w:hint="eastAsia" w:eastAsia="宋体"/>
                <w:spacing w:val="4"/>
                <w:sz w:val="18"/>
                <w:szCs w:val="18"/>
              </w:rPr>
              <w:t>闪点</w:t>
            </w:r>
            <w:r>
              <w:rPr>
                <w:rFonts w:eastAsia="宋体"/>
                <w:spacing w:val="4"/>
                <w:sz w:val="18"/>
                <w:szCs w:val="18"/>
              </w:rPr>
              <w:t>＞</w:t>
            </w:r>
            <w:r>
              <w:rPr>
                <w:rFonts w:hint="eastAsia" w:eastAsia="宋体"/>
                <w:spacing w:val="4"/>
                <w:sz w:val="18"/>
                <w:szCs w:val="18"/>
              </w:rPr>
              <w:t>100℃</w:t>
            </w:r>
            <w:r>
              <w:rPr>
                <w:rFonts w:eastAsia="宋体"/>
                <w:spacing w:val="4"/>
                <w:sz w:val="18"/>
                <w:szCs w:val="18"/>
              </w:rPr>
              <w:t>，</w:t>
            </w:r>
            <w:r>
              <w:rPr>
                <w:rFonts w:hint="eastAsia" w:eastAsia="宋体"/>
                <w:spacing w:val="4"/>
                <w:sz w:val="18"/>
                <w:szCs w:val="18"/>
              </w:rPr>
              <w:t>相对</w:t>
            </w:r>
            <w:r>
              <w:rPr>
                <w:rFonts w:eastAsia="宋体"/>
                <w:spacing w:val="4"/>
                <w:sz w:val="18"/>
                <w:szCs w:val="18"/>
              </w:rPr>
              <w:t>密度</w:t>
            </w:r>
            <w:r>
              <w:rPr>
                <w:rFonts w:hint="eastAsia" w:eastAsia="宋体"/>
                <w:spacing w:val="4"/>
                <w:sz w:val="18"/>
                <w:szCs w:val="18"/>
              </w:rPr>
              <w:t>(水)</w:t>
            </w:r>
            <w:r>
              <w:rPr>
                <w:rFonts w:eastAsia="宋体"/>
                <w:spacing w:val="4"/>
                <w:sz w:val="18"/>
                <w:szCs w:val="18"/>
              </w:rPr>
              <w:t>0.897-0.920</w:t>
            </w:r>
            <w:r>
              <w:rPr>
                <w:rFonts w:hint="eastAsia" w:eastAsia="宋体"/>
                <w:spacing w:val="4"/>
                <w:sz w:val="18"/>
                <w:szCs w:val="18"/>
              </w:rPr>
              <w:t>，</w:t>
            </w:r>
            <w:r>
              <w:rPr>
                <w:rFonts w:eastAsia="宋体"/>
                <w:spacing w:val="4"/>
                <w:sz w:val="18"/>
                <w:szCs w:val="18"/>
              </w:rPr>
              <w:t>不溶于水，自燃温度＞</w:t>
            </w:r>
            <w:r>
              <w:rPr>
                <w:rFonts w:hint="eastAsia" w:eastAsia="宋体"/>
                <w:spacing w:val="4"/>
                <w:sz w:val="18"/>
                <w:szCs w:val="18"/>
              </w:rPr>
              <w:t>400℃</w:t>
            </w:r>
          </w:p>
        </w:tc>
        <w:tc>
          <w:tcPr>
            <w:tcW w:w="1400"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c>
          <w:tcPr>
            <w:tcW w:w="2258" w:type="dxa"/>
            <w:shd w:val="clear" w:color="auto" w:fill="auto"/>
            <w:vAlign w:val="center"/>
          </w:tcPr>
          <w:p>
            <w:pPr>
              <w:widowControl/>
              <w:adjustRightInd w:val="0"/>
              <w:spacing w:line="280" w:lineRule="exact"/>
              <w:jc w:val="center"/>
              <w:textAlignment w:val="baseline"/>
              <w:rPr>
                <w:rFonts w:eastAsia="宋体"/>
                <w:sz w:val="18"/>
                <w:szCs w:val="18"/>
              </w:rPr>
            </w:pPr>
            <w:r>
              <w:rPr>
                <w:rFonts w:hint="eastAsia" w:eastAsia="宋体"/>
                <w:sz w:val="18"/>
                <w:szCs w:val="18"/>
              </w:rPr>
              <w:t>/</w:t>
            </w:r>
          </w:p>
        </w:tc>
      </w:tr>
    </w:tbl>
    <w:p>
      <w:pPr>
        <w:pStyle w:val="3"/>
        <w:numPr>
          <w:ilvl w:val="1"/>
          <w:numId w:val="24"/>
        </w:numPr>
        <w:rPr>
          <w:rFonts w:ascii="Times New Roman" w:hAnsi="Times New Roman"/>
        </w:rPr>
      </w:pPr>
      <w:bookmarkStart w:id="102" w:name="_Toc10637149"/>
      <w:r>
        <w:rPr>
          <w:rFonts w:ascii="Times New Roman" w:hAnsi="Times New Roman"/>
        </w:rPr>
        <w:t>设备情况</w:t>
      </w:r>
      <w:bookmarkEnd w:id="102"/>
    </w:p>
    <w:p>
      <w:pPr>
        <w:pStyle w:val="4"/>
        <w:rPr>
          <w:rFonts w:ascii="Times New Roman" w:hAnsi="Times New Roman" w:cs="Times New Roman"/>
          <w:spacing w:val="0"/>
        </w:rPr>
      </w:pPr>
      <w:r>
        <w:rPr>
          <w:rFonts w:hint="eastAsia" w:ascii="Times New Roman" w:hAnsi="Times New Roman" w:cs="Times New Roman"/>
          <w:spacing w:val="0"/>
        </w:rPr>
        <w:t>（1）项目</w:t>
      </w:r>
      <w:r>
        <w:rPr>
          <w:rFonts w:ascii="Times New Roman" w:hAnsi="Times New Roman" w:cs="Times New Roman"/>
          <w:spacing w:val="0"/>
        </w:rPr>
        <w:t>设备清单</w:t>
      </w:r>
    </w:p>
    <w:p>
      <w:pPr>
        <w:pStyle w:val="4"/>
        <w:rPr>
          <w:rFonts w:ascii="Times New Roman" w:hAnsi="Times New Roman" w:cs="Times New Roman"/>
          <w:spacing w:val="0"/>
        </w:rPr>
      </w:pPr>
      <w:r>
        <w:rPr>
          <w:rFonts w:ascii="Times New Roman" w:hAnsi="Times New Roman" w:cs="Times New Roman"/>
          <w:spacing w:val="0"/>
        </w:rPr>
        <w:t>项目</w:t>
      </w:r>
      <w:r>
        <w:rPr>
          <w:rFonts w:hint="eastAsia" w:ascii="Times New Roman" w:hAnsi="Times New Roman" w:cs="Times New Roman"/>
          <w:spacing w:val="0"/>
        </w:rPr>
        <w:t>在炼钢一厂内实施，其余分厂或车间设备均不变。项目新增连铸机及配套设施、VD炉，项目实施后炼钢一厂设备情况详见</w:t>
      </w:r>
      <w:r>
        <w:rPr>
          <w:rFonts w:ascii="Times New Roman" w:hAnsi="Times New Roman" w:cs="Times New Roman"/>
          <w:spacing w:val="0"/>
        </w:rPr>
        <w:t>表4-</w:t>
      </w:r>
      <w:r>
        <w:rPr>
          <w:rFonts w:hint="eastAsia" w:ascii="Times New Roman" w:hAnsi="Times New Roman" w:cs="Times New Roman"/>
          <w:spacing w:val="0"/>
        </w:rPr>
        <w:t>7，其中连铸机设备一览表详见表4-</w:t>
      </w:r>
      <w:r>
        <w:rPr>
          <w:rFonts w:ascii="Times New Roman" w:hAnsi="Times New Roman" w:cs="Times New Roman"/>
          <w:spacing w:val="0"/>
        </w:rPr>
        <w:t>8</w:t>
      </w:r>
      <w:r>
        <w:rPr>
          <w:rFonts w:hint="eastAsia" w:ascii="Times New Roman" w:hAnsi="Times New Roman" w:cs="Times New Roman"/>
          <w:spacing w:val="0"/>
        </w:rPr>
        <w:t>，VD炉设备一览表详见表4-</w:t>
      </w:r>
      <w:r>
        <w:rPr>
          <w:rFonts w:ascii="Times New Roman" w:hAnsi="Times New Roman" w:cs="Times New Roman"/>
          <w:spacing w:val="0"/>
        </w:rPr>
        <w:t>9</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rPr>
        <w:t>项目</w:t>
      </w:r>
      <w:r>
        <w:rPr>
          <w:rFonts w:hint="eastAsia" w:ascii="Times New Roman" w:hAnsi="Times New Roman"/>
          <w:lang w:eastAsia="zh-CN"/>
        </w:rPr>
        <w:t>实施后炼钢一厂设备情况</w:t>
      </w:r>
    </w:p>
    <w:tbl>
      <w:tblPr>
        <w:tblStyle w:val="87"/>
        <w:tblW w:w="876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05"/>
        <w:gridCol w:w="1747"/>
        <w:gridCol w:w="1749"/>
        <w:gridCol w:w="792"/>
        <w:gridCol w:w="738"/>
        <w:gridCol w:w="2040"/>
        <w:gridCol w:w="11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tblHeader/>
          <w:jc w:val="center"/>
        </w:trPr>
        <w:tc>
          <w:tcPr>
            <w:tcW w:w="505" w:type="dxa"/>
            <w:vMerge w:val="restart"/>
            <w:tcBorders>
              <w:top w:val="single" w:color="000000" w:sz="6" w:space="0"/>
              <w:left w:val="single" w:color="000000" w:sz="6" w:space="0"/>
              <w:right w:val="single" w:color="000000" w:sz="6" w:space="0"/>
            </w:tcBorders>
            <w:vAlign w:val="center"/>
          </w:tcPr>
          <w:p>
            <w:pPr>
              <w:widowControl/>
              <w:spacing w:line="300" w:lineRule="exact"/>
              <w:jc w:val="center"/>
              <w:rPr>
                <w:rFonts w:eastAsiaTheme="minorEastAsia"/>
                <w:caps/>
                <w:sz w:val="21"/>
                <w:szCs w:val="21"/>
              </w:rPr>
            </w:pPr>
            <w:r>
              <w:rPr>
                <w:rFonts w:eastAsiaTheme="minorEastAsia"/>
                <w:caps/>
                <w:sz w:val="21"/>
                <w:szCs w:val="21"/>
              </w:rPr>
              <w:t>序号</w:t>
            </w:r>
          </w:p>
        </w:tc>
        <w:tc>
          <w:tcPr>
            <w:tcW w:w="1747" w:type="dxa"/>
            <w:vMerge w:val="restart"/>
            <w:tcBorders>
              <w:top w:val="single" w:color="000000" w:sz="6" w:space="0"/>
              <w:left w:val="single" w:color="000000" w:sz="6" w:space="0"/>
              <w:right w:val="single" w:color="000000" w:sz="6" w:space="0"/>
            </w:tcBorders>
            <w:vAlign w:val="center"/>
          </w:tcPr>
          <w:p>
            <w:pPr>
              <w:widowControl/>
              <w:spacing w:line="300" w:lineRule="exact"/>
              <w:jc w:val="center"/>
              <w:rPr>
                <w:rFonts w:eastAsiaTheme="minorEastAsia"/>
                <w:caps/>
                <w:sz w:val="21"/>
                <w:szCs w:val="21"/>
              </w:rPr>
            </w:pPr>
            <w:r>
              <w:rPr>
                <w:rFonts w:eastAsiaTheme="minorEastAsia"/>
                <w:caps/>
                <w:sz w:val="21"/>
                <w:szCs w:val="21"/>
              </w:rPr>
              <w:t>设备名称</w:t>
            </w:r>
          </w:p>
        </w:tc>
        <w:tc>
          <w:tcPr>
            <w:tcW w:w="1749" w:type="dxa"/>
            <w:vMerge w:val="restart"/>
            <w:tcBorders>
              <w:top w:val="single" w:color="000000" w:sz="6" w:space="0"/>
              <w:left w:val="single" w:color="000000" w:sz="6" w:space="0"/>
              <w:right w:val="single" w:color="000000" w:sz="6" w:space="0"/>
            </w:tcBorders>
            <w:vAlign w:val="center"/>
          </w:tcPr>
          <w:p>
            <w:pPr>
              <w:widowControl/>
              <w:spacing w:line="300" w:lineRule="exact"/>
              <w:jc w:val="center"/>
              <w:rPr>
                <w:rFonts w:eastAsiaTheme="minorEastAsia"/>
                <w:caps/>
                <w:sz w:val="21"/>
                <w:szCs w:val="21"/>
              </w:rPr>
            </w:pPr>
            <w:r>
              <w:rPr>
                <w:rFonts w:eastAsiaTheme="minorEastAsia"/>
                <w:caps/>
                <w:sz w:val="21"/>
                <w:szCs w:val="21"/>
              </w:rPr>
              <w:t>型号</w:t>
            </w:r>
          </w:p>
        </w:tc>
        <w:tc>
          <w:tcPr>
            <w:tcW w:w="1530" w:type="dxa"/>
            <w:gridSpan w:val="2"/>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caps/>
                <w:sz w:val="21"/>
                <w:szCs w:val="21"/>
              </w:rPr>
            </w:pPr>
            <w:r>
              <w:rPr>
                <w:rFonts w:eastAsiaTheme="minorEastAsia"/>
                <w:caps/>
                <w:sz w:val="21"/>
                <w:szCs w:val="21"/>
              </w:rPr>
              <w:t>数量（</w:t>
            </w:r>
            <w:r>
              <w:rPr>
                <w:rFonts w:eastAsiaTheme="minorEastAsia"/>
                <w:sz w:val="21"/>
                <w:szCs w:val="21"/>
              </w:rPr>
              <w:t>台</w:t>
            </w:r>
            <w:r>
              <w:rPr>
                <w:rFonts w:eastAsiaTheme="minorEastAsia"/>
                <w:caps/>
                <w:sz w:val="21"/>
                <w:szCs w:val="21"/>
              </w:rPr>
              <w:t>）</w:t>
            </w:r>
          </w:p>
        </w:tc>
        <w:tc>
          <w:tcPr>
            <w:tcW w:w="2040" w:type="dxa"/>
            <w:vMerge w:val="restart"/>
            <w:tcBorders>
              <w:top w:val="single" w:color="000000" w:sz="6" w:space="0"/>
              <w:left w:val="single" w:color="auto" w:sz="4" w:space="0"/>
              <w:right w:val="single" w:color="000000" w:sz="6" w:space="0"/>
            </w:tcBorders>
            <w:vAlign w:val="center"/>
          </w:tcPr>
          <w:p>
            <w:pPr>
              <w:widowControl/>
              <w:spacing w:line="300" w:lineRule="exact"/>
              <w:jc w:val="center"/>
              <w:rPr>
                <w:rFonts w:eastAsiaTheme="minorEastAsia"/>
                <w:caps/>
                <w:sz w:val="21"/>
                <w:szCs w:val="21"/>
              </w:rPr>
            </w:pPr>
            <w:r>
              <w:rPr>
                <w:rFonts w:eastAsiaTheme="minorEastAsia"/>
                <w:caps/>
                <w:sz w:val="21"/>
                <w:szCs w:val="21"/>
              </w:rPr>
              <w:t>厂家</w:t>
            </w:r>
          </w:p>
        </w:tc>
        <w:tc>
          <w:tcPr>
            <w:tcW w:w="1190" w:type="dxa"/>
            <w:vMerge w:val="restart"/>
            <w:tcBorders>
              <w:top w:val="single" w:color="000000" w:sz="6" w:space="0"/>
              <w:left w:val="single" w:color="000000" w:sz="6" w:space="0"/>
              <w:right w:val="single" w:color="000000" w:sz="6" w:space="0"/>
            </w:tcBorders>
            <w:vAlign w:val="center"/>
          </w:tcPr>
          <w:p>
            <w:pPr>
              <w:widowControl/>
              <w:spacing w:line="300" w:lineRule="exact"/>
              <w:jc w:val="center"/>
              <w:rPr>
                <w:rFonts w:eastAsiaTheme="minorEastAsia"/>
                <w:caps/>
                <w:sz w:val="21"/>
                <w:szCs w:val="21"/>
              </w:rPr>
            </w:pPr>
            <w:r>
              <w:rPr>
                <w:rFonts w:hint="eastAsia" w:eastAsiaTheme="minorEastAsia"/>
                <w:caps/>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vMerge w:val="continue"/>
            <w:tcBorders>
              <w:left w:val="single" w:color="000000" w:sz="6" w:space="0"/>
              <w:bottom w:val="single" w:color="000000" w:sz="6" w:space="0"/>
              <w:right w:val="single" w:color="000000" w:sz="6" w:space="0"/>
            </w:tcBorders>
            <w:vAlign w:val="center"/>
          </w:tcPr>
          <w:p>
            <w:pPr>
              <w:spacing w:line="300" w:lineRule="exact"/>
              <w:jc w:val="center"/>
              <w:rPr>
                <w:rFonts w:eastAsiaTheme="minorEastAsia"/>
                <w:sz w:val="21"/>
                <w:szCs w:val="21"/>
              </w:rPr>
            </w:pPr>
          </w:p>
        </w:tc>
        <w:tc>
          <w:tcPr>
            <w:tcW w:w="1747" w:type="dxa"/>
            <w:vMerge w:val="continue"/>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p>
        </w:tc>
        <w:tc>
          <w:tcPr>
            <w:tcW w:w="1749" w:type="dxa"/>
            <w:vMerge w:val="continue"/>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ind w:left="-141" w:leftChars="-50" w:right="-141" w:rightChars="-50"/>
              <w:jc w:val="center"/>
              <w:rPr>
                <w:rFonts w:eastAsiaTheme="minorEastAsia"/>
                <w:position w:val="4"/>
                <w:sz w:val="21"/>
                <w:szCs w:val="21"/>
              </w:rPr>
            </w:pPr>
            <w:r>
              <w:rPr>
                <w:rFonts w:hint="eastAsia" w:eastAsiaTheme="minorEastAsia"/>
                <w:position w:val="4"/>
                <w:sz w:val="21"/>
                <w:szCs w:val="21"/>
              </w:rPr>
              <w:t>技改前</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ind w:left="-141" w:leftChars="-50" w:right="-141" w:rightChars="-50"/>
              <w:jc w:val="center"/>
              <w:rPr>
                <w:rFonts w:eastAsiaTheme="minorEastAsia"/>
                <w:position w:val="4"/>
                <w:sz w:val="21"/>
                <w:szCs w:val="21"/>
              </w:rPr>
            </w:pPr>
            <w:r>
              <w:rPr>
                <w:rFonts w:hint="eastAsia" w:eastAsiaTheme="minorEastAsia"/>
                <w:position w:val="4"/>
                <w:sz w:val="21"/>
                <w:szCs w:val="21"/>
              </w:rPr>
              <w:t>技改后</w:t>
            </w:r>
          </w:p>
        </w:tc>
        <w:tc>
          <w:tcPr>
            <w:tcW w:w="2040" w:type="dxa"/>
            <w:vMerge w:val="continue"/>
            <w:tcBorders>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p>
        </w:tc>
        <w:tc>
          <w:tcPr>
            <w:tcW w:w="1190" w:type="dxa"/>
            <w:vMerge w:val="continue"/>
            <w:tcBorders>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spacing w:line="300" w:lineRule="exact"/>
              <w:jc w:val="center"/>
              <w:rPr>
                <w:rFonts w:eastAsiaTheme="minorEastAsia"/>
                <w:sz w:val="21"/>
                <w:szCs w:val="21"/>
              </w:rPr>
            </w:pPr>
            <w:r>
              <w:rPr>
                <w:rFonts w:eastAsiaTheme="minorEastAsia"/>
                <w:sz w:val="21"/>
                <w:szCs w:val="21"/>
              </w:rPr>
              <w:t>1</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高合金钢高功率电弧炉</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出钢量30t/h</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西安广大</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position w:val="4"/>
                <w:sz w:val="21"/>
                <w:szCs w:val="21"/>
              </w:rPr>
              <w:t>2</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AOD精炼炉</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出钢量30t/h</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太原钢铁厂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position w:val="4"/>
                <w:sz w:val="21"/>
                <w:szCs w:val="21"/>
              </w:rPr>
              <w:t>3</w:t>
            </w:r>
          </w:p>
        </w:tc>
        <w:tc>
          <w:tcPr>
            <w:tcW w:w="1747"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LF钢包精炼炉</w:t>
            </w:r>
          </w:p>
        </w:tc>
        <w:tc>
          <w:tcPr>
            <w:tcW w:w="1749"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30t</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改建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position w:val="4"/>
                <w:sz w:val="21"/>
                <w:szCs w:val="21"/>
              </w:rPr>
              <w:t>4</w:t>
            </w:r>
          </w:p>
        </w:tc>
        <w:tc>
          <w:tcPr>
            <w:tcW w:w="1747"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VD精炼炉</w:t>
            </w:r>
          </w:p>
        </w:tc>
        <w:tc>
          <w:tcPr>
            <w:tcW w:w="1749"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30t</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position w:val="4"/>
                <w:sz w:val="21"/>
                <w:szCs w:val="21"/>
              </w:rPr>
              <w:t>5</w:t>
            </w:r>
          </w:p>
        </w:tc>
        <w:tc>
          <w:tcPr>
            <w:tcW w:w="1747"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连铸机</w:t>
            </w:r>
          </w:p>
        </w:tc>
        <w:tc>
          <w:tcPr>
            <w:tcW w:w="1749" w:type="dxa"/>
            <w:tcBorders>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非标</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kern w:val="0"/>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6</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除尘系统</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position w:val="4"/>
                <w:sz w:val="21"/>
                <w:szCs w:val="21"/>
              </w:rPr>
            </w:pPr>
            <w:r>
              <w:rPr>
                <w:rFonts w:eastAsiaTheme="minorEastAsia"/>
                <w:sz w:val="21"/>
                <w:szCs w:val="21"/>
              </w:rPr>
              <w:t>92*104m</w:t>
            </w:r>
            <w:r>
              <w:rPr>
                <w:rFonts w:eastAsiaTheme="minorEastAsia"/>
                <w:sz w:val="21"/>
                <w:szCs w:val="21"/>
                <w:vertAlign w:val="superscript"/>
              </w:rPr>
              <w:t>3</w:t>
            </w:r>
            <w:r>
              <w:rPr>
                <w:rFonts w:eastAsiaTheme="minorEastAsia"/>
                <w:sz w:val="21"/>
                <w:szCs w:val="21"/>
              </w:rPr>
              <w:t>/h</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sz w:val="21"/>
                <w:szCs w:val="21"/>
              </w:rPr>
              <w:t>无锡市东方环境工程设计研究所有限公司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7</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QD15/3-16.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杭州胜利锅炉厂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8</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通用桥式起重机（吊运熔融金属）</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QD40/10-16. 5m A7</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长广机械制造有限公司（改造单位）</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9</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QD40/10-16.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杭州起重机械有限公司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10</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QD20/5-16.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杭州起重机械有限公司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11</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QD32/10-16.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上海起重运输机械厂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12</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r>
              <w:rPr>
                <w:rFonts w:hint="eastAsia" w:eastAsiaTheme="minorEastAsia"/>
                <w:sz w:val="21"/>
                <w:szCs w:val="21"/>
              </w:rPr>
              <w:t>(</w:t>
            </w:r>
            <w:r>
              <w:rPr>
                <w:rFonts w:eastAsiaTheme="minorEastAsia"/>
                <w:sz w:val="21"/>
                <w:szCs w:val="21"/>
              </w:rPr>
              <w:t>吊运熔融金属用</w:t>
            </w:r>
            <w:r>
              <w:rPr>
                <w:rFonts w:hint="eastAsia" w:eastAsiaTheme="minorEastAsia"/>
                <w:sz w:val="21"/>
                <w:szCs w:val="21"/>
              </w:rPr>
              <w:t>)</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QDY50/10-16. 5A7</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13</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QD50/10-16. 5A7S</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长广机械制造有限公司（改造单位）</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14</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QD20/10-16.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上海起重运输机械厂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15</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QD20/5-16.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杭州起重机械有限公司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16</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QD16/3.2-19.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杭州起重机械有限公司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17</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QD16/3.2-19.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杭州起重机械有限公司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18</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QD15/3-16.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上海起重运输机械厂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19</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QD15/3-16. 5A6</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上海起重运输机械厂</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20</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电动葫芦半门式起重机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MHB5tx7.7m</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kern w:val="0"/>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21</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模铸浇钢车</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hint="eastAsia" w:eastAsiaTheme="minorEastAsia"/>
                <w:sz w:val="21"/>
                <w:szCs w:val="21"/>
              </w:rPr>
              <w:t>/</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2</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2</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kern w:val="0"/>
                <w:sz w:val="21"/>
                <w:szCs w:val="21"/>
              </w:rPr>
            </w:pPr>
            <w:r>
              <w:rPr>
                <w:rFonts w:hint="eastAsia" w:eastAsiaTheme="minorEastAsia"/>
                <w:kern w:val="0"/>
                <w:sz w:val="21"/>
                <w:szCs w:val="21"/>
              </w:rPr>
              <w:t>/</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sz w:val="21"/>
                <w:szCs w:val="21"/>
              </w:rPr>
              <w:t>利用现有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22</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YZ60/20t -28m</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kern w:val="0"/>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kern w:val="0"/>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23</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QD32/10t-28m</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kern w:val="0"/>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kern w:val="0"/>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24</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通用桥式起重机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QZ32t/10t-26.5m</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kern w:val="0"/>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kern w:val="0"/>
                <w:sz w:val="21"/>
                <w:szCs w:val="21"/>
              </w:rPr>
              <w:t>新增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505"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hint="eastAsia" w:eastAsiaTheme="minorEastAsia"/>
                <w:position w:val="4"/>
                <w:sz w:val="21"/>
                <w:szCs w:val="21"/>
              </w:rPr>
              <w:t>25</w:t>
            </w:r>
          </w:p>
        </w:tc>
        <w:tc>
          <w:tcPr>
            <w:tcW w:w="1747"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电动葫芦半门式起重机</w:t>
            </w:r>
          </w:p>
        </w:tc>
        <w:tc>
          <w:tcPr>
            <w:tcW w:w="1749"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textAlignment w:val="center"/>
              <w:rPr>
                <w:rFonts w:eastAsiaTheme="minorEastAsia"/>
                <w:sz w:val="21"/>
                <w:szCs w:val="21"/>
              </w:rPr>
            </w:pPr>
            <w:r>
              <w:rPr>
                <w:rFonts w:eastAsiaTheme="minorEastAsia"/>
                <w:sz w:val="21"/>
                <w:szCs w:val="21"/>
              </w:rPr>
              <w:t>LD10t-7.7m</w:t>
            </w:r>
          </w:p>
        </w:tc>
        <w:tc>
          <w:tcPr>
            <w:tcW w:w="792" w:type="dxa"/>
            <w:tcBorders>
              <w:top w:val="single" w:color="000000" w:sz="6" w:space="0"/>
              <w:left w:val="single" w:color="000000" w:sz="6"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hint="eastAsia" w:eastAsiaTheme="minorEastAsia"/>
                <w:sz w:val="21"/>
                <w:szCs w:val="21"/>
              </w:rPr>
              <w:t>0</w:t>
            </w:r>
          </w:p>
        </w:tc>
        <w:tc>
          <w:tcPr>
            <w:tcW w:w="738" w:type="dxa"/>
            <w:tcBorders>
              <w:top w:val="single" w:color="000000" w:sz="6" w:space="0"/>
              <w:left w:val="single" w:color="auto" w:sz="4" w:space="0"/>
              <w:bottom w:val="single" w:color="000000" w:sz="6" w:space="0"/>
              <w:right w:val="single" w:color="auto" w:sz="4" w:space="0"/>
            </w:tcBorders>
            <w:vAlign w:val="center"/>
          </w:tcPr>
          <w:p>
            <w:pPr>
              <w:widowControl/>
              <w:spacing w:line="300" w:lineRule="exact"/>
              <w:jc w:val="center"/>
              <w:rPr>
                <w:rFonts w:eastAsiaTheme="minorEastAsia"/>
                <w:sz w:val="21"/>
                <w:szCs w:val="21"/>
              </w:rPr>
            </w:pPr>
            <w:r>
              <w:rPr>
                <w:rFonts w:eastAsiaTheme="minorEastAsia"/>
                <w:sz w:val="21"/>
                <w:szCs w:val="21"/>
              </w:rPr>
              <w:t>1</w:t>
            </w:r>
          </w:p>
        </w:tc>
        <w:tc>
          <w:tcPr>
            <w:tcW w:w="2040" w:type="dxa"/>
            <w:tcBorders>
              <w:top w:val="single" w:color="000000" w:sz="6" w:space="0"/>
              <w:left w:val="single" w:color="auto" w:sz="4" w:space="0"/>
              <w:bottom w:val="single" w:color="000000" w:sz="6" w:space="0"/>
              <w:right w:val="single" w:color="000000" w:sz="6" w:space="0"/>
            </w:tcBorders>
            <w:vAlign w:val="center"/>
          </w:tcPr>
          <w:p>
            <w:pPr>
              <w:widowControl/>
              <w:spacing w:line="300" w:lineRule="exact"/>
              <w:jc w:val="center"/>
              <w:rPr>
                <w:rFonts w:eastAsiaTheme="minorEastAsia"/>
                <w:kern w:val="0"/>
                <w:sz w:val="21"/>
                <w:szCs w:val="21"/>
              </w:rPr>
            </w:pPr>
            <w:r>
              <w:rPr>
                <w:rFonts w:eastAsiaTheme="minorEastAsia"/>
                <w:sz w:val="21"/>
                <w:szCs w:val="21"/>
              </w:rPr>
              <w:t>河南卫华重型机械股份有限公司</w:t>
            </w:r>
          </w:p>
        </w:tc>
        <w:tc>
          <w:tcPr>
            <w:tcW w:w="1190" w:type="dxa"/>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eastAsiaTheme="minorEastAsia"/>
                <w:position w:val="4"/>
                <w:sz w:val="21"/>
                <w:szCs w:val="21"/>
              </w:rPr>
            </w:pPr>
            <w:r>
              <w:rPr>
                <w:rFonts w:eastAsiaTheme="minorEastAsia"/>
                <w:kern w:val="0"/>
                <w:sz w:val="21"/>
                <w:szCs w:val="21"/>
              </w:rPr>
              <w:t>新增</w:t>
            </w:r>
          </w:p>
        </w:tc>
      </w:tr>
    </w:tbl>
    <w:p>
      <w:pPr>
        <w:pStyle w:val="4"/>
        <w:spacing w:line="480" w:lineRule="exact"/>
        <w:rPr>
          <w:rFonts w:ascii="Times New Roman" w:hAnsi="Times New Roman" w:cs="Times New Roman"/>
          <w:spacing w:val="0"/>
          <w:szCs w:val="24"/>
        </w:rPr>
      </w:pPr>
      <w:r>
        <w:rPr>
          <w:rFonts w:ascii="Times New Roman" w:hAnsi="Times New Roman" w:cs="Times New Roman"/>
          <w:spacing w:val="0"/>
          <w:szCs w:val="24"/>
        </w:rPr>
        <w:t>(2)</w:t>
      </w:r>
      <w:r>
        <w:rPr>
          <w:rFonts w:hint="eastAsia" w:ascii="Times New Roman" w:hAnsi="Times New Roman" w:cs="Times New Roman"/>
          <w:spacing w:val="0"/>
          <w:szCs w:val="24"/>
        </w:rPr>
        <w:t>连铸</w:t>
      </w:r>
      <w:r>
        <w:rPr>
          <w:rFonts w:ascii="Times New Roman" w:hAnsi="Times New Roman" w:cs="Times New Roman"/>
          <w:spacing w:val="0"/>
          <w:szCs w:val="24"/>
        </w:rPr>
        <w:t>设备产能匹配性分析</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项目设1台连铸机，根据表4-1</w:t>
      </w:r>
      <w:r>
        <w:rPr>
          <w:rFonts w:ascii="Times New Roman" w:hAnsi="Times New Roman" w:cs="Times New Roman"/>
          <w:spacing w:val="0"/>
          <w:szCs w:val="24"/>
        </w:rPr>
        <w:t>2</w:t>
      </w:r>
      <w:r>
        <w:rPr>
          <w:rFonts w:hint="eastAsia" w:ascii="Times New Roman" w:hAnsi="Times New Roman" w:cs="Times New Roman"/>
          <w:spacing w:val="0"/>
          <w:szCs w:val="24"/>
        </w:rPr>
        <w:t>连铸机技术参数可知，连铸机平均日浇铸炉数为8炉，平均钢水量为27t/炉，年有效工作天数为292天、金属收得率为95.5%，则连铸机连铸坯产能为8*27*292*0.955=60234 t/a。项目设计连铸坯生产规模为60000t/a，基本符合设备产能。</w:t>
      </w:r>
    </w:p>
    <w:p>
      <w:pPr>
        <w:pStyle w:val="3"/>
        <w:numPr>
          <w:ilvl w:val="1"/>
          <w:numId w:val="24"/>
        </w:numPr>
        <w:rPr>
          <w:rFonts w:ascii="Times New Roman" w:hAnsi="Times New Roman"/>
        </w:rPr>
      </w:pPr>
      <w:bookmarkStart w:id="103" w:name="_Toc10637150"/>
      <w:r>
        <w:rPr>
          <w:rFonts w:ascii="Times New Roman" w:hAnsi="Times New Roman"/>
        </w:rPr>
        <w:t>劳动定员及生产制度</w:t>
      </w:r>
      <w:bookmarkEnd w:id="103"/>
    </w:p>
    <w:p>
      <w:pPr>
        <w:pStyle w:val="4"/>
        <w:rPr>
          <w:rFonts w:ascii="Times New Roman" w:hAnsi="Times New Roman" w:cs="Times New Roman"/>
          <w:spacing w:val="0"/>
          <w:szCs w:val="24"/>
        </w:rPr>
      </w:pPr>
      <w:r>
        <w:rPr>
          <w:rFonts w:ascii="Times New Roman" w:hAnsi="Times New Roman" w:cs="Times New Roman"/>
          <w:spacing w:val="0"/>
          <w:szCs w:val="24"/>
        </w:rPr>
        <w:t>项目不新增员工，所需员工均在现有厂区内调剂，企业年生产天数为300天</w:t>
      </w:r>
      <w:r>
        <w:rPr>
          <w:rFonts w:hint="eastAsia" w:ascii="Times New Roman" w:hAnsi="Times New Roman" w:cs="Times New Roman"/>
          <w:spacing w:val="0"/>
          <w:szCs w:val="24"/>
        </w:rPr>
        <w:t>（其中L</w:t>
      </w:r>
      <w:r>
        <w:rPr>
          <w:rFonts w:ascii="Times New Roman" w:hAnsi="Times New Roman" w:cs="Times New Roman"/>
          <w:spacing w:val="0"/>
          <w:szCs w:val="24"/>
        </w:rPr>
        <w:t>F</w:t>
      </w:r>
      <w:r>
        <w:rPr>
          <w:rFonts w:hint="eastAsia" w:ascii="Times New Roman" w:hAnsi="Times New Roman" w:cs="Times New Roman"/>
          <w:spacing w:val="0"/>
          <w:szCs w:val="24"/>
        </w:rPr>
        <w:t>炉</w:t>
      </w:r>
      <w:r>
        <w:rPr>
          <w:rFonts w:ascii="Times New Roman" w:hAnsi="Times New Roman" w:cs="Times New Roman"/>
          <w:spacing w:val="0"/>
          <w:szCs w:val="24"/>
        </w:rPr>
        <w:t>、</w:t>
      </w:r>
      <w:r>
        <w:rPr>
          <w:rFonts w:hint="eastAsia" w:ascii="Times New Roman" w:hAnsi="Times New Roman" w:cs="Times New Roman"/>
          <w:spacing w:val="0"/>
          <w:szCs w:val="24"/>
        </w:rPr>
        <w:t>VD炉</w:t>
      </w:r>
      <w:r>
        <w:rPr>
          <w:rFonts w:ascii="Times New Roman" w:hAnsi="Times New Roman" w:cs="Times New Roman"/>
          <w:spacing w:val="0"/>
          <w:szCs w:val="24"/>
        </w:rPr>
        <w:t>设备年运行时间为</w:t>
      </w:r>
      <w:r>
        <w:rPr>
          <w:rFonts w:hint="eastAsia" w:ascii="Times New Roman" w:hAnsi="Times New Roman" w:cs="Times New Roman"/>
          <w:spacing w:val="0"/>
          <w:szCs w:val="24"/>
        </w:rPr>
        <w:t>6500</w:t>
      </w:r>
      <w:r>
        <w:rPr>
          <w:rFonts w:ascii="Times New Roman" w:hAnsi="Times New Roman" w:cs="Times New Roman"/>
          <w:spacing w:val="0"/>
          <w:szCs w:val="24"/>
        </w:rPr>
        <w:t>h，连铸</w:t>
      </w:r>
      <w:r>
        <w:rPr>
          <w:rFonts w:hint="eastAsia" w:ascii="Times New Roman" w:hAnsi="Times New Roman" w:cs="Times New Roman"/>
          <w:spacing w:val="0"/>
          <w:szCs w:val="24"/>
        </w:rPr>
        <w:t>切割</w:t>
      </w:r>
      <w:r>
        <w:rPr>
          <w:rFonts w:ascii="Times New Roman" w:hAnsi="Times New Roman" w:cs="Times New Roman"/>
          <w:spacing w:val="0"/>
          <w:szCs w:val="24"/>
        </w:rPr>
        <w:t>设备年运行时间为</w:t>
      </w:r>
      <w:r>
        <w:rPr>
          <w:rFonts w:hint="eastAsia" w:ascii="Times New Roman" w:hAnsi="Times New Roman" w:cs="Times New Roman"/>
          <w:spacing w:val="0"/>
          <w:szCs w:val="24"/>
        </w:rPr>
        <w:t>3900</w:t>
      </w:r>
      <w:r>
        <w:rPr>
          <w:rFonts w:ascii="Times New Roman" w:hAnsi="Times New Roman" w:cs="Times New Roman"/>
          <w:spacing w:val="0"/>
          <w:szCs w:val="24"/>
        </w:rPr>
        <w:t>h</w:t>
      </w:r>
      <w:r>
        <w:rPr>
          <w:rFonts w:hint="eastAsia" w:ascii="Times New Roman" w:hAnsi="Times New Roman" w:cs="Times New Roman"/>
          <w:spacing w:val="0"/>
          <w:szCs w:val="24"/>
        </w:rPr>
        <w:t>）</w:t>
      </w:r>
      <w:r>
        <w:rPr>
          <w:rFonts w:ascii="Times New Roman" w:hAnsi="Times New Roman" w:cs="Times New Roman"/>
          <w:spacing w:val="0"/>
          <w:szCs w:val="24"/>
        </w:rPr>
        <w:t>，</w:t>
      </w:r>
      <w:r>
        <w:rPr>
          <w:rFonts w:hint="eastAsia" w:ascii="Times New Roman" w:hAnsi="Times New Roman" w:cs="Times New Roman"/>
          <w:spacing w:val="0"/>
          <w:szCs w:val="24"/>
        </w:rPr>
        <w:t>车间实行</w:t>
      </w:r>
      <w:r>
        <w:rPr>
          <w:rFonts w:ascii="Times New Roman" w:hAnsi="Times New Roman" w:cs="Times New Roman"/>
          <w:spacing w:val="0"/>
          <w:szCs w:val="24"/>
        </w:rPr>
        <w:t>三班制生产。</w:t>
      </w:r>
    </w:p>
    <w:p>
      <w:pPr>
        <w:pStyle w:val="3"/>
        <w:numPr>
          <w:ilvl w:val="1"/>
          <w:numId w:val="24"/>
        </w:numPr>
        <w:rPr>
          <w:rFonts w:ascii="Times New Roman" w:hAnsi="Times New Roman"/>
        </w:rPr>
      </w:pPr>
      <w:bookmarkStart w:id="104" w:name="_Toc10637151"/>
      <w:r>
        <w:rPr>
          <w:rFonts w:ascii="Times New Roman" w:hAnsi="Times New Roman"/>
        </w:rPr>
        <w:t>公用工程</w:t>
      </w:r>
      <w:bookmarkEnd w:id="104"/>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项目公用工程消耗详见表4-</w:t>
      </w:r>
      <w:r>
        <w:rPr>
          <w:rFonts w:ascii="Times New Roman" w:hAnsi="Times New Roman" w:cs="Times New Roman"/>
          <w:spacing w:val="0"/>
        </w:rPr>
        <w:t>8</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lang w:eastAsia="zh-CN"/>
        </w:rPr>
        <w:t>项目</w:t>
      </w:r>
      <w:r>
        <w:rPr>
          <w:rFonts w:hint="eastAsia" w:ascii="Times New Roman" w:hAnsi="Times New Roman"/>
          <w:lang w:eastAsia="zh-CN"/>
        </w:rPr>
        <w:t>公用工程</w:t>
      </w:r>
      <w:r>
        <w:rPr>
          <w:rFonts w:ascii="Times New Roman" w:hAnsi="Times New Roman"/>
        </w:rPr>
        <w:t>消耗表</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818"/>
        <w:gridCol w:w="3608"/>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vAlign w:val="center"/>
          </w:tcPr>
          <w:p>
            <w:pPr>
              <w:spacing w:line="320" w:lineRule="exact"/>
              <w:jc w:val="center"/>
              <w:rPr>
                <w:rFonts w:eastAsia="宋体"/>
                <w:sz w:val="21"/>
                <w:szCs w:val="21"/>
              </w:rPr>
            </w:pPr>
            <w:r>
              <w:rPr>
                <w:rFonts w:hint="eastAsia" w:eastAsia="宋体"/>
                <w:sz w:val="21"/>
                <w:szCs w:val="21"/>
              </w:rPr>
              <w:t>序号</w:t>
            </w:r>
          </w:p>
        </w:tc>
        <w:tc>
          <w:tcPr>
            <w:tcW w:w="1818" w:type="dxa"/>
            <w:vAlign w:val="center"/>
          </w:tcPr>
          <w:p>
            <w:pPr>
              <w:spacing w:line="320" w:lineRule="exact"/>
              <w:jc w:val="center"/>
              <w:rPr>
                <w:rFonts w:eastAsia="宋体"/>
                <w:sz w:val="21"/>
                <w:szCs w:val="21"/>
              </w:rPr>
            </w:pPr>
            <w:r>
              <w:rPr>
                <w:rFonts w:eastAsia="宋体"/>
                <w:sz w:val="21"/>
                <w:szCs w:val="21"/>
              </w:rPr>
              <w:t>名称</w:t>
            </w:r>
          </w:p>
        </w:tc>
        <w:tc>
          <w:tcPr>
            <w:tcW w:w="3608" w:type="dxa"/>
            <w:vAlign w:val="center"/>
          </w:tcPr>
          <w:p>
            <w:pPr>
              <w:spacing w:line="320" w:lineRule="exact"/>
              <w:jc w:val="center"/>
              <w:rPr>
                <w:rFonts w:eastAsia="宋体"/>
                <w:sz w:val="21"/>
                <w:szCs w:val="21"/>
              </w:rPr>
            </w:pPr>
            <w:r>
              <w:rPr>
                <w:rFonts w:eastAsia="宋体"/>
                <w:sz w:val="21"/>
                <w:szCs w:val="21"/>
              </w:rPr>
              <w:t>年用量</w:t>
            </w:r>
          </w:p>
        </w:tc>
        <w:tc>
          <w:tcPr>
            <w:tcW w:w="2276" w:type="dxa"/>
            <w:vAlign w:val="center"/>
          </w:tcPr>
          <w:p>
            <w:pPr>
              <w:spacing w:line="320" w:lineRule="exact"/>
              <w:jc w:val="center"/>
              <w:rPr>
                <w:rFonts w:eastAsia="宋体"/>
                <w:sz w:val="21"/>
                <w:szCs w:val="21"/>
              </w:rPr>
            </w:pPr>
            <w:r>
              <w:rPr>
                <w:rFonts w:hint="eastAsia" w:eastAsia="宋体"/>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水</w:t>
            </w:r>
          </w:p>
        </w:tc>
        <w:tc>
          <w:tcPr>
            <w:tcW w:w="3608" w:type="dxa"/>
            <w:shd w:val="clear" w:color="auto" w:fill="auto"/>
            <w:vAlign w:val="center"/>
          </w:tcPr>
          <w:p>
            <w:pPr>
              <w:spacing w:line="320" w:lineRule="exact"/>
              <w:jc w:val="center"/>
              <w:rPr>
                <w:rFonts w:eastAsia="宋体"/>
                <w:sz w:val="21"/>
                <w:szCs w:val="21"/>
              </w:rPr>
            </w:pPr>
            <w:r>
              <w:rPr>
                <w:rFonts w:eastAsia="宋体"/>
                <w:sz w:val="21"/>
                <w:szCs w:val="21"/>
              </w:rPr>
              <w:t>57213t/a</w:t>
            </w:r>
            <w:r>
              <w:rPr>
                <w:rFonts w:hint="eastAsia" w:eastAsia="宋体"/>
                <w:sz w:val="21"/>
                <w:szCs w:val="21"/>
              </w:rPr>
              <w:t>(</w:t>
            </w:r>
            <w:r>
              <w:rPr>
                <w:rFonts w:eastAsia="宋体"/>
                <w:sz w:val="21"/>
                <w:szCs w:val="21"/>
              </w:rPr>
              <w:t>8.802t/h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市政供水管网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电</w:t>
            </w:r>
          </w:p>
        </w:tc>
        <w:tc>
          <w:tcPr>
            <w:tcW w:w="3608" w:type="dxa"/>
            <w:shd w:val="clear" w:color="auto" w:fill="auto"/>
            <w:vAlign w:val="center"/>
          </w:tcPr>
          <w:p>
            <w:pPr>
              <w:spacing w:line="320" w:lineRule="exact"/>
              <w:jc w:val="center"/>
              <w:rPr>
                <w:rFonts w:eastAsia="宋体"/>
                <w:sz w:val="21"/>
                <w:szCs w:val="21"/>
              </w:rPr>
            </w:pPr>
            <w:r>
              <w:rPr>
                <w:rFonts w:hint="eastAsia" w:eastAsia="宋体"/>
                <w:sz w:val="21"/>
                <w:szCs w:val="21"/>
              </w:rPr>
              <w:t>2700万千瓦时/a</w:t>
            </w:r>
          </w:p>
        </w:tc>
        <w:tc>
          <w:tcPr>
            <w:tcW w:w="2276" w:type="dxa"/>
            <w:vAlign w:val="center"/>
          </w:tcPr>
          <w:p>
            <w:pPr>
              <w:spacing w:line="320" w:lineRule="exact"/>
              <w:jc w:val="center"/>
              <w:rPr>
                <w:rFonts w:eastAsia="宋体"/>
                <w:sz w:val="21"/>
                <w:szCs w:val="21"/>
              </w:rPr>
            </w:pPr>
            <w:r>
              <w:rPr>
                <w:rFonts w:hint="eastAsia" w:eastAsia="宋体"/>
                <w:sz w:val="21"/>
                <w:szCs w:val="21"/>
              </w:rPr>
              <w:t>市政供电所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氧气</w:t>
            </w:r>
          </w:p>
        </w:tc>
        <w:tc>
          <w:tcPr>
            <w:tcW w:w="3608" w:type="dxa"/>
            <w:shd w:val="clear" w:color="auto" w:fill="auto"/>
            <w:vAlign w:val="center"/>
          </w:tcPr>
          <w:p>
            <w:pPr>
              <w:spacing w:line="320" w:lineRule="exact"/>
              <w:jc w:val="center"/>
              <w:rPr>
                <w:rFonts w:eastAsia="宋体"/>
                <w:sz w:val="21"/>
                <w:szCs w:val="21"/>
              </w:rPr>
            </w:pPr>
            <w:r>
              <w:rPr>
                <w:rFonts w:hint="eastAsia" w:eastAsia="宋体"/>
                <w:sz w:val="21"/>
                <w:szCs w:val="21"/>
              </w:rPr>
              <w:t>72万Nm</w:t>
            </w:r>
            <w:r>
              <w:rPr>
                <w:rFonts w:hint="eastAsia" w:eastAsia="宋体"/>
                <w:sz w:val="21"/>
                <w:szCs w:val="21"/>
                <w:vertAlign w:val="superscript"/>
              </w:rPr>
              <w:t>3</w:t>
            </w:r>
            <w:r>
              <w:rPr>
                <w:rFonts w:hint="eastAsia" w:eastAsia="宋体"/>
                <w:sz w:val="21"/>
                <w:szCs w:val="21"/>
              </w:rPr>
              <w:t>/a(平均100</w:t>
            </w:r>
            <w:r>
              <w:rPr>
                <w:rFonts w:eastAsiaTheme="minorEastAsia"/>
                <w:sz w:val="21"/>
                <w:szCs w:val="21"/>
              </w:rPr>
              <w:t xml:space="preserve"> Nm</w:t>
            </w:r>
            <w:r>
              <w:rPr>
                <w:rFonts w:eastAsiaTheme="minorEastAsia"/>
                <w:sz w:val="21"/>
                <w:szCs w:val="21"/>
                <w:vertAlign w:val="superscript"/>
              </w:rPr>
              <w:t>3</w:t>
            </w:r>
            <w:r>
              <w:rPr>
                <w:rFonts w:eastAsiaTheme="minorEastAsia"/>
                <w:sz w:val="21"/>
                <w:szCs w:val="21"/>
              </w:rPr>
              <w: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新增制氧设备制备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氮气</w:t>
            </w:r>
          </w:p>
        </w:tc>
        <w:tc>
          <w:tcPr>
            <w:tcW w:w="3608" w:type="dxa"/>
            <w:shd w:val="clear" w:color="auto" w:fill="auto"/>
            <w:vAlign w:val="center"/>
          </w:tcPr>
          <w:p>
            <w:pPr>
              <w:spacing w:line="320" w:lineRule="exact"/>
              <w:jc w:val="center"/>
              <w:rPr>
                <w:rFonts w:eastAsia="宋体"/>
                <w:sz w:val="21"/>
                <w:szCs w:val="21"/>
              </w:rPr>
            </w:pPr>
            <w:r>
              <w:rPr>
                <w:rFonts w:hint="eastAsia" w:eastAsia="宋体"/>
                <w:sz w:val="21"/>
                <w:szCs w:val="21"/>
              </w:rPr>
              <w:t>144万Nm</w:t>
            </w:r>
            <w:r>
              <w:rPr>
                <w:rFonts w:hint="eastAsia" w:eastAsia="宋体"/>
                <w:sz w:val="21"/>
                <w:szCs w:val="21"/>
                <w:vertAlign w:val="superscript"/>
              </w:rPr>
              <w:t>3</w:t>
            </w:r>
            <w:r>
              <w:rPr>
                <w:rFonts w:hint="eastAsia" w:eastAsia="宋体"/>
                <w:sz w:val="21"/>
                <w:szCs w:val="21"/>
              </w:rPr>
              <w:t>/a(平均200</w:t>
            </w:r>
            <w:r>
              <w:rPr>
                <w:rFonts w:eastAsiaTheme="minorEastAsia"/>
                <w:sz w:val="21"/>
                <w:szCs w:val="21"/>
              </w:rPr>
              <w:t xml:space="preserve"> Nm</w:t>
            </w:r>
            <w:r>
              <w:rPr>
                <w:rFonts w:eastAsiaTheme="minorEastAsia"/>
                <w:sz w:val="21"/>
                <w:szCs w:val="21"/>
                <w:vertAlign w:val="superscript"/>
              </w:rPr>
              <w:t>3</w:t>
            </w:r>
            <w:r>
              <w:rPr>
                <w:rFonts w:eastAsiaTheme="minorEastAsia"/>
                <w:sz w:val="21"/>
                <w:szCs w:val="21"/>
              </w:rPr>
              <w: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新增制氧设备制备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氩气</w:t>
            </w:r>
          </w:p>
        </w:tc>
        <w:tc>
          <w:tcPr>
            <w:tcW w:w="3608" w:type="dxa"/>
            <w:shd w:val="clear" w:color="auto" w:fill="auto"/>
            <w:vAlign w:val="center"/>
          </w:tcPr>
          <w:p>
            <w:pPr>
              <w:spacing w:line="320" w:lineRule="exact"/>
              <w:jc w:val="center"/>
              <w:rPr>
                <w:rFonts w:eastAsia="宋体"/>
                <w:sz w:val="21"/>
                <w:szCs w:val="21"/>
              </w:rPr>
            </w:pPr>
            <w:r>
              <w:rPr>
                <w:rFonts w:hint="eastAsia" w:eastAsia="宋体"/>
                <w:sz w:val="21"/>
                <w:szCs w:val="21"/>
              </w:rPr>
              <w:t>4.32万Nm</w:t>
            </w:r>
            <w:r>
              <w:rPr>
                <w:rFonts w:hint="eastAsia" w:eastAsia="宋体"/>
                <w:sz w:val="21"/>
                <w:szCs w:val="21"/>
                <w:vertAlign w:val="superscript"/>
              </w:rPr>
              <w:t>3</w:t>
            </w:r>
            <w:r>
              <w:rPr>
                <w:rFonts w:hint="eastAsia" w:eastAsia="宋体"/>
                <w:sz w:val="21"/>
                <w:szCs w:val="21"/>
              </w:rPr>
              <w:t>/a(平均6</w:t>
            </w:r>
            <w:r>
              <w:rPr>
                <w:rFonts w:eastAsiaTheme="minorEastAsia"/>
                <w:sz w:val="21"/>
                <w:szCs w:val="21"/>
              </w:rPr>
              <w:t xml:space="preserve"> Nm</w:t>
            </w:r>
            <w:r>
              <w:rPr>
                <w:rFonts w:eastAsiaTheme="minorEastAsia"/>
                <w:sz w:val="21"/>
                <w:szCs w:val="21"/>
                <w:vertAlign w:val="superscript"/>
              </w:rPr>
              <w:t>3</w:t>
            </w:r>
            <w:r>
              <w:rPr>
                <w:rFonts w:eastAsiaTheme="minorEastAsia"/>
                <w:sz w:val="21"/>
                <w:szCs w:val="21"/>
              </w:rPr>
              <w: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天然气*</w:t>
            </w:r>
          </w:p>
        </w:tc>
        <w:tc>
          <w:tcPr>
            <w:tcW w:w="3608" w:type="dxa"/>
            <w:shd w:val="clear" w:color="auto" w:fill="auto"/>
            <w:vAlign w:val="center"/>
          </w:tcPr>
          <w:p>
            <w:pPr>
              <w:spacing w:line="320" w:lineRule="exact"/>
              <w:jc w:val="center"/>
              <w:rPr>
                <w:rFonts w:eastAsia="宋体"/>
                <w:sz w:val="21"/>
                <w:szCs w:val="21"/>
              </w:rPr>
            </w:pPr>
            <w:r>
              <w:rPr>
                <w:rFonts w:eastAsia="宋体"/>
                <w:sz w:val="21"/>
                <w:szCs w:val="21"/>
              </w:rPr>
              <w:t>60.45</w:t>
            </w:r>
            <w:r>
              <w:rPr>
                <w:rFonts w:hint="eastAsia" w:eastAsia="宋体"/>
                <w:sz w:val="21"/>
                <w:szCs w:val="21"/>
              </w:rPr>
              <w:t>万Nm</w:t>
            </w:r>
            <w:r>
              <w:rPr>
                <w:rFonts w:hint="eastAsia" w:eastAsia="宋体"/>
                <w:sz w:val="21"/>
                <w:szCs w:val="21"/>
                <w:vertAlign w:val="superscript"/>
              </w:rPr>
              <w:t>3</w:t>
            </w:r>
            <w:r>
              <w:rPr>
                <w:rFonts w:hint="eastAsia" w:eastAsia="宋体"/>
                <w:sz w:val="21"/>
                <w:szCs w:val="21"/>
              </w:rPr>
              <w:t>/a(平均</w:t>
            </w:r>
            <w:r>
              <w:rPr>
                <w:rFonts w:eastAsia="宋体"/>
                <w:sz w:val="21"/>
                <w:szCs w:val="21"/>
              </w:rPr>
              <w:t>155</w:t>
            </w:r>
            <w:r>
              <w:rPr>
                <w:rFonts w:eastAsiaTheme="minorEastAsia"/>
                <w:sz w:val="21"/>
                <w:szCs w:val="21"/>
              </w:rPr>
              <w:t xml:space="preserve"> Nm</w:t>
            </w:r>
            <w:r>
              <w:rPr>
                <w:rFonts w:eastAsiaTheme="minorEastAsia"/>
                <w:sz w:val="21"/>
                <w:szCs w:val="21"/>
                <w:vertAlign w:val="superscript"/>
              </w:rPr>
              <w:t>3</w:t>
            </w:r>
            <w:r>
              <w:rPr>
                <w:rFonts w:eastAsiaTheme="minorEastAsia"/>
                <w:sz w:val="21"/>
                <w:szCs w:val="21"/>
              </w:rPr>
              <w: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5" w:type="dxa"/>
            <w:tcMar>
              <w:top w:w="28" w:type="dxa"/>
              <w:left w:w="28" w:type="dxa"/>
              <w:bottom w:w="28" w:type="dxa"/>
              <w:right w:w="28" w:type="dxa"/>
            </w:tcMar>
            <w:vAlign w:val="center"/>
          </w:tcPr>
          <w:p>
            <w:pPr>
              <w:pStyle w:val="466"/>
              <w:numPr>
                <w:ilvl w:val="0"/>
                <w:numId w:val="29"/>
              </w:numPr>
              <w:spacing w:line="320" w:lineRule="exact"/>
              <w:ind w:firstLineChars="0"/>
              <w:jc w:val="center"/>
              <w:rPr>
                <w:rFonts w:ascii="Times New Roman" w:hAnsi="Times New Roman"/>
                <w:szCs w:val="21"/>
              </w:rPr>
            </w:pPr>
          </w:p>
        </w:tc>
        <w:tc>
          <w:tcPr>
            <w:tcW w:w="1818" w:type="dxa"/>
            <w:vAlign w:val="center"/>
          </w:tcPr>
          <w:p>
            <w:pPr>
              <w:spacing w:line="320" w:lineRule="exact"/>
              <w:jc w:val="center"/>
              <w:rPr>
                <w:rFonts w:eastAsia="宋体"/>
                <w:sz w:val="21"/>
                <w:szCs w:val="21"/>
              </w:rPr>
            </w:pPr>
            <w:r>
              <w:rPr>
                <w:rFonts w:hint="eastAsia" w:eastAsia="宋体"/>
                <w:sz w:val="21"/>
                <w:szCs w:val="21"/>
              </w:rPr>
              <w:t>压缩空气</w:t>
            </w:r>
          </w:p>
        </w:tc>
        <w:tc>
          <w:tcPr>
            <w:tcW w:w="3608" w:type="dxa"/>
            <w:shd w:val="clear" w:color="auto" w:fill="auto"/>
            <w:vAlign w:val="center"/>
          </w:tcPr>
          <w:p>
            <w:pPr>
              <w:spacing w:line="320" w:lineRule="exact"/>
              <w:jc w:val="center"/>
              <w:rPr>
                <w:rFonts w:eastAsia="宋体"/>
                <w:sz w:val="21"/>
                <w:szCs w:val="21"/>
              </w:rPr>
            </w:pPr>
            <w:r>
              <w:rPr>
                <w:rFonts w:hint="eastAsia" w:eastAsia="宋体"/>
                <w:sz w:val="21"/>
                <w:szCs w:val="21"/>
              </w:rPr>
              <w:t>1.39万Nm</w:t>
            </w:r>
            <w:r>
              <w:rPr>
                <w:rFonts w:hint="eastAsia" w:eastAsia="宋体"/>
                <w:sz w:val="21"/>
                <w:szCs w:val="21"/>
                <w:vertAlign w:val="superscript"/>
              </w:rPr>
              <w:t>3</w:t>
            </w:r>
            <w:r>
              <w:rPr>
                <w:rFonts w:hint="eastAsia" w:eastAsia="宋体"/>
                <w:sz w:val="21"/>
                <w:szCs w:val="21"/>
              </w:rPr>
              <w:t>/a(平均1.92</w:t>
            </w:r>
            <w:r>
              <w:rPr>
                <w:rFonts w:eastAsiaTheme="minorEastAsia"/>
                <w:sz w:val="21"/>
                <w:szCs w:val="21"/>
              </w:rPr>
              <w:t xml:space="preserve"> Nm</w:t>
            </w:r>
            <w:r>
              <w:rPr>
                <w:rFonts w:eastAsiaTheme="minorEastAsia"/>
                <w:sz w:val="21"/>
                <w:szCs w:val="21"/>
                <w:vertAlign w:val="superscript"/>
              </w:rPr>
              <w:t>3</w:t>
            </w:r>
            <w:r>
              <w:rPr>
                <w:rFonts w:eastAsiaTheme="minorEastAsia"/>
                <w:sz w:val="21"/>
                <w:szCs w:val="21"/>
              </w:rPr>
              <w:t>/h</w:t>
            </w:r>
            <w:r>
              <w:rPr>
                <w:rFonts w:hint="eastAsia" w:eastAsia="宋体"/>
                <w:sz w:val="21"/>
                <w:szCs w:val="21"/>
              </w:rPr>
              <w:t>)</w:t>
            </w:r>
          </w:p>
        </w:tc>
        <w:tc>
          <w:tcPr>
            <w:tcW w:w="2276" w:type="dxa"/>
            <w:vAlign w:val="center"/>
          </w:tcPr>
          <w:p>
            <w:pPr>
              <w:spacing w:line="320" w:lineRule="exact"/>
              <w:jc w:val="center"/>
              <w:rPr>
                <w:rFonts w:eastAsia="宋体"/>
                <w:sz w:val="21"/>
                <w:szCs w:val="21"/>
              </w:rPr>
            </w:pPr>
            <w:r>
              <w:rPr>
                <w:rFonts w:hint="eastAsia" w:eastAsia="宋体"/>
                <w:sz w:val="21"/>
                <w:szCs w:val="21"/>
              </w:rPr>
              <w:t>外购</w:t>
            </w:r>
          </w:p>
        </w:tc>
      </w:tr>
    </w:tbl>
    <w:p>
      <w:pPr>
        <w:pStyle w:val="3"/>
        <w:numPr>
          <w:ilvl w:val="1"/>
          <w:numId w:val="24"/>
        </w:numPr>
        <w:rPr>
          <w:rFonts w:ascii="Times New Roman" w:hAnsi="Times New Roman"/>
        </w:rPr>
      </w:pPr>
      <w:bookmarkStart w:id="105" w:name="_Toc10637152"/>
      <w:r>
        <w:rPr>
          <w:rFonts w:ascii="Times New Roman" w:hAnsi="Times New Roman"/>
        </w:rPr>
        <w:t>平面布置</w:t>
      </w:r>
      <w:bookmarkEnd w:id="105"/>
    </w:p>
    <w:p>
      <w:pPr>
        <w:pStyle w:val="4"/>
        <w:spacing w:line="480" w:lineRule="exact"/>
        <w:rPr>
          <w:rFonts w:ascii="Times New Roman" w:hAnsi="Times New Roman" w:cs="Times New Roman"/>
          <w:spacing w:val="0"/>
          <w:szCs w:val="24"/>
        </w:rPr>
      </w:pPr>
      <w:r>
        <w:rPr>
          <w:rFonts w:ascii="Times New Roman" w:hAnsi="Times New Roman" w:cs="Times New Roman"/>
          <w:spacing w:val="0"/>
          <w:szCs w:val="24"/>
        </w:rPr>
        <w:t>项目</w:t>
      </w:r>
      <w:r>
        <w:rPr>
          <w:rFonts w:hint="eastAsia" w:ascii="Times New Roman" w:hAnsi="Times New Roman" w:cs="Times New Roman"/>
          <w:spacing w:val="0"/>
          <w:szCs w:val="24"/>
        </w:rPr>
        <w:t>选址位于湖州市经济技术开发区杨家埠霅水桥路618号</w:t>
      </w:r>
      <w:r>
        <w:rPr>
          <w:rFonts w:ascii="Times New Roman" w:hAnsi="Times New Roman" w:cs="Times New Roman"/>
          <w:spacing w:val="0"/>
          <w:szCs w:val="24"/>
        </w:rPr>
        <w:t>，整个厂区</w:t>
      </w:r>
      <w:r>
        <w:rPr>
          <w:rFonts w:hint="eastAsia" w:ascii="Times New Roman" w:hAnsi="Times New Roman" w:cs="Times New Roman"/>
          <w:spacing w:val="0"/>
          <w:szCs w:val="21"/>
        </w:rPr>
        <w:t>以敢山东路为界分为东西两个地块，其中东地块位于敢山东路以东，主要为炼钢一厂的制氧车间；西地块位于敢山东路以西，为主要的生产车间，为方便管理企业自主将西地块厂区分为5个车间(或分厂)，自东向西依次为精整酸洗厂、轧钢厂、炼钢一厂、炼钢二厂、钢渣车间</w:t>
      </w:r>
      <w:r>
        <w:rPr>
          <w:rFonts w:ascii="Times New Roman" w:hAnsi="Times New Roman" w:cs="Times New Roman"/>
          <w:spacing w:val="0"/>
          <w:szCs w:val="24"/>
        </w:rPr>
        <w:t>。</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本技改项目在炼钢一厂内实施，</w:t>
      </w:r>
      <w:r>
        <w:rPr>
          <w:rFonts w:ascii="Times New Roman" w:hAnsi="Times New Roman" w:cs="Times New Roman"/>
          <w:spacing w:val="0"/>
          <w:szCs w:val="24"/>
        </w:rPr>
        <w:t>炼钢一厂位于西地块中央，</w:t>
      </w:r>
      <w:r>
        <w:rPr>
          <w:rFonts w:hint="eastAsia" w:ascii="宋体" w:hAnsi="宋体" w:cs="宋体"/>
          <w:spacing w:val="0"/>
          <w:szCs w:val="24"/>
        </w:rPr>
        <w:t>拆除现有厂房冶炼跨</w:t>
      </w:r>
      <w:r>
        <w:rPr>
          <w:rFonts w:ascii="宋体" w:hAnsi="宋体" w:cs="宋体"/>
          <w:spacing w:val="0"/>
          <w:szCs w:val="24"/>
        </w:rPr>
        <w:t>南侧的</w:t>
      </w:r>
      <w:r>
        <w:rPr>
          <w:rFonts w:hint="eastAsia" w:ascii="宋体" w:hAnsi="宋体" w:cs="宋体"/>
          <w:spacing w:val="0"/>
          <w:szCs w:val="24"/>
        </w:rPr>
        <w:t>两跨原料跨，并就地新建两跨钢结构厂房，</w:t>
      </w:r>
      <w:r>
        <w:rPr>
          <w:rFonts w:ascii="宋体" w:hAnsi="宋体" w:cs="宋体"/>
          <w:spacing w:val="0"/>
          <w:szCs w:val="24"/>
        </w:rPr>
        <w:t>用于布设</w:t>
      </w:r>
      <w:r>
        <w:rPr>
          <w:rFonts w:hint="eastAsia" w:ascii="宋体" w:hAnsi="宋体" w:cs="宋体"/>
          <w:spacing w:val="0"/>
          <w:szCs w:val="24"/>
        </w:rPr>
        <w:t>改造</w:t>
      </w:r>
      <w:r>
        <w:rPr>
          <w:rFonts w:ascii="宋体" w:hAnsi="宋体" w:cs="宋体"/>
          <w:spacing w:val="0"/>
          <w:szCs w:val="24"/>
        </w:rPr>
        <w:t>的</w:t>
      </w:r>
      <w:r>
        <w:rPr>
          <w:rFonts w:hint="eastAsia" w:ascii="宋体" w:hAnsi="宋体" w:cs="宋体"/>
          <w:spacing w:val="0"/>
          <w:szCs w:val="24"/>
        </w:rPr>
        <w:t>LF炉</w:t>
      </w:r>
      <w:r>
        <w:rPr>
          <w:rFonts w:ascii="宋体" w:hAnsi="宋体" w:cs="宋体"/>
          <w:spacing w:val="0"/>
          <w:szCs w:val="24"/>
        </w:rPr>
        <w:t>、</w:t>
      </w:r>
      <w:r>
        <w:rPr>
          <w:rFonts w:hint="eastAsia" w:ascii="宋体" w:hAnsi="宋体" w:cs="宋体"/>
          <w:spacing w:val="0"/>
          <w:szCs w:val="24"/>
        </w:rPr>
        <w:t>VD炉、</w:t>
      </w:r>
      <w:r>
        <w:rPr>
          <w:rFonts w:ascii="宋体" w:hAnsi="宋体" w:cs="宋体"/>
          <w:spacing w:val="0"/>
          <w:szCs w:val="24"/>
        </w:rPr>
        <w:t>连铸设备</w:t>
      </w:r>
      <w:r>
        <w:rPr>
          <w:rFonts w:hint="eastAsia" w:ascii="宋体" w:hAnsi="宋体" w:cs="宋体"/>
          <w:spacing w:val="0"/>
          <w:szCs w:val="24"/>
        </w:rPr>
        <w:t>及</w:t>
      </w:r>
      <w:r>
        <w:rPr>
          <w:rFonts w:ascii="宋体" w:hAnsi="宋体" w:cs="宋体"/>
          <w:spacing w:val="0"/>
          <w:szCs w:val="24"/>
        </w:rPr>
        <w:t>模铸设备</w:t>
      </w:r>
      <w:r>
        <w:rPr>
          <w:rFonts w:hint="eastAsia" w:ascii="宋体" w:hAnsi="宋体" w:cs="宋体"/>
          <w:spacing w:val="0"/>
          <w:szCs w:val="24"/>
        </w:rPr>
        <w:t>。</w:t>
      </w:r>
      <w:r>
        <w:rPr>
          <w:rFonts w:ascii="Times New Roman" w:hAnsi="Times New Roman" w:cs="Times New Roman"/>
          <w:spacing w:val="0"/>
          <w:szCs w:val="24"/>
        </w:rPr>
        <w:t>新建</w:t>
      </w:r>
      <w:r>
        <w:rPr>
          <w:rFonts w:hint="eastAsia" w:ascii="Times New Roman" w:hAnsi="Times New Roman" w:cs="Times New Roman"/>
          <w:spacing w:val="0"/>
          <w:szCs w:val="24"/>
        </w:rPr>
        <w:t>厂房</w:t>
      </w:r>
      <w:r>
        <w:rPr>
          <w:rFonts w:ascii="Times New Roman" w:hAnsi="Times New Roman" w:cs="Times New Roman"/>
          <w:spacing w:val="0"/>
          <w:szCs w:val="24"/>
        </w:rPr>
        <w:t>东西长约112m，南北宽约40m，占地面积约为2905m</w:t>
      </w:r>
      <w:r>
        <w:rPr>
          <w:rFonts w:ascii="Times New Roman" w:hAnsi="Times New Roman" w:cs="Times New Roman"/>
          <w:spacing w:val="0"/>
          <w:szCs w:val="24"/>
          <w:vertAlign w:val="superscript"/>
        </w:rPr>
        <w:t>2</w:t>
      </w:r>
      <w:r>
        <w:rPr>
          <w:rFonts w:ascii="Times New Roman" w:hAnsi="Times New Roman" w:cs="Times New Roman"/>
          <w:spacing w:val="0"/>
          <w:szCs w:val="24"/>
        </w:rPr>
        <w:t>。</w:t>
      </w:r>
      <w:r>
        <w:rPr>
          <w:rFonts w:hint="eastAsia" w:ascii="Times New Roman" w:hAnsi="Times New Roman" w:cs="Times New Roman"/>
          <w:spacing w:val="0"/>
          <w:szCs w:val="24"/>
        </w:rPr>
        <w:t>本工程根据工艺布置的要求，在满足物流、消防、安全、卫</w:t>
      </w:r>
      <w:r>
        <w:rPr>
          <w:rFonts w:ascii="Times New Roman" w:hAnsi="Times New Roman" w:cs="Times New Roman"/>
          <w:spacing w:val="0"/>
          <w:szCs w:val="24"/>
        </w:rPr>
        <w:t>生等要求的情况下，本着结合地形、布局合理、节约用地的原则，进行总平面布置。</w:t>
      </w:r>
    </w:p>
    <w:p>
      <w:pPr>
        <w:pStyle w:val="4"/>
        <w:spacing w:line="480" w:lineRule="exact"/>
        <w:rPr>
          <w:rFonts w:ascii="Times New Roman" w:hAnsi="Times New Roman" w:cs="Times New Roman"/>
          <w:spacing w:val="0"/>
          <w:szCs w:val="24"/>
        </w:rPr>
      </w:pPr>
      <w:r>
        <w:rPr>
          <w:rFonts w:hint="eastAsia" w:ascii="Times New Roman" w:hAnsi="Times New Roman" w:cs="Times New Roman"/>
          <w:spacing w:val="0"/>
          <w:szCs w:val="24"/>
        </w:rPr>
        <w:t>改造</w:t>
      </w:r>
      <w:r>
        <w:rPr>
          <w:rFonts w:ascii="Times New Roman" w:hAnsi="Times New Roman" w:cs="Times New Roman"/>
          <w:spacing w:val="0"/>
          <w:szCs w:val="24"/>
        </w:rPr>
        <w:t>后炼钢一厂由北至南依次为机修车</w:t>
      </w:r>
      <w:r>
        <w:rPr>
          <w:rFonts w:hint="eastAsia" w:ascii="Times New Roman" w:hAnsi="Times New Roman" w:cs="Times New Roman"/>
          <w:spacing w:val="0"/>
          <w:szCs w:val="24"/>
        </w:rPr>
        <w:t>间、原料跨、冶炼跨、精炼浇铸跨。公辅设施布置在220kV总降东侧三角区域，西侧紧邻总降布置</w:t>
      </w:r>
      <w:bookmarkStart w:id="106" w:name="OLE_LINK8"/>
      <w:r>
        <w:rPr>
          <w:rFonts w:hint="eastAsia" w:ascii="Times New Roman" w:hAnsi="Times New Roman" w:cs="Times New Roman"/>
          <w:spacing w:val="0"/>
          <w:szCs w:val="24"/>
        </w:rPr>
        <w:t>炼钢一厂变电所及加药间</w:t>
      </w:r>
      <w:bookmarkEnd w:id="106"/>
      <w:r>
        <w:rPr>
          <w:rFonts w:hint="eastAsia" w:ascii="Times New Roman" w:hAnsi="Times New Roman" w:cs="Times New Roman"/>
          <w:spacing w:val="0"/>
          <w:szCs w:val="24"/>
        </w:rPr>
        <w:t>，净环水系统</w:t>
      </w:r>
      <w:r>
        <w:rPr>
          <w:rFonts w:ascii="Times New Roman" w:hAnsi="Times New Roman" w:cs="Times New Roman"/>
          <w:spacing w:val="0"/>
          <w:szCs w:val="24"/>
        </w:rPr>
        <w:t>布置在</w:t>
      </w:r>
      <w:r>
        <w:rPr>
          <w:rFonts w:hint="eastAsia" w:ascii="Times New Roman" w:hAnsi="Times New Roman" w:cs="Times New Roman"/>
          <w:spacing w:val="0"/>
          <w:szCs w:val="24"/>
        </w:rPr>
        <w:t>轧钢厂水处理水处理</w:t>
      </w:r>
      <w:r>
        <w:rPr>
          <w:rFonts w:ascii="Times New Roman" w:hAnsi="Times New Roman" w:cs="Times New Roman"/>
          <w:spacing w:val="0"/>
          <w:szCs w:val="24"/>
        </w:rPr>
        <w:t>系统东侧，浊环水系统布置在厂区</w:t>
      </w:r>
      <w:r>
        <w:rPr>
          <w:rFonts w:hint="eastAsia" w:ascii="Times New Roman" w:hAnsi="Times New Roman" w:cs="Times New Roman"/>
          <w:spacing w:val="0"/>
          <w:szCs w:val="24"/>
        </w:rPr>
        <w:t>污水排放口东北侧。</w:t>
      </w:r>
    </w:p>
    <w:p>
      <w:pPr>
        <w:pStyle w:val="3"/>
        <w:numPr>
          <w:ilvl w:val="1"/>
          <w:numId w:val="24"/>
        </w:numPr>
        <w:rPr>
          <w:rFonts w:ascii="Times New Roman" w:hAnsi="Times New Roman"/>
        </w:rPr>
      </w:pPr>
      <w:bookmarkStart w:id="107" w:name="_Toc10637153"/>
      <w:r>
        <w:rPr>
          <w:rFonts w:ascii="Times New Roman" w:hAnsi="Times New Roman"/>
        </w:rPr>
        <w:t>生产工艺</w:t>
      </w:r>
      <w:r>
        <w:rPr>
          <w:rFonts w:hint="eastAsia" w:ascii="Times New Roman" w:hAnsi="Times New Roman"/>
          <w:lang w:eastAsia="zh-CN"/>
        </w:rPr>
        <w:t>及说明</w:t>
      </w:r>
      <w:bookmarkEnd w:id="107"/>
    </w:p>
    <w:p>
      <w:pPr>
        <w:pStyle w:val="712"/>
        <w:spacing w:line="480" w:lineRule="exact"/>
        <w:rPr>
          <w:rFonts w:ascii="Times New Roman" w:hAnsi="Times New Roman" w:cs="Times New Roman"/>
          <w:spacing w:val="0"/>
          <w:lang w:eastAsia="zh-CN"/>
        </w:rPr>
      </w:pPr>
      <w:r>
        <w:rPr>
          <w:rFonts w:ascii="Times New Roman" w:hAnsi="Times New Roman" w:cs="Times New Roman"/>
          <w:spacing w:val="0"/>
          <w:lang w:eastAsia="zh-CN"/>
        </w:rPr>
        <w:t>1、生产工艺</w:t>
      </w:r>
      <w:r>
        <w:rPr>
          <w:rFonts w:hint="eastAsia" w:ascii="Times New Roman" w:hAnsi="Times New Roman" w:cs="Times New Roman"/>
          <w:spacing w:val="0"/>
          <w:lang w:eastAsia="zh-CN"/>
        </w:rPr>
        <w:t>总图</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szCs w:val="24"/>
          <w:lang w:val="en-US"/>
        </w:rPr>
        <w:t>随着永兴特钢产品在替代进口高端材料的扩大，少量高端产品在</w:t>
      </w:r>
      <w:r>
        <w:rPr>
          <w:rFonts w:ascii="Times New Roman" w:hAnsi="Times New Roman" w:cs="Times New Roman"/>
          <w:spacing w:val="0"/>
          <w:szCs w:val="24"/>
          <w:lang w:val="en-US"/>
        </w:rPr>
        <w:t>AOD冶炼后仅通过LF处理钢水质量不能完全达标，因此本项目新增1座真空脱气装置即30tVD用于对钢水质量进一步提升，主要为</w:t>
      </w:r>
      <w:r>
        <w:rPr>
          <w:rFonts w:hint="eastAsia" w:ascii="Times New Roman" w:hAnsi="Times New Roman" w:cs="Times New Roman"/>
          <w:spacing w:val="0"/>
          <w:szCs w:val="24"/>
          <w:lang w:val="en-US"/>
        </w:rPr>
        <w:t>将钢液在真空下进一</w:t>
      </w:r>
      <w:r>
        <w:rPr>
          <w:rFonts w:hint="eastAsia" w:ascii="Times New Roman" w:hAnsi="Times New Roman" w:cs="Times New Roman"/>
          <w:spacing w:val="0"/>
          <w:szCs w:val="24"/>
          <w:lang w:val="en-US" w:eastAsia="zh-CN"/>
        </w:rPr>
        <w:t>步</w:t>
      </w:r>
      <w:r>
        <w:rPr>
          <w:rFonts w:hint="eastAsia" w:ascii="Times New Roman" w:hAnsi="Times New Roman" w:cs="Times New Roman"/>
          <w:spacing w:val="0"/>
          <w:szCs w:val="24"/>
          <w:lang w:val="en-US"/>
        </w:rPr>
        <w:t>脱除气体</w:t>
      </w:r>
      <w:r>
        <w:rPr>
          <w:rFonts w:ascii="Times New Roman" w:hAnsi="Times New Roman" w:cs="Times New Roman"/>
          <w:spacing w:val="0"/>
          <w:szCs w:val="24"/>
          <w:lang w:val="en-US"/>
        </w:rPr>
        <w:t>。由于项目建设期间不能影响现有生产，并且现有LF位置无法融入到新方案中，因此本项目</w:t>
      </w:r>
      <w:r>
        <w:rPr>
          <w:rFonts w:hint="eastAsia" w:ascii="Times New Roman" w:hAnsi="Times New Roman" w:cs="Times New Roman"/>
          <w:spacing w:val="0"/>
          <w:szCs w:val="24"/>
          <w:lang w:val="en-US"/>
        </w:rPr>
        <w:t>对LF易地改造，做法是</w:t>
      </w:r>
      <w:r>
        <w:rPr>
          <w:rFonts w:ascii="Times New Roman" w:hAnsi="Times New Roman" w:cs="Times New Roman"/>
          <w:spacing w:val="0"/>
          <w:szCs w:val="24"/>
          <w:lang w:val="en-US"/>
        </w:rPr>
        <w:t>新建1座30t LF，现有LF</w:t>
      </w:r>
      <w:r>
        <w:rPr>
          <w:rFonts w:hint="eastAsia" w:ascii="Times New Roman" w:hAnsi="Times New Roman" w:cs="Times New Roman"/>
          <w:spacing w:val="0"/>
          <w:szCs w:val="24"/>
          <w:lang w:val="en-US"/>
        </w:rPr>
        <w:t>待新LF炉投入运行</w:t>
      </w:r>
      <w:r>
        <w:rPr>
          <w:rFonts w:ascii="Times New Roman" w:hAnsi="Times New Roman" w:cs="Times New Roman"/>
          <w:spacing w:val="0"/>
          <w:szCs w:val="24"/>
          <w:lang w:val="en-US"/>
        </w:rPr>
        <w:t>后拆除</w:t>
      </w:r>
      <w:r>
        <w:rPr>
          <w:rFonts w:ascii="Times New Roman" w:hAnsi="Times New Roman" w:cs="Times New Roman"/>
          <w:spacing w:val="0"/>
          <w:lang w:eastAsia="zh-CN"/>
        </w:rPr>
        <w:t>。</w:t>
      </w:r>
    </w:p>
    <w:p>
      <w:pPr>
        <w:pStyle w:val="712"/>
        <w:spacing w:line="480" w:lineRule="exact"/>
        <w:rPr>
          <w:rFonts w:ascii="Times New Roman" w:hAnsi="Times New Roman" w:cs="Times New Roman"/>
          <w:szCs w:val="24"/>
          <w:lang w:eastAsia="zh-CN"/>
        </w:rPr>
      </w:pPr>
      <w:r>
        <w:rPr>
          <w:rFonts w:hint="eastAsia" w:ascii="Times New Roman" w:hAnsi="Times New Roman" w:cs="Times New Roman"/>
          <w:spacing w:val="0"/>
          <w:lang w:eastAsia="zh-CN"/>
        </w:rPr>
        <w:t>项目实施后炼钢一厂生产工艺总图</w:t>
      </w:r>
      <w:r>
        <w:rPr>
          <w:rFonts w:ascii="Times New Roman" w:hAnsi="Times New Roman" w:cs="Times New Roman"/>
          <w:spacing w:val="0"/>
          <w:lang w:eastAsia="zh-CN"/>
        </w:rPr>
        <w:t>详见图4-1。</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车间生产路线：</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二步法：EAF→AOD→LF→连铸/模铸</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三步法：EAF→AOD→VD→连铸/模铸</w:t>
      </w:r>
    </w:p>
    <w:p>
      <w:pPr>
        <w:pStyle w:val="712"/>
        <w:spacing w:line="480" w:lineRule="exact"/>
        <w:rPr>
          <w:rFonts w:ascii="Times New Roman" w:hAnsi="Times New Roman" w:cs="Times New Roman"/>
          <w:spacing w:val="0"/>
          <w:szCs w:val="24"/>
        </w:rPr>
      </w:pPr>
      <w:r>
        <w:rPr>
          <w:rFonts w:ascii="Times New Roman" w:hAnsi="Times New Roman" w:cs="Times New Roman"/>
          <w:spacing w:val="0"/>
          <w:szCs w:val="24"/>
        </w:rPr>
        <w:t>根据产品大纲，产品中约30%需要VD</w:t>
      </w:r>
      <w:r>
        <w:rPr>
          <w:rFonts w:hint="eastAsia" w:ascii="Times New Roman" w:hAnsi="Times New Roman" w:cs="Times New Roman"/>
          <w:spacing w:val="0"/>
          <w:szCs w:val="24"/>
          <w:lang w:eastAsia="zh-CN"/>
        </w:rPr>
        <w:t>炉</w:t>
      </w:r>
      <w:r>
        <w:rPr>
          <w:rFonts w:ascii="Times New Roman" w:hAnsi="Times New Roman" w:cs="Times New Roman"/>
          <w:spacing w:val="0"/>
          <w:szCs w:val="24"/>
        </w:rPr>
        <w:t>处理</w:t>
      </w:r>
      <w:r>
        <w:rPr>
          <w:rFonts w:hint="eastAsia" w:ascii="Times New Roman" w:hAnsi="Times New Roman" w:cs="Times New Roman"/>
          <w:spacing w:val="0"/>
          <w:szCs w:val="24"/>
          <w:lang w:eastAsia="zh-CN"/>
        </w:rPr>
        <w:t>，</w:t>
      </w:r>
      <w:r>
        <w:rPr>
          <w:rFonts w:ascii="Times New Roman" w:hAnsi="Times New Roman" w:cs="Times New Roman"/>
          <w:spacing w:val="0"/>
          <w:szCs w:val="24"/>
          <w:lang w:eastAsia="zh-CN"/>
        </w:rPr>
        <w:t>钢种包括奥氏体</w:t>
      </w:r>
      <w:r>
        <w:rPr>
          <w:rFonts w:hint="eastAsia" w:ascii="Times New Roman" w:hAnsi="Times New Roman" w:cs="Times New Roman"/>
          <w:spacing w:val="0"/>
          <w:szCs w:val="24"/>
        </w:rPr>
        <w:t>(321、316Ti、TP347H)</w:t>
      </w:r>
      <w:r>
        <w:rPr>
          <w:rFonts w:ascii="Times New Roman" w:hAnsi="Times New Roman" w:cs="Times New Roman"/>
          <w:spacing w:val="0"/>
          <w:szCs w:val="24"/>
        </w:rPr>
        <w:t>、镍铬合金</w:t>
      </w:r>
      <w:r>
        <w:rPr>
          <w:rFonts w:hint="eastAsia" w:ascii="Times New Roman" w:hAnsi="Times New Roman" w:cs="Times New Roman"/>
          <w:spacing w:val="0"/>
          <w:szCs w:val="24"/>
        </w:rPr>
        <w:t>(N08810，N08825，N08028，N08020)</w:t>
      </w:r>
      <w:r>
        <w:rPr>
          <w:rFonts w:ascii="Times New Roman" w:hAnsi="Times New Roman" w:cs="Times New Roman"/>
          <w:spacing w:val="0"/>
          <w:szCs w:val="24"/>
        </w:rPr>
        <w:t>、马氏体阀门不锈钢</w:t>
      </w:r>
      <w:r>
        <w:rPr>
          <w:rFonts w:hint="eastAsia" w:ascii="Times New Roman" w:hAnsi="Times New Roman" w:cs="Times New Roman"/>
          <w:spacing w:val="0"/>
          <w:szCs w:val="24"/>
        </w:rPr>
        <w:t>(</w:t>
      </w:r>
      <w:r>
        <w:rPr>
          <w:rFonts w:ascii="Times New Roman" w:hAnsi="Times New Roman" w:cs="Times New Roman"/>
          <w:spacing w:val="0"/>
          <w:szCs w:val="24"/>
        </w:rPr>
        <w:t>40Cr10Si2Mo(HNV1)</w:t>
      </w:r>
      <w:r>
        <w:rPr>
          <w:rFonts w:hint="eastAsia" w:ascii="Times New Roman" w:hAnsi="Times New Roman" w:cs="Times New Roman"/>
          <w:spacing w:val="0"/>
          <w:szCs w:val="24"/>
        </w:rPr>
        <w:t>、</w:t>
      </w:r>
      <w:r>
        <w:rPr>
          <w:rFonts w:ascii="Times New Roman" w:hAnsi="Times New Roman" w:cs="Times New Roman"/>
          <w:spacing w:val="0"/>
          <w:szCs w:val="24"/>
        </w:rPr>
        <w:t>42Cr9Si2(HNV2)</w:t>
      </w:r>
      <w:r>
        <w:rPr>
          <w:rFonts w:hint="eastAsia" w:ascii="Times New Roman" w:hAnsi="Times New Roman" w:cs="Times New Roman"/>
          <w:spacing w:val="0"/>
          <w:szCs w:val="24"/>
        </w:rPr>
        <w:t>、</w:t>
      </w:r>
      <w:r>
        <w:rPr>
          <w:rFonts w:ascii="Times New Roman" w:hAnsi="Times New Roman" w:cs="Times New Roman"/>
          <w:spacing w:val="0"/>
          <w:szCs w:val="24"/>
        </w:rPr>
        <w:t>45Cr9Si3(HNV3)</w:t>
      </w:r>
      <w:r>
        <w:rPr>
          <w:rFonts w:hint="eastAsia" w:ascii="Times New Roman" w:hAnsi="Times New Roman" w:cs="Times New Roman"/>
          <w:spacing w:val="0"/>
          <w:szCs w:val="24"/>
        </w:rPr>
        <w:t>、</w:t>
      </w:r>
      <w:r>
        <w:rPr>
          <w:rFonts w:ascii="Times New Roman" w:hAnsi="Times New Roman" w:cs="Times New Roman"/>
          <w:spacing w:val="0"/>
          <w:szCs w:val="24"/>
        </w:rPr>
        <w:t>80Cr20Si2Ni(HNV6)</w:t>
      </w:r>
      <w:r>
        <w:rPr>
          <w:rFonts w:hint="eastAsia" w:ascii="Times New Roman" w:hAnsi="Times New Roman" w:cs="Times New Roman"/>
          <w:spacing w:val="0"/>
          <w:szCs w:val="24"/>
        </w:rPr>
        <w:t>)</w:t>
      </w:r>
      <w:r>
        <w:rPr>
          <w:rFonts w:ascii="Times New Roman" w:hAnsi="Times New Roman" w:cs="Times New Roman"/>
          <w:spacing w:val="0"/>
          <w:szCs w:val="24"/>
        </w:rPr>
        <w:t>、精密合金</w:t>
      </w:r>
      <w:r>
        <w:rPr>
          <w:rFonts w:hint="eastAsia" w:ascii="Times New Roman" w:hAnsi="Times New Roman" w:cs="Times New Roman"/>
          <w:spacing w:val="0"/>
          <w:szCs w:val="24"/>
        </w:rPr>
        <w:t>(</w:t>
      </w:r>
      <w:r>
        <w:rPr>
          <w:rFonts w:ascii="Times New Roman" w:hAnsi="Times New Roman" w:cs="Times New Roman"/>
          <w:spacing w:val="0"/>
          <w:szCs w:val="24"/>
        </w:rPr>
        <w:t>H36</w:t>
      </w:r>
      <w:r>
        <w:rPr>
          <w:rFonts w:hint="eastAsia" w:ascii="Times New Roman" w:hAnsi="Times New Roman" w:cs="Times New Roman"/>
          <w:spacing w:val="0"/>
          <w:szCs w:val="24"/>
        </w:rPr>
        <w:t>)</w:t>
      </w:r>
      <w:r>
        <w:rPr>
          <w:rFonts w:ascii="Times New Roman" w:hAnsi="Times New Roman" w:cs="Times New Roman"/>
          <w:spacing w:val="0"/>
          <w:szCs w:val="24"/>
        </w:rPr>
        <w:t>。</w:t>
      </w:r>
    </w:p>
    <w:p>
      <w:pPr>
        <w:pStyle w:val="712"/>
        <w:ind w:firstLine="142"/>
        <w:jc w:val="center"/>
      </w:pPr>
      <w:r>
        <w:object>
          <v:shape id="_x0000_i1034" o:spt="75" type="#_x0000_t75" style="height:477pt;width:389.25pt;" o:ole="t" filled="f" o:preferrelative="t" stroked="f" coordsize="21600,21600">
            <v:path/>
            <v:fill on="f" focussize="0,0"/>
            <v:stroke on="f" joinstyle="miter"/>
            <v:imagedata r:id="rId45" o:title=""/>
            <o:lock v:ext="edit" aspectratio="t"/>
            <w10:wrap type="none"/>
            <w10:anchorlock/>
          </v:shape>
          <o:OLEObject Type="Embed" ProgID="Visio.Drawing.11" ShapeID="_x0000_i1034" DrawAspect="Content" ObjectID="_1468075734" r:id="rId44">
            <o:LockedField>false</o:LockedField>
          </o:OLEObject>
        </w:object>
      </w:r>
    </w:p>
    <w:p>
      <w:pPr>
        <w:pStyle w:val="712"/>
        <w:jc w:val="center"/>
        <w:rPr>
          <w:rFonts w:ascii="宋体" w:hAnsi="宋体"/>
          <w:szCs w:val="24"/>
          <w:lang w:eastAsia="zh-CN"/>
        </w:rPr>
      </w:pPr>
      <w:r>
        <w:rPr>
          <w:rFonts w:ascii="Times New Roman" w:hAnsi="Times New Roman" w:cs="Times New Roman"/>
          <w:b/>
          <w:spacing w:val="0"/>
          <w:lang w:eastAsia="zh-CN"/>
        </w:rPr>
        <w:t>图4-1生产工艺</w:t>
      </w:r>
      <w:r>
        <w:rPr>
          <w:rFonts w:hint="eastAsia" w:ascii="Times New Roman" w:hAnsi="Times New Roman" w:cs="Times New Roman"/>
          <w:b/>
          <w:spacing w:val="0"/>
          <w:lang w:eastAsia="zh-CN"/>
        </w:rPr>
        <w:t>总</w:t>
      </w:r>
      <w:r>
        <w:rPr>
          <w:rFonts w:ascii="Times New Roman" w:hAnsi="Times New Roman" w:cs="Times New Roman"/>
          <w:b/>
          <w:spacing w:val="0"/>
          <w:lang w:eastAsia="zh-CN"/>
        </w:rPr>
        <w:t>图</w:t>
      </w:r>
    </w:p>
    <w:p>
      <w:pPr>
        <w:pStyle w:val="712"/>
        <w:spacing w:line="480" w:lineRule="exact"/>
        <w:rPr>
          <w:rFonts w:ascii="Times New Roman" w:hAnsi="Times New Roman" w:cs="Times New Roman"/>
          <w:bCs/>
          <w:snapToGrid w:val="0"/>
          <w:spacing w:val="0"/>
          <w:kern w:val="0"/>
          <w:szCs w:val="24"/>
          <w:lang w:eastAsia="zh-CN"/>
        </w:rPr>
      </w:pPr>
      <w:r>
        <w:rPr>
          <w:rFonts w:ascii="Times New Roman" w:hAnsi="Times New Roman" w:cs="Times New Roman"/>
          <w:bCs/>
          <w:snapToGrid w:val="0"/>
          <w:spacing w:val="0"/>
          <w:kern w:val="0"/>
          <w:szCs w:val="24"/>
          <w:lang w:eastAsia="zh-CN"/>
        </w:rPr>
        <w:t>2、</w:t>
      </w:r>
      <w:r>
        <w:rPr>
          <w:rFonts w:hint="eastAsia" w:ascii="Times New Roman" w:hAnsi="Times New Roman" w:cs="Times New Roman"/>
          <w:bCs/>
          <w:snapToGrid w:val="0"/>
          <w:spacing w:val="0"/>
          <w:kern w:val="0"/>
          <w:szCs w:val="24"/>
          <w:lang w:eastAsia="zh-CN"/>
        </w:rPr>
        <w:t>技改项目</w:t>
      </w:r>
      <w:r>
        <w:rPr>
          <w:rFonts w:ascii="Times New Roman" w:hAnsi="Times New Roman" w:cs="Times New Roman"/>
          <w:bCs/>
          <w:snapToGrid w:val="0"/>
          <w:spacing w:val="0"/>
          <w:kern w:val="0"/>
          <w:szCs w:val="24"/>
        </w:rPr>
        <w:t>工艺流程</w:t>
      </w:r>
      <w:r>
        <w:rPr>
          <w:rFonts w:hint="eastAsia" w:ascii="Times New Roman" w:hAnsi="Times New Roman" w:cs="Times New Roman"/>
          <w:bCs/>
          <w:snapToGrid w:val="0"/>
          <w:spacing w:val="0"/>
          <w:kern w:val="0"/>
          <w:szCs w:val="24"/>
          <w:lang w:eastAsia="zh-CN"/>
        </w:rPr>
        <w:t>及</w:t>
      </w:r>
      <w:r>
        <w:rPr>
          <w:rFonts w:ascii="Times New Roman" w:hAnsi="Times New Roman" w:cs="Times New Roman"/>
          <w:bCs/>
          <w:snapToGrid w:val="0"/>
          <w:spacing w:val="0"/>
          <w:kern w:val="0"/>
          <w:szCs w:val="24"/>
        </w:rPr>
        <w:t>说明</w:t>
      </w:r>
    </w:p>
    <w:p>
      <w:pPr>
        <w:pStyle w:val="712"/>
        <w:spacing w:line="480" w:lineRule="exact"/>
        <w:rPr>
          <w:rFonts w:ascii="Times New Roman" w:hAnsi="Times New Roman" w:cs="Times New Roman"/>
          <w:spacing w:val="0"/>
          <w:lang w:eastAsia="zh-CN"/>
        </w:rPr>
      </w:pPr>
      <w:r>
        <w:rPr>
          <w:rFonts w:ascii="Times New Roman" w:hAnsi="Times New Roman" w:cs="Times New Roman"/>
          <w:spacing w:val="0"/>
          <w:lang w:eastAsia="zh-CN"/>
        </w:rPr>
        <w:t>与现状相同的工艺流程说明及产污环节详见§3.2.6，其产生的污染物在企业现有概况及污染源调查中已分析，本章节不再重述。项目新增</w:t>
      </w:r>
      <w:r>
        <w:rPr>
          <w:rFonts w:hint="eastAsia" w:ascii="Times New Roman" w:hAnsi="Times New Roman" w:cs="Times New Roman"/>
          <w:spacing w:val="0"/>
          <w:lang w:eastAsia="zh-CN"/>
        </w:rPr>
        <w:t>或</w:t>
      </w:r>
      <w:r>
        <w:rPr>
          <w:rFonts w:ascii="Times New Roman" w:hAnsi="Times New Roman" w:cs="Times New Roman"/>
          <w:spacing w:val="0"/>
          <w:lang w:eastAsia="zh-CN"/>
        </w:rPr>
        <w:t>改</w:t>
      </w:r>
      <w:r>
        <w:rPr>
          <w:rFonts w:hint="eastAsia" w:ascii="Times New Roman" w:hAnsi="Times New Roman" w:cs="Times New Roman"/>
          <w:spacing w:val="0"/>
          <w:lang w:eastAsia="zh-CN"/>
        </w:rPr>
        <w:t>造</w:t>
      </w:r>
      <w:r>
        <w:rPr>
          <w:rFonts w:ascii="Times New Roman" w:hAnsi="Times New Roman" w:cs="Times New Roman"/>
          <w:spacing w:val="0"/>
        </w:rPr>
        <w:t>工艺流程</w:t>
      </w:r>
      <w:r>
        <w:rPr>
          <w:rFonts w:ascii="Times New Roman" w:hAnsi="Times New Roman" w:cs="Times New Roman"/>
          <w:spacing w:val="0"/>
          <w:lang w:eastAsia="zh-CN"/>
        </w:rPr>
        <w:t>说明如下</w:t>
      </w:r>
      <w:r>
        <w:rPr>
          <w:rFonts w:hint="eastAsia" w:ascii="Times New Roman" w:hAnsi="Times New Roman" w:cs="Times New Roman"/>
          <w:spacing w:val="0"/>
          <w:lang w:eastAsia="zh-CN"/>
        </w:rPr>
        <w:t>：</w:t>
      </w:r>
    </w:p>
    <w:p>
      <w:pPr>
        <w:adjustRightInd w:val="0"/>
        <w:snapToGrid w:val="0"/>
        <w:spacing w:line="440" w:lineRule="exact"/>
        <w:ind w:firstLine="486" w:firstLineChars="200"/>
        <w:jc w:val="left"/>
        <w:textAlignment w:val="baseline"/>
        <w:rPr>
          <w:rFonts w:eastAsia="宋体"/>
          <w:bCs/>
          <w:snapToGrid w:val="0"/>
          <w:kern w:val="0"/>
          <w:sz w:val="24"/>
          <w:szCs w:val="24"/>
        </w:rPr>
      </w:pPr>
      <w:r>
        <w:rPr>
          <w:rFonts w:eastAsia="宋体"/>
          <w:bCs/>
          <w:snapToGrid w:val="0"/>
          <w:kern w:val="0"/>
          <w:sz w:val="24"/>
          <w:szCs w:val="24"/>
        </w:rPr>
        <w:t>(1</w:t>
      </w:r>
      <w:r>
        <w:rPr>
          <w:rFonts w:hint="eastAsia" w:eastAsia="宋体"/>
          <w:bCs/>
          <w:snapToGrid w:val="0"/>
          <w:kern w:val="0"/>
          <w:sz w:val="24"/>
          <w:szCs w:val="24"/>
        </w:rPr>
        <w:t>)LF炉</w:t>
      </w:r>
    </w:p>
    <w:p>
      <w:pPr>
        <w:adjustRightInd w:val="0"/>
        <w:snapToGrid w:val="0"/>
        <w:spacing w:line="44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由于现有</w:t>
      </w:r>
      <w:r>
        <w:rPr>
          <w:rFonts w:eastAsia="宋体"/>
          <w:bCs/>
          <w:snapToGrid w:val="0"/>
          <w:kern w:val="0"/>
          <w:sz w:val="24"/>
          <w:szCs w:val="24"/>
        </w:rPr>
        <w:t>LF位置无法融入到新方案中，因此本项目新建1座30t LF，现有LF</w:t>
      </w:r>
      <w:r>
        <w:rPr>
          <w:rFonts w:hint="eastAsia" w:eastAsia="宋体"/>
          <w:bCs/>
          <w:snapToGrid w:val="0"/>
          <w:kern w:val="0"/>
          <w:sz w:val="24"/>
          <w:szCs w:val="24"/>
        </w:rPr>
        <w:t>待新LF炉投入运行</w:t>
      </w:r>
      <w:r>
        <w:rPr>
          <w:rFonts w:eastAsia="宋体"/>
          <w:bCs/>
          <w:snapToGrid w:val="0"/>
          <w:kern w:val="0"/>
          <w:sz w:val="24"/>
          <w:szCs w:val="24"/>
        </w:rPr>
        <w:t>后拆除</w:t>
      </w:r>
      <w:r>
        <w:rPr>
          <w:rFonts w:hint="eastAsia" w:eastAsia="宋体"/>
          <w:bCs/>
          <w:snapToGrid w:val="0"/>
          <w:kern w:val="0"/>
          <w:sz w:val="24"/>
          <w:szCs w:val="24"/>
        </w:rPr>
        <w:t>。LF的工艺流程见下图：</w:t>
      </w:r>
    </w:p>
    <w:p>
      <w:pPr>
        <w:snapToGrid w:val="0"/>
        <w:ind w:firstLine="482"/>
        <w:jc w:val="center"/>
      </w:pPr>
      <w:r>
        <w:object>
          <v:shape id="_x0000_i1035" o:spt="75" type="#_x0000_t75" style="height:279pt;width:265.5pt;" o:ole="t" filled="f" o:preferrelative="t" stroked="f" coordsize="21600,21600">
            <v:path/>
            <v:fill on="f" focussize="0,0"/>
            <v:stroke on="f" joinstyle="miter"/>
            <v:imagedata r:id="rId47" o:title=""/>
            <o:lock v:ext="edit" aspectratio="t"/>
            <w10:wrap type="none"/>
            <w10:anchorlock/>
          </v:shape>
          <o:OLEObject Type="Embed" ProgID="Excel.Sheet.8" ShapeID="_x0000_i1035" DrawAspect="Content" ObjectID="_1468075735" r:id="rId46">
            <o:LockedField>false</o:LockedField>
          </o:OLEObject>
        </w:object>
      </w:r>
    </w:p>
    <w:p>
      <w:pPr>
        <w:pStyle w:val="712"/>
        <w:spacing w:line="480" w:lineRule="exact"/>
        <w:jc w:val="center"/>
        <w:rPr>
          <w:rFonts w:ascii="Times New Roman" w:hAnsi="Times New Roman" w:cs="Times New Roman"/>
          <w:b/>
          <w:spacing w:val="0"/>
          <w:lang w:eastAsia="zh-CN"/>
        </w:rPr>
      </w:pPr>
      <w:r>
        <w:rPr>
          <w:rFonts w:hint="eastAsia" w:ascii="Times New Roman" w:hAnsi="Times New Roman" w:cs="Times New Roman"/>
          <w:b/>
          <w:spacing w:val="0"/>
          <w:lang w:eastAsia="zh-CN"/>
        </w:rPr>
        <w:t>图4-3 LF炉工艺流程</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LF炉工艺流程说明：</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起重机将钢包吊到钢包车的吊包工位，此时接通氩气管路，进行吹氩。然后将钢包车开至加热工位，钢包盖下降，测温，电极下降，开始通电加热（根据测温选择供电制度）在加热的过程中采用较小的吹氩量进行搅拌，基本达到热平衡，钢液温度不再下降，这时停止通电，提起电极，同时进行底吹搅拌，以使钢水成份及温度的均匀，之后进行测温取样后继续进行通电加热。</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此时增大吹氩强度，加速成份的均匀，选择二次电压和电流以最佳能量输入方式继续加热，使钢水的成份和温度达到规定的目标，此时进行最后一次测温取样，包盖生起，钢包车开至吊包工位。</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LF炉新建后其产生的污染物与技改前相同，</w:t>
      </w:r>
      <w:r>
        <w:rPr>
          <w:rFonts w:eastAsia="宋体"/>
          <w:bCs/>
          <w:snapToGrid w:val="0"/>
          <w:kern w:val="0"/>
          <w:sz w:val="24"/>
          <w:szCs w:val="24"/>
        </w:rPr>
        <w:t>主要为颗粒物</w:t>
      </w:r>
      <w:r>
        <w:rPr>
          <w:rFonts w:hint="eastAsia" w:eastAsia="宋体"/>
          <w:bCs/>
          <w:snapToGrid w:val="0"/>
          <w:kern w:val="0"/>
          <w:sz w:val="24"/>
          <w:szCs w:val="24"/>
        </w:rPr>
        <w:t>，精炼废气G1采用盖罩捕集方式，将烟气送入除尘系统主烟道，经布袋除尘器除尘后通过现有30m高排气筒(DA001)排放。</w:t>
      </w:r>
    </w:p>
    <w:p>
      <w:pPr>
        <w:pStyle w:val="712"/>
        <w:spacing w:line="480" w:lineRule="exact"/>
        <w:rPr>
          <w:rFonts w:ascii="Times New Roman" w:hAnsi="Times New Roman" w:cs="Times New Roman"/>
          <w:spacing w:val="0"/>
          <w:lang w:eastAsia="zh-CN"/>
        </w:rPr>
      </w:pPr>
      <w:r>
        <w:rPr>
          <w:rFonts w:hint="eastAsia" w:ascii="Times New Roman" w:hAnsi="Times New Roman" w:cs="Times New Roman"/>
          <w:spacing w:val="0"/>
          <w:lang w:eastAsia="zh-CN"/>
        </w:rPr>
        <w:t>(</w:t>
      </w:r>
      <w:r>
        <w:rPr>
          <w:rFonts w:ascii="Times New Roman" w:hAnsi="Times New Roman" w:cs="Times New Roman"/>
          <w:spacing w:val="0"/>
          <w:lang w:eastAsia="zh-CN"/>
        </w:rPr>
        <w:t>2</w:t>
      </w:r>
      <w:r>
        <w:rPr>
          <w:rFonts w:hint="eastAsia" w:ascii="Times New Roman" w:hAnsi="Times New Roman" w:cs="Times New Roman"/>
          <w:spacing w:val="0"/>
          <w:lang w:eastAsia="zh-CN"/>
        </w:rPr>
        <w:t>) VD炉</w:t>
      </w:r>
    </w:p>
    <w:p>
      <w:pPr>
        <w:pStyle w:val="712"/>
        <w:spacing w:line="480" w:lineRule="exact"/>
        <w:rPr>
          <w:rFonts w:ascii="Times New Roman" w:hAnsi="Times New Roman" w:cs="Times New Roman"/>
          <w:spacing w:val="0"/>
          <w:lang w:val="en-US" w:eastAsia="zh-CN"/>
        </w:rPr>
      </w:pPr>
      <w:r>
        <w:rPr>
          <w:rFonts w:hint="eastAsia" w:ascii="Times New Roman" w:hAnsi="Times New Roman" w:cs="Times New Roman"/>
          <w:spacing w:val="0"/>
          <w:lang w:val="en-US" w:eastAsia="zh-CN"/>
        </w:rPr>
        <w:t>①VD炉</w:t>
      </w:r>
      <w:r>
        <w:rPr>
          <w:rFonts w:ascii="Times New Roman" w:hAnsi="Times New Roman" w:cs="Times New Roman"/>
          <w:spacing w:val="0"/>
          <w:lang w:val="en-US" w:eastAsia="zh-CN"/>
        </w:rPr>
        <w:t>作业流程</w:t>
      </w:r>
    </w:p>
    <w:p>
      <w:pPr>
        <w:pStyle w:val="712"/>
        <w:spacing w:line="480" w:lineRule="exact"/>
        <w:rPr>
          <w:rFonts w:ascii="Times New Roman" w:hAnsi="Times New Roman" w:cs="Times New Roman"/>
          <w:spacing w:val="0"/>
          <w:lang w:val="en-US" w:eastAsia="zh-CN"/>
        </w:rPr>
      </w:pPr>
      <w:r>
        <w:rPr>
          <w:rFonts w:hint="eastAsia" w:ascii="Times New Roman" w:hAnsi="Times New Roman" w:cs="Times New Roman"/>
          <w:spacing w:val="0"/>
          <w:lang w:val="en-US" w:eastAsia="zh-CN"/>
        </w:rPr>
        <w:t>项目约30%产品(3万t/a)需VD炉精炼，VD 炉主要用于钢水真空脱气（脱[H]、脱[O]、脱[N]、增[N]），去除夹杂，精确微调钢水成份，提高钢水冶金质量，以满足生产品种钢和优质钢，通过 VD 炉处理，钢水氢含量、氧含量、氮含量均可以达到工艺要求，钢水夹杂物可以变性并可使不可变性夹杂物减至最低程度，其作业流程详见图4-2。</w:t>
      </w:r>
    </w:p>
    <w:p>
      <w:pPr>
        <w:pStyle w:val="712"/>
        <w:jc w:val="center"/>
        <w:rPr>
          <w:rFonts w:cs="Arial"/>
          <w:bCs/>
          <w:snapToGrid w:val="0"/>
          <w:kern w:val="0"/>
          <w:szCs w:val="24"/>
          <w:lang w:eastAsia="zh-CN"/>
        </w:rPr>
      </w:pPr>
      <w:r>
        <w:rPr>
          <w:rFonts w:cs="Arial"/>
          <w:bCs/>
          <w:kern w:val="0"/>
          <w:szCs w:val="24"/>
          <w:lang w:val="en-US" w:eastAsia="zh-CN"/>
        </w:rPr>
        <w:drawing>
          <wp:anchor distT="0" distB="0" distL="114300" distR="114300" simplePos="0" relativeHeight="251735040" behindDoc="1" locked="0" layoutInCell="1" allowOverlap="1">
            <wp:simplePos x="0" y="0"/>
            <wp:positionH relativeFrom="column">
              <wp:posOffset>-158115</wp:posOffset>
            </wp:positionH>
            <wp:positionV relativeFrom="paragraph">
              <wp:posOffset>-8255</wp:posOffset>
            </wp:positionV>
            <wp:extent cx="5444490" cy="5831840"/>
            <wp:effectExtent l="0" t="0" r="0" b="0"/>
            <wp:wrapNone/>
            <wp:docPr id="105" name="对象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对象 173"/>
                    <pic:cNvPicPr>
                      <a:picLocks noChangeAspect="1" noChangeArrowheads="1"/>
                    </pic:cNvPicPr>
                  </pic:nvPicPr>
                  <pic:blipFill>
                    <a:blip r:embed="rId48" cstate="print">
                      <a:extLst>
                        <a:ext uri="{28A0092B-C50C-407E-A947-70E740481C1C}">
                          <a14:useLocalDpi xmlns:a14="http://schemas.microsoft.com/office/drawing/2010/main" val="0"/>
                        </a:ext>
                      </a:extLst>
                    </a:blip>
                    <a:srcRect l="28453" t="1587" r="25714"/>
                    <a:stretch>
                      <a:fillRect/>
                    </a:stretch>
                  </pic:blipFill>
                  <pic:spPr>
                    <a:xfrm>
                      <a:off x="0" y="0"/>
                      <a:ext cx="5444490" cy="5831840"/>
                    </a:xfrm>
                    <a:prstGeom prst="rect">
                      <a:avLst/>
                    </a:prstGeom>
                    <a:noFill/>
                  </pic:spPr>
                </pic:pic>
              </a:graphicData>
            </a:graphic>
          </wp:anchor>
        </w:drawing>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39136" behindDoc="0" locked="0" layoutInCell="1" allowOverlap="1">
                <wp:simplePos x="0" y="0"/>
                <wp:positionH relativeFrom="column">
                  <wp:posOffset>4070350</wp:posOffset>
                </wp:positionH>
                <wp:positionV relativeFrom="paragraph">
                  <wp:posOffset>141605</wp:posOffset>
                </wp:positionV>
                <wp:extent cx="0" cy="142875"/>
                <wp:effectExtent l="76200" t="0" r="57150" b="47625"/>
                <wp:wrapNone/>
                <wp:docPr id="69" name="直接箭头连接符 69"/>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1.15pt;height:11.25pt;width:0pt;z-index:251739136;mso-width-relative:page;mso-height-relative:page;" filled="f" stroked="t" coordsize="21600,21600" o:gfxdata="UEsDBAoAAAAAAIdO4kAAAAAAAAAAAAAAAAAEAAAAZHJzL1BLAwQUAAAACACHTuJA2rZcIdkAAAAJ&#10;AQAADwAAAGRycy9kb3ducmV2LnhtbE2PzU7DMBCE70i8g7VI3KiTEEUlzaYSVIhcQKJFqEc3XuKI&#10;eB3F7h9PjxEHOM7OaPabanmygzjQ5HvHCOksAUHcOt1zh/C2ebyZg/BBsVaDY0I4k4dlfXlRqVK7&#10;I7/SYR06EUvYlwrBhDCWUvrWkFV+5kbi6H24yaoQ5dRJPaljLLeDzJKkkFb1HD8YNdKDofZzvbcI&#10;YbU9m+K9vb/rXzZPz0X/1TTNCvH6Kk0WIAKdwl8YfvAjOtSRaef2rL0YEIo8jVsCQpbdgoiB38MO&#10;Ic/nIOtK/l9QfwNQSwMEFAAAAAgAh07iQCoq0Ur2AQAAtgMAAA4AAABkcnMvZTJvRG9jLnhtbK1T&#10;S44TMRDdI3EHy3vSSUSGSSudWSQMGz6RgANU3O5uS/7JZdLJJbgAEitgxbCaPaeB4RiU3ZkMnx2i&#10;F277VddzvVfVi4u90WwnAypnKz4ZjTmTVrha2bbir19dPjjnDCPYGrSzsuIHifxief/eovelnLrO&#10;6VoGRiQWy95XvIvRl0WBopMGcOS8tBRsXDAQ6Rjaog7QE7vRxXQ8Pit6F2ofnJCIhK6HIF9m/qaR&#10;Ir5oGpSR6YpTbTGvIa/btBbLBZRtAN8pcSwD/qEKA8rSpSeqNURgb4L6i8ooERy6Jo6EM4VrGiVk&#10;1kBqJuM/1LzswMushcxBf7IJ/x+teL7bBKbqip/NObNgqEc3766/v/148+Xq24frH1/fp/3nT4zi&#10;ZFbvsaScld2E4wn9JiTl+yaY9CZNbJ8NPpwMlvvIxAAKQicPp+ePZomuuMvzAeMT6QxLm4pjDKDa&#10;Lq6ctdRFFybZX9g9xTgk3iakS627VFoTDqW2rK/4fDadcSaARqrREGlrPIlE23IGuqVZFTFkRnRa&#10;1Sk7JWNotysd2A7SvORn+KiDWg7ofEbwMDcI8ZmrB3gyvsVJ05Em6/uNP9W8BuyGnBwaqCIo/djW&#10;LB48dSAGBbbV8miRtsSUnB+8Trutqw+5BRmn4ch3HQc5Td+v55x997st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tlwh2QAAAAkBAAAPAAAAAAAAAAEAIAAAACIAAABkcnMvZG93bnJldi54bWxQ&#10;SwECFAAUAAAACACHTuJAKirRSvYBAAC2AwAADgAAAAAAAAABACAAAAAoAQAAZHJzL2Uyb0RvYy54&#10;bWxQSwUGAAAAAAYABgBZAQAAkA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41184" behindDoc="0" locked="0" layoutInCell="1" allowOverlap="1">
                <wp:simplePos x="0" y="0"/>
                <wp:positionH relativeFrom="column">
                  <wp:posOffset>4070350</wp:posOffset>
                </wp:positionH>
                <wp:positionV relativeFrom="paragraph">
                  <wp:posOffset>236220</wp:posOffset>
                </wp:positionV>
                <wp:extent cx="0" cy="180975"/>
                <wp:effectExtent l="76200" t="0" r="57150" b="47625"/>
                <wp:wrapNone/>
                <wp:docPr id="71" name="直接箭头连接符 71"/>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8.6pt;height:14.25pt;width:0pt;z-index:251741184;mso-width-relative:page;mso-height-relative:page;" filled="f" stroked="t" coordsize="21600,21600" o:gfxdata="UEsDBAoAAAAAAIdO4kAAAAAAAAAAAAAAAAAEAAAAZHJzL1BLAwQUAAAACACHTuJA+HI7FdkAAAAJ&#10;AQAADwAAAGRycy9kb3ducmV2LnhtbE2PzU7DMBCE70i8g7VI3KiTAimEOJWgQuRSJFqEOLrxElvE&#10;6yh2/3h6FnGA2+7OaPaban7wvdjhGF0gBfkkA4HUBuOoU/C6fry4ARGTJqP7QKjgiBHm9elJpUsT&#10;9vSCu1XqBIdQLLUCm9JQShlbi17HSRiQWPsIo9eJ17GTZtR7Dve9nGZZIb12xB+sHvDBYvu52noF&#10;afF+tMVbe3/rntdPy8J9NU2zUOr8LM/uQCQ8pD8z/OAzOtTMtAlbMlH0CoqrnLskBZezKQg2/B42&#10;PFzPQNaV/N+g/gZQSwMEFAAAAAgAh07iQFWLsJ71AQAAtgMAAA4AAABkcnMvZTJvRG9jLnhtbK1T&#10;y47TMBTdI/EPlvc0SaUy06jpLFqGDY9KwAfc2k5iyS/Zpml/gh9AYgWsgNXs+RqY+Yy5djodHjtE&#10;Fo59bu7xPefeLC72WpGd8EFa09BqUlIiDLNcmq6hb15fPjqnJEQwHJQ1oqEHEejF8uGDxeBqMbW9&#10;VVx4giQm1INraB+jq4sisF5oCBPrhMFga72GiEffFdzDgOxaFdOyfFwM1nPnLRMhILoeg3SZ+dtW&#10;sPiybYOIRDUUa4t59XndprVYLqDuPLhesmMZ8A9VaJAGLz1RrSECeevlX1RaMm+DbeOEWV3YtpVM&#10;ZA2opir/UPOqByeyFjQnuJNN4f/Rshe7jSeSN/SsosSAxh5dv7/6+e7T9bevPz5e3Xz/kPZfPhOM&#10;o1mDCzXmrMzGH0/BbXxSvm+9Tm/URPbZ4MPJYLGPhI0gQ7Q6L+dns0RX3Oc5H+JTYTVJm4aG6EF2&#10;fVxZY7CL1lfZX9g9C3FMvEtIlxp7KZVCHGplyNDQ+Ww6o4QBjlSrIOJWOxQZTEcJqA5nlUWfGYNV&#10;kqfslBx8t10pT3aQ5iU/40c9cDGi8xnC49wEiM8tH+GqvMNR05Em6/uNP9W8htCPOTk0UkWQ6onh&#10;JB4cdiB6CaZT4miRMsiUnB+9Trut5YfcgozjcOS7joOcpu/Xc86+/92W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hyOxXZAAAACQEAAA8AAAAAAAAAAQAgAAAAIgAAAGRycy9kb3ducmV2LnhtbFBL&#10;AQIUABQAAAAIAIdO4kBVi7Ce9QEAALYDAAAOAAAAAAAAAAEAIAAAACg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43232" behindDoc="0" locked="0" layoutInCell="1" allowOverlap="1">
                <wp:simplePos x="0" y="0"/>
                <wp:positionH relativeFrom="column">
                  <wp:posOffset>4070350</wp:posOffset>
                </wp:positionH>
                <wp:positionV relativeFrom="paragraph">
                  <wp:posOffset>53975</wp:posOffset>
                </wp:positionV>
                <wp:extent cx="0" cy="171450"/>
                <wp:effectExtent l="76200" t="0" r="57150" b="57150"/>
                <wp:wrapNone/>
                <wp:docPr id="73" name="直接箭头连接符 7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4.25pt;height:13.5pt;width:0pt;z-index:251743232;mso-width-relative:page;mso-height-relative:page;" filled="f" stroked="t" coordsize="21600,21600" o:gfxdata="UEsDBAoAAAAAAIdO4kAAAAAAAAAAAAAAAAAEAAAAZHJzL1BLAwQUAAAACACHTuJAl6PK4dcAAAAI&#10;AQAADwAAAGRycy9kb3ducmV2LnhtbE2PT0vEMBTE74LfITzBm5tWbVlrXxd0EXtRcFfEY7Z5NsHm&#10;pTTZf356Ix70OMww85t6cXCD2NEUrGeEfJaBIO68ttwjvK4fLuYgQlSs1eCZEI4UYNGcntSq0n7P&#10;L7RbxV6kEg6VQjAxjpWUoTPkVJj5kTh5H35yKiY59VJPap/K3SAvs6yUTllOC0aNdG+o+1xtHUJc&#10;vh9N+dbd3djn9eNTab/atl0inp/l2S2ISIf4F4Yf/IQOTWLa+C3rIAaE8jpPXyLCvACR/F+9Qbgq&#10;CpBNLf8faL4BUEsDBBQAAAAIAIdO4kAKa0kJ+AEAALYDAAAOAAAAZHJzL2Uyb0RvYy54bWytU0uO&#10;EzEQ3SNxB8t70ulAGCZKZxYJw4ZPJOAAFdvdbcltW2WTTi7BBZBYAauB1eznNMNwDMruTIbPDtEL&#10;u/zK9Vz1qnp+tusM2yoM2tmKl6MxZ8oKJ7VtKv72zfmDJ5yFCFaCcVZVfK8CP1vcvzfv/UxNXOuM&#10;VMiIxIZZ7yvexuhnRRFEqzoII+eVJWftsINIR2wKidATe2eKyXj8uOgdSo9OqBAIXQ1Ovsj8da1E&#10;fFXXQUVmKk65xbxiXjdpLRZzmDUIvtXikAb8QxYdaEuPHqlWEIG9Q/0XVacFuuDqOBKuK1xda6Fy&#10;DVRNOf6jmtcteJVrIXGCP8oU/h+teLldI9Oy4icPObPQUY9uPlx+f//55tvX60+XP64+JvviCyM/&#10;idX7MKOYpV3j4RT8GlPluxq7tFNNbJcF3h8FVrvIxAAKQsuT8tE0a1/cxXkM8ZlyHUtGxUNE0E0b&#10;l85a6qLDMusL2+ch0ssUeBuQHrXuXBuTm2ks6yt+Op1MORNAI1UbiGR2nooMtuEMTEOzKiJmxuCM&#10;lik68QRsNkuDbAtpXvI3XGpBqgE9nRI8zE2A+MLJAS7HtzildqDJaf7Gn3JeQWiHmOwaqCJo89RK&#10;FveeOhBRg22MSj6iM5a2pPygdbI2Tu5zCzJOw5EvHgY5Td+v5xx997st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o8rh1wAAAAgBAAAPAAAAAAAAAAEAIAAAACIAAABkcnMvZG93bnJldi54bWxQ&#10;SwECFAAUAAAACACHTuJACmtJCfgBAAC2AwAADgAAAAAAAAABACAAAAAmAQAAZHJzL2Uyb0RvYy54&#10;bWxQSwUGAAAAAAYABgBZAQAAkA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45280" behindDoc="0" locked="0" layoutInCell="1" allowOverlap="1">
                <wp:simplePos x="0" y="0"/>
                <wp:positionH relativeFrom="column">
                  <wp:posOffset>4070350</wp:posOffset>
                </wp:positionH>
                <wp:positionV relativeFrom="paragraph">
                  <wp:posOffset>177165</wp:posOffset>
                </wp:positionV>
                <wp:extent cx="0" cy="209550"/>
                <wp:effectExtent l="76200" t="0" r="57150" b="57150"/>
                <wp:wrapNone/>
                <wp:docPr id="74" name="直接箭头连接符 7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3.95pt;height:16.5pt;width:0pt;z-index:251745280;mso-width-relative:page;mso-height-relative:page;" filled="f" stroked="t" coordsize="21600,21600" o:gfxdata="UEsDBAoAAAAAAIdO4kAAAAAAAAAAAAAAAAAEAAAAZHJzL1BLAwQUAAAACACHTuJAQ4MEM9gAAAAJ&#10;AQAADwAAAGRycy9kb3ducmV2LnhtbE2PT0vEMBDF74LfIYzgzU26SLW16YIuYi8KuyviMduMTbGZ&#10;lCb7z0/viAe9zcx7vPm9anH0g9jjFPtAGrKZAoHUBttTp+F183h1CyImQ9YMgVDDCSMs6vOzypQ2&#10;HGiF+3XqBIdQLI0Gl9JYShlbh97EWRiRWPsIkzeJ16mTdjIHDveDnCuVS2964g/OjPjgsP1c77yG&#10;tHw/ufytvS/6l83Tc95/NU2z1PryIlN3IBIe058ZfvAZHWpm2oYd2SgGDfl1xl2ShvlNAYINv4ct&#10;D6oAWVfyf4P6G1BLAwQUAAAACACHTuJAPUcW9PcBAAC2AwAADgAAAGRycy9lMm9Eb2MueG1srVNL&#10;jhMxEN0jcQfLe9KdiACJ0plFwrDhEwnmABXb3W3JbVtlk04uwQWQWAErhtXsOQ3MHIOyO5Phs0P0&#10;wi6/cj1XvapenO07w3YKg3a24uNRyZmywkltm4pfvDl/8ISzEMFKMM6qih9U4GfL+/cWvZ+riWud&#10;kQoZkdgw733F2xj9vCiCaFUHYeS8suSsHXYQ6YhNIRF6Yu9MMSnLR0XvUHp0QoVA6Hpw8mXmr2sl&#10;4qu6DioyU3HKLeYV87pNa7FcwLxB8K0WxzTgH7LoQFt69ES1hgjsLeq/qDot0AVXx5FwXeHqWguV&#10;a6BqxuUf1bxuwatcC4kT/Emm8P9oxcvdBpmWFX/8kDMLHfXo+v3Vj3efrr9efv94dfPtQ7K/fGbk&#10;J7F6H+YUs7IbPJ6C32CqfF9jl3aqie2zwIeTwGofmRhAQeiknE2nWfviLs5jiM+U61gyKh4igm7a&#10;uHLWUhcdjrO+sHseIr1MgbcB6VHrzrUxuZnGsr7is+lkypkAGqnaQCSz81RksA1nYBqaVRExMwZn&#10;tEzRiSdgs10ZZDtI85K/4VILUg3obErwMDcB4gsnB3hc3uKU2pEmp/kbf8p5DaEdYrJroIqgzVMr&#10;WTx46kBEDbYxKvmIzljakvKD1snaOnnILcg4DUe+eBzkNH2/nnP03e+2/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gwQz2AAAAAkBAAAPAAAAAAAAAAEAIAAAACIAAABkcnMvZG93bnJldi54bWxQ&#10;SwECFAAUAAAACACHTuJAPUcW9PcBAAC2AwAADgAAAAAAAAABACAAAAAnAQAAZHJzL2Uyb0RvYy54&#10;bWxQSwUGAAAAAAYABgBZAQAAkA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47328" behindDoc="0" locked="0" layoutInCell="1" allowOverlap="1">
                <wp:simplePos x="0" y="0"/>
                <wp:positionH relativeFrom="column">
                  <wp:posOffset>4070350</wp:posOffset>
                </wp:positionH>
                <wp:positionV relativeFrom="paragraph">
                  <wp:posOffset>271780</wp:posOffset>
                </wp:positionV>
                <wp:extent cx="0" cy="171450"/>
                <wp:effectExtent l="76200" t="0" r="57150" b="57150"/>
                <wp:wrapNone/>
                <wp:docPr id="75" name="直接箭头连接符 7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21.4pt;height:13.5pt;width:0pt;z-index:251747328;mso-width-relative:page;mso-height-relative:page;" filled="f" stroked="t" coordsize="21600,21600" o:gfxdata="UEsDBAoAAAAAAIdO4kAAAAAAAAAAAAAAAAAEAAAAZHJzL1BLAwQUAAAACACHTuJAFHtZ/NgAAAAJ&#10;AQAADwAAAGRycy9kb3ducmV2LnhtbE2PT0vDQBDF74LfYRnBm92klNCm2RS0iLko2Ir0uM2O2cXs&#10;bMhu//npHfGgt5l5jze/V63OvhdHHKMLpCCfZCCQ2mAcdQreto93cxAxaTK6D4QKLhhhVV9fVbo0&#10;4USveNykTnAIxVIrsCkNpZSxteh1nIQBibWPMHqdeB07aUZ94nDfy2mWFdJrR/zB6gEfLLafm4NX&#10;kNa7iy3e2/uFe9k+PRfuq2matVK3N3m2BJHwnP7M8IPP6FAz0z4cyETRKyhmOXdJCmZTrsCG38Oe&#10;h8UcZF3J/w3qb1BLAwQUAAAACACHTuJAX+LfHPYBAAC2AwAADgAAAGRycy9lMm9Eb2MueG1srVPN&#10;jtMwEL4j8Q6W7zRJRVm2arqHluXCTyXgAaa2k1hybGtsmvYleAEkTsAJOO2dp4HlMRg73S4/N0QO&#10;9vgbz+eZbyaLi31v2E5h0M7WvJqUnCkrnNS2rfmrl5f3HnIWIlgJxllV84MK/GJ5985i8HM1dZ0z&#10;UiEjEhvmg695F6OfF0UQneohTJxXlpyNwx4iHbEtJMJA7L0ppmX5oBgcSo9OqBAIXY9Ovsz8TaNE&#10;fN40QUVmak65xbxiXrdpLZYLmLcIvtPimAb8QxY9aEuPnqjWEIG9Rv0XVa8FuuCaOBGuL1zTaKFy&#10;DVRNVf5RzYsOvMq1kDjBn2QK/49WPNttkGlZ87MZZxZ66tH126vvbz5cf/n87f3Vj6/vkv3pIyM/&#10;iTX4MKeYld3g8RT8BlPl+wb7tFNNbJ8FPpwEVvvIxAgKQquz6v4sa1/cxnkM8bFyPUtGzUNE0G0X&#10;V85a6qLDKusLuych0ssUeBOQHrXuUhuTm2ksG2p+PptSPQJopBoDkczeU5HBtpyBaWlWRcTMGJzR&#10;MkUnnoDtdmWQ7SDNS/7GSx1INaLnM4LHuQkQnzo5wlV5g1NqR5qc5m/8Kec1hG6Mya6RKoI2j6xk&#10;8eCpAxE12Nao5CM6Y2lLyo9aJ2vr5CG3IOM0HPnicZDT9P16ztG3v9v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R7WfzYAAAACQEAAA8AAAAAAAAAAQAgAAAAIgAAAGRycy9kb3ducmV2LnhtbFBL&#10;AQIUABQAAAAIAIdO4kBf4t8c9gEAALYDAAAOAAAAAAAAAAEAIAAAACc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hint="eastAsia" w:cs="Arial"/>
          <w:bCs/>
          <w:kern w:val="0"/>
          <w:szCs w:val="24"/>
          <w:lang w:val="en-US" w:eastAsia="zh-CN"/>
        </w:rPr>
        <mc:AlternateContent>
          <mc:Choice Requires="wps">
            <w:drawing>
              <wp:anchor distT="0" distB="0" distL="114300" distR="114300" simplePos="0" relativeHeight="251642880" behindDoc="0" locked="0" layoutInCell="1" allowOverlap="1">
                <wp:simplePos x="0" y="0"/>
                <wp:positionH relativeFrom="column">
                  <wp:posOffset>5222875</wp:posOffset>
                </wp:positionH>
                <wp:positionV relativeFrom="paragraph">
                  <wp:posOffset>64770</wp:posOffset>
                </wp:positionV>
                <wp:extent cx="952500" cy="333375"/>
                <wp:effectExtent l="0" t="0" r="0" b="0"/>
                <wp:wrapNone/>
                <wp:docPr id="26" name="矩形 26"/>
                <wp:cNvGraphicFramePr/>
                <a:graphic xmlns:a="http://schemas.openxmlformats.org/drawingml/2006/main">
                  <a:graphicData uri="http://schemas.microsoft.com/office/word/2010/wordprocessingShape">
                    <wps:wsp>
                      <wps:cNvSpPr/>
                      <wps:spPr>
                        <a:xfrm>
                          <a:off x="0" y="0"/>
                          <a:ext cx="9525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rPr>
                            </w:pPr>
                            <w:r>
                              <w:rPr>
                                <w:rFonts w:eastAsiaTheme="minorEastAsia"/>
                                <w:color w:val="000000" w:themeColor="text1"/>
                                <w:sz w:val="21"/>
                                <w:szCs w:val="21"/>
                                <w14:textFill>
                                  <w14:solidFill>
                                    <w14:schemeClr w14:val="tx1"/>
                                  </w14:solidFill>
                                </w14:textFill>
                              </w:rPr>
                              <w:t>精炼废气G1</w:t>
                            </w:r>
                            <w:r>
                              <w:rPr>
                                <w:rFonts w:eastAsiaTheme="minorEastAsia"/>
                              </w:rPr>
                              <w:t>气LIANFEIQI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1.25pt;margin-top:5.1pt;height:26.25pt;width:75pt;z-index:251642880;v-text-anchor:middle;mso-width-relative:page;mso-height-relative:page;" filled="f" stroked="f" coordsize="21600,21600" o:gfxdata="UEsDBAoAAAAAAIdO4kAAAAAAAAAAAAAAAAAEAAAAZHJzL1BLAwQUAAAACACHTuJA7rcrZtcAAAAJ&#10;AQAADwAAAGRycy9kb3ducmV2LnhtbE2PwU7DMAyG70i8Q2QkbixZBNsoTacJAdKOrEiIW9qYttA4&#10;VZN129vjncbR/j/9/pyvj74XE46xC2RgPlMgkOrgOmoMfJSvdysQMVlytg+EBk4YYV1cX+U2c+FA&#10;7zjtUiO4hGJmDbQpDZmUsW7R2zgLAxJn32H0NvE4NtKN9sDlvpdaqYX0tiO+0NoBn1usf3d7byBW&#10;07Y8DZvPn69YV5sX8uX99s2Y25u5egKR8JguMJz1WR0KdqrCnlwUvYGV1g+McqA0CAYel+dFZWCh&#10;lyCLXP7/oPgDUEsDBBQAAAAIAIdO4kA7LAIKNgIAAEkEAAAOAAAAZHJzL2Uyb0RvYy54bWytVM1u&#10;GjEQvlfqO1i+lwUKSbNiiVAQVSXURKJVz4PXZi35r7ZhoS9Tqbc+RB6n6mt07N0Q1PZUlYOZ8Qyf&#10;5/tmhtntUSty4D5Iayo6Ggwp4YbZWppdRT9+WL16Q0mIYGpQ1vCKnnigt/OXL2atK/nYNlbV3BME&#10;MaFsXUWbGF1ZFIE1XEMYWMcNBoX1GiK6flfUHlpE16oYD4dXRWt97bxlPAS8XXZBOs/4QnAW74UI&#10;PBJVUawt5tPnc5vOYj6DcufBNZL1ZcA/VKFBGnz0DLWECGTv5R9QWjJvgxVxwKwurBCS8cwB2YyG&#10;v7HZNOB45oLiBHeWKfw/WPb+8OCJrCs6vqLEgMYe/fz6/cfjN4IXqE7rQolJG/fgey+gmagehdfp&#10;G0mQY1b0dFaUHyNheHkzHU+HqDvD0Gv8XE8TZvH8Y+dDfMutJsmoqMeGZR3hsA6xS31KSW8Zu5JK&#10;4T2UypAWq55OMj7g7AgFEZ/SDtkEs6ME1A6HkkWfIS9+myCXEBpyAJyLYJWs+7qUwfIS545lsuJx&#10;e+ypb219Qrm87eYoOLaSCLWGEB/A4+AgVVyGeI+HUBbrs71FSWP9l7/dp3zsJ0YpaXEQsZ7Pe/Cc&#10;EvXOYKdvRpNJmtzsTKbXY3T8ZWR7GTF7fWeR0wjXzrFspvyonkzhrf6EO7NIr2IIDMO3O5V65y52&#10;C4Jbx/hikdNwWh3Etdk4lsC7Xiz20QqZ25SE6tTp9cN5zY3udystxKWfs57/Ae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63K2bXAAAACQEAAA8AAAAAAAAAAQAgAAAAIgAAAGRycy9kb3ducmV2&#10;LnhtbFBLAQIUABQAAAAIAIdO4kA7LAIKNgIAAEkEAAAOAAAAAAAAAAEAIAAAACYBAABkcnMvZTJv&#10;RG9jLnhtbFBLBQYAAAAABgAGAFkBAADOBQAAAAA=&#10;">
                <v:fill on="f" focussize="0,0"/>
                <v:stroke on="f" weight="2pt"/>
                <v:imagedata o:title=""/>
                <o:lock v:ext="edit" aspectratio="f"/>
                <v:textbox>
                  <w:txbxContent>
                    <w:p>
                      <w:pPr>
                        <w:jc w:val="center"/>
                        <w:rPr>
                          <w:rFonts w:eastAsiaTheme="minorEastAsia"/>
                        </w:rPr>
                      </w:pPr>
                      <w:r>
                        <w:rPr>
                          <w:rFonts w:eastAsiaTheme="minorEastAsia"/>
                          <w:color w:val="000000" w:themeColor="text1"/>
                          <w:sz w:val="21"/>
                          <w:szCs w:val="21"/>
                          <w14:textFill>
                            <w14:solidFill>
                              <w14:schemeClr w14:val="tx1"/>
                            </w14:solidFill>
                          </w14:textFill>
                        </w:rPr>
                        <w:t>精炼废气G1</w:t>
                      </w:r>
                      <w:r>
                        <w:rPr>
                          <w:rFonts w:eastAsiaTheme="minorEastAsia"/>
                        </w:rPr>
                        <w:t>气LIANFEIQI</w:t>
                      </w:r>
                    </w:p>
                  </w:txbxContent>
                </v:textbox>
              </v:rect>
            </w:pict>
          </mc:Fallback>
        </mc:AlternateContent>
      </w:r>
      <w:r>
        <w:rPr>
          <w:rFonts w:cs="Arial"/>
          <w:bCs/>
          <w:kern w:val="0"/>
          <w:szCs w:val="24"/>
          <w:lang w:val="en-US" w:eastAsia="zh-CN"/>
        </w:rPr>
        <mc:AlternateContent>
          <mc:Choice Requires="wps">
            <w:drawing>
              <wp:anchor distT="0" distB="0" distL="114300" distR="114300" simplePos="0" relativeHeight="251737088" behindDoc="0" locked="0" layoutInCell="1" allowOverlap="1">
                <wp:simplePos x="0" y="0"/>
                <wp:positionH relativeFrom="column">
                  <wp:posOffset>4946650</wp:posOffset>
                </wp:positionH>
                <wp:positionV relativeFrom="paragraph">
                  <wp:posOffset>271145</wp:posOffset>
                </wp:positionV>
                <wp:extent cx="323850" cy="0"/>
                <wp:effectExtent l="0" t="76200" r="19050" b="95250"/>
                <wp:wrapNone/>
                <wp:docPr id="66" name="直接箭头连接符 66"/>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89.5pt;margin-top:21.35pt;height:0pt;width:25.5pt;z-index:251737088;mso-width-relative:page;mso-height-relative:page;" filled="f" stroked="t" coordsize="21600,21600" o:gfxdata="UEsDBAoAAAAAAIdO4kAAAAAAAAAAAAAAAAAEAAAAZHJzL1BLAwQUAAAACACHTuJAfrNC8tkAAAAJ&#10;AQAADwAAAGRycy9kb3ducmV2LnhtbE2PzU7DMBCE70i8g7VI3KjdgpI2xKkEFSIXkGgR4ujGS2IR&#10;r6PY/ePpWcQBjjs7mvmmXB59L/Y4RhdIw3SiQCA1wTpqNbxuHq7mIGIyZE0fCDWcMMKyOj8rTWHD&#10;gV5wv06t4BCKhdHQpTQUUsamQ2/iJAxI/PsIozeJz7GVdjQHDve9nCmVSW8ccUNnBrzvsPlc77yG&#10;tHo/ddlbc7dwz5vHp8x91XW90vryYqpuQSQ8pj8z/OAzOlTMtA07slH0GvJ8wVuShptZDoIN82vF&#10;wvZXkFUp/y+ovgFQSwMEFAAAAAgAh07iQJdyc+b4AQAAtgMAAA4AAABkcnMvZTJvRG9jLnhtbK1T&#10;zY4TMQy+I/EOUe502q5a7Vad7qFlufBTCXgAN8nMRMokkRM67UvwAkicgBPsae88Dbv7GDiZtsvP&#10;DTEHx7Hjz/Znz/xy1xq2VRi0syUfDYacKSuc1LYu+ds3V0/OOQsRrATjrCr5XgV+uXj8aN75mRq7&#10;xhmpkBGIDbPOl7yJ0c+KIohGtRAGzitLzsphC5GuWBcSoSP01hTj4XBadA6lRydUCGRd9U6+yPhV&#10;pUR8VVVBRWZKTrXFLDHLTZLFYg6zGsE3WhzKgH+oogVtKekJagUR2DvUf0G1WqALrooD4drCVZUW&#10;KvdA3YyGf3TzugGvci9ETvAnmsL/gxUvt2tkWpZ8OuXMQkszuvtwc/v+8931tx+fbu6/f0z61y+M&#10;/ERW58OMYpZ2jYdb8GtMne8qbNNJPbFdJnh/IljtIhNkPBufnU9oDOLoKh7iPIb4TLmWJaXkISLo&#10;uolLZy1N0eEo8wvb5yFSZgo8BqSk1l1pY/IwjWVdyS8m4wnlAVqpykAktfXUZLA1Z2Bq2lURMSMG&#10;Z7RM0QknYL1ZGmRbSPuSv/5RA1L11osJmfu9CRBfONmbR8OjnUo7wOQyf8NPNa8gNH1MdvVQEbR5&#10;aiWLe08TiKjB1kYlH8EZS0divuc6aRsn93kE2U7LkR8eFjlt36/3HP3wuy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6zQvLZAAAACQEAAA8AAAAAAAAAAQAgAAAAIgAAAGRycy9kb3ducmV2Lnht&#10;bFBLAQIUABQAAAAIAIdO4kCXcnPm+AEAALYDAAAOAAAAAAAAAAEAIAAAACgBAABkcnMvZTJvRG9j&#10;LnhtbFBLBQYAAAAABgAGAFkBAACS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49376" behindDoc="0" locked="0" layoutInCell="1" allowOverlap="1">
                <wp:simplePos x="0" y="0"/>
                <wp:positionH relativeFrom="column">
                  <wp:posOffset>4070350</wp:posOffset>
                </wp:positionH>
                <wp:positionV relativeFrom="paragraph">
                  <wp:posOffset>127635</wp:posOffset>
                </wp:positionV>
                <wp:extent cx="0" cy="142875"/>
                <wp:effectExtent l="76200" t="0" r="57150" b="47625"/>
                <wp:wrapNone/>
                <wp:docPr id="93" name="直接箭头连接符 93"/>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0.05pt;height:11.25pt;width:0pt;z-index:251749376;mso-width-relative:page;mso-height-relative:page;" filled="f" stroked="t" coordsize="21600,21600" o:gfxdata="UEsDBAoAAAAAAIdO4kAAAAAAAAAAAAAAAAAEAAAAZHJzL1BLAwQUAAAACACHTuJAjboDGtgAAAAJ&#10;AQAADwAAAGRycy9kb3ducmV2LnhtbE2PT0vEMBDF74LfIYzgzU1alqC10wVdxF4U3JVlj9kmNsFm&#10;UprsPz+9EQ96fPMeb36vXpz8wA5mii4QQjETwAx1QTvqEd7XTze3wGJSpNUQyCCcTYRFc3lRq0qH&#10;I72Zwyr1LJdQrBSCTWmsOI+dNV7FWRgNZe8jTF6lLKee60kdc7kfeCmE5F45yh+sGs2jNd3nau8R&#10;0nJ7tnLTPdy51/Xzi3RfbdsuEa+vCnEPLJlT+gvDD35GhyYz7cKedGQDgpwXeUtCKEUBLAd+DzuE&#10;eSmBNzX/v6D5BlBLAwQUAAAACACHTuJAyM/IT/UBAAC2AwAADgAAAGRycy9lMm9Eb2MueG1srVNL&#10;ktMwEN1TxR1U2hMngcCMK84sEoYNn1QxHKAjy7aq9Cu1iJNLcAGqWAGrgdXsOc0wHIOWnMnw2VF4&#10;IUuv3U/9XrfnZzuj2VYGVM5WfDIacyatcLWybcXfXJw/OOEMI9gatLOy4nuJ/Gxx/96896Wcus7p&#10;WgZGJBbL3le8i9GXRYGikwZw5Ly0FGxcMBDpGNqiDtATu9HFdDx+XPQu1D44IREJXQ1Bvsj8TSNF&#10;fNU0KCPTFafaYl5DXjdpLRZzKNsAvlPiUAb8QxUGlKVLj1QriMDeBvUXlVEiOHRNHAlnCtc0Ssis&#10;gdRMxn+oed2Bl1kLmYP+aBP+P1rxcrsOTNUVP33ImQVDPbp5f/X93aebr1+uP179+PYh7S8/M4qT&#10;Wb3HknKWdh0OJ/TrkJTvmmDSmzSxXTZ4fzRY7iITAygInTyanjyZJbriLs8HjM+kMyxtKo4xgGq7&#10;uHTWUhddmGR/Yfsc45B4m5Aute5caU04lNqyntTMpjPOBNBINRoibY0nkWhbzkC3NKsihsyITqs6&#10;ZadkDO1mqQPbQpqX/AwfdVDLAT2dETzMDUJ84eoBnoxvcdJ0oMn6fuNPNa8AuyEnhwaqCEo/tTWL&#10;e08diEGBbbU8WKQtMSXnB6/TbuPqfW5Bxmk48l2HQU7T9+s5Z9/9b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oDGtgAAAAJAQAADwAAAAAAAAABACAAAAAiAAAAZHJzL2Rvd25yZXYueG1sUEsB&#10;AhQAFAAAAAgAh07iQMjPyE/1AQAAtgMAAA4AAAAAAAAAAQAgAAAAJwEAAGRycy9lMm9Eb2MueG1s&#10;UEsFBgAAAAAGAAYAWQEAAI4FA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51424" behindDoc="0" locked="0" layoutInCell="1" allowOverlap="1">
                <wp:simplePos x="0" y="0"/>
                <wp:positionH relativeFrom="column">
                  <wp:posOffset>4070350</wp:posOffset>
                </wp:positionH>
                <wp:positionV relativeFrom="paragraph">
                  <wp:posOffset>231775</wp:posOffset>
                </wp:positionV>
                <wp:extent cx="0" cy="152400"/>
                <wp:effectExtent l="76200" t="0" r="57150" b="57150"/>
                <wp:wrapNone/>
                <wp:docPr id="94" name="直接箭头连接符 9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8.25pt;height:12pt;width:0pt;z-index:251751424;mso-width-relative:page;mso-height-relative:page;" filled="f" stroked="t" coordsize="21600,21600" o:gfxdata="UEsDBAoAAAAAAIdO4kAAAAAAAAAAAAAAAAAEAAAAZHJzL1BLAwQUAAAACACHTuJAYJBFltgAAAAJ&#10;AQAADwAAAGRycy9kb3ducmV2LnhtbE2PzU7DMBCE70i8g7VI3KgdoBaEOJWgQuRCJdqq4ujGS2wR&#10;r6PY/ePpMeIAt92d0ew31ezoe7bHMbpACoqJAIbUBuOoU7BePV/dAYtJk9F9IFRwwgiz+vys0qUJ&#10;B3rD/TJ1LIdQLLUCm9JQch5bi17HSRiQsvYRRq9TXseOm1Efcrjv+bUQknvtKH+wesAni+3ncucV&#10;pPn7ycpN+3jvFquXV+m+mqaZK3V5UYgHYAmP6c8MP/gZHerMtA07MpH1CuRtkbskBTdyCiwbfg/b&#10;PIgp8Lri/xvU31BLAwQUAAAACACHTuJAXn2Lp/YBAAC2AwAADgAAAGRycy9lMm9Eb2MueG1srVPN&#10;jtMwEL4j8Q6W7zRJtUVs1XQPLcuFn0rAA0xtJ7Hk2JbHNO1L8AJInIAT7GnvPA0sj8HY6Xb5uSFy&#10;sMffeD7PfDNZXOx7w3YqoHa25tWk5ExZ4aS2bc1fv7p88IgzjGAlGGdVzQ8K+cXy/r3F4Odq6jpn&#10;pAqMSCzOB1/zLkY/LwoUneoBJ84rS87GhR4iHUNbyAADsfemmJblw2JwQfrghEIkdD06+TLzN40S&#10;8UXToIrM1Jxyi3kNed2mtVguYN4G8J0WxzTgH7LoQVt69ES1hgjsTdB/UfVaBIeuiRPh+sI1jRYq&#10;10DVVOUf1bzswKtcC4mD/iQT/j9a8Xy3CUzLmp+fcWahpx7dvLv+/vbjzdWXbx+uf3x9n+zPnxj5&#10;SazB45xiVnYTjif0m5Aq3zehTzvVxPZZ4MNJYLWPTIygILSaTc/KrH1xF+cDxifK9SwZNccYQLdd&#10;XDlrqYsuVFlf2D3FSC9T4G1AetS6S21MbqaxbKBqZtMZZwJopBoDkczeU5FoW87AtDSrIobMiM5o&#10;maITD4Z2uzKB7SDNS/7GSx1INaLnM4LHuUGIz5wc4aq8xSm1I01O8zf+lPMasBtjsmukiqDNYytZ&#10;PHjqQAwabGtU8hGdsbQl5Uetk7V18pBbkHEajnzxOMhp+n495+i7323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CQRZbYAAAACQEAAA8AAAAAAAAAAQAgAAAAIgAAAGRycy9kb3ducmV2LnhtbFBL&#10;AQIUABQAAAAIAIdO4kBefYun9gEAALYDAAAOAAAAAAAAAAEAIAAAACc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p>
    <w:p>
      <w:pPr>
        <w:pStyle w:val="712"/>
        <w:jc w:val="center"/>
        <w:rPr>
          <w:rFonts w:cs="Arial"/>
          <w:bCs/>
          <w:snapToGrid w:val="0"/>
          <w:kern w:val="0"/>
          <w:szCs w:val="24"/>
          <w:lang w:eastAsia="zh-CN"/>
        </w:rPr>
      </w:pPr>
      <w:r>
        <w:rPr>
          <w:rFonts w:hint="eastAsia" w:cs="Arial"/>
          <w:bCs/>
          <w:kern w:val="0"/>
          <w:szCs w:val="24"/>
          <w:lang w:val="en-US" w:eastAsia="zh-CN"/>
        </w:rPr>
        <mc:AlternateContent>
          <mc:Choice Requires="wps">
            <w:drawing>
              <wp:anchor distT="0" distB="0" distL="114300" distR="114300" simplePos="0" relativeHeight="251753472" behindDoc="0" locked="0" layoutInCell="1" allowOverlap="1">
                <wp:simplePos x="0" y="0"/>
                <wp:positionH relativeFrom="column">
                  <wp:posOffset>4070350</wp:posOffset>
                </wp:positionH>
                <wp:positionV relativeFrom="paragraph">
                  <wp:posOffset>49530</wp:posOffset>
                </wp:positionV>
                <wp:extent cx="0" cy="171450"/>
                <wp:effectExtent l="76200" t="0" r="57150" b="57150"/>
                <wp:wrapNone/>
                <wp:docPr id="95" name="直接箭头连接符 9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3.9pt;height:13.5pt;width:0pt;z-index:251753472;mso-width-relative:page;mso-height-relative:page;" filled="f" stroked="t" coordsize="21600,21600" o:gfxdata="UEsDBAoAAAAAAIdO4kAAAAAAAAAAAAAAAAAEAAAAZHJzL1BLAwQUAAAACACHTuJAY/GShtcAAAAI&#10;AQAADwAAAGRycy9kb3ducmV2LnhtbE2Py07DMBBF90j8gzVI7KgTqEIJmVSCCpFNkWgRYunGQ2wR&#10;j6PYffH1GLEoy6s7unNONT+4XuxoDNYzQj7JQBC3XlvuEN7WT1czECEq1qr3TAhHCjCvz88qVWq/&#10;51farWIn0giHUiGYGIdSytAacipM/ECcuk8/OhVTHDupR7VP466X11lWSKcspw9GDfRoqP1abR1C&#10;XHwcTfHePtzZl/XzsrDfTdMsEC8v8uweRKRDPB3DL35ChzoxbfyWdRA9QjHNk0tEuE0Gqf/LG4Sb&#10;6QxkXcn/AvUPUEsDBBQAAAAIAIdO4kAqaSuV9QEAALYDAAAOAAAAZHJzL2Uyb0RvYy54bWytU82O&#10;0zAQviPxDpbvNE1FgY2a7qFlufBTCXiAqe0klhzbGpumfQleAIkTcGI57Z2ngeUxGDvdLj83RA72&#10;eMbzeb5vJovzfW/YTmHQzta8nEw5U1Y4qW1b89evLu494ixEsBKMs6rmBxX4+fLuncXgKzVznTNS&#10;ISMQG6rB17yL0VdFEUSneggT55WlYOOwh0hHbAuJMBB6b4rZdPqgGBxKj06oEMi7HoN8mfGbRon4&#10;ommCiszUnGqLecW8btNaLBdQtQi+0+JYBvxDFT1oS4+eoNYQgb1B/RdUrwW64Jo4Ea4vXNNooTIH&#10;YlNO/2DzsgOvMhcSJ/iTTOH/wYrnuw0yLWt+NufMQk89un539f3tx+svl98+XP34+j7Znz8xipNY&#10;gw8V5azsBo+n4DeYmO8b7NNOnNg+C3w4Caz2kYnRKchbPizvz7P2xW2exxCfKNezZNQ8RATddnHl&#10;rKUuOiyzvrB7GiK9TIk3CelR6y60MbmZxrIhsZkRHwE0Uo2BSGbviWSwLWdgWppVETEjBme0TNkJ&#10;J2C7XRlkO0jzkr/xUgdSjd6zObnHuQkQnzk5usvpjZ9KO8LkMn/DTzWvIXRjTg6NUBG0eWwliwdP&#10;HYiowbZGpRjBGUtbUn7UOllbJw+5BdlPw5EvHgc5Td+v55x9+7s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8ZKG1wAAAAgBAAAPAAAAAAAAAAEAIAAAACIAAABkcnMvZG93bnJldi54bWxQSwEC&#10;FAAUAAAACACHTuJAKmkrlfUBAAC2AwAADgAAAAAAAAABACAAAAAmAQAAZHJzL2Uyb0RvYy54bWxQ&#10;SwUGAAAAAAYABgBZAQAAjQ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55520" behindDoc="0" locked="0" layoutInCell="1" allowOverlap="1">
                <wp:simplePos x="0" y="0"/>
                <wp:positionH relativeFrom="column">
                  <wp:posOffset>4070350</wp:posOffset>
                </wp:positionH>
                <wp:positionV relativeFrom="paragraph">
                  <wp:posOffset>163195</wp:posOffset>
                </wp:positionV>
                <wp:extent cx="0" cy="161925"/>
                <wp:effectExtent l="76200" t="0" r="57150" b="47625"/>
                <wp:wrapNone/>
                <wp:docPr id="96" name="直接箭头连接符 96"/>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2.85pt;height:12.75pt;width:0pt;z-index:251755520;mso-width-relative:page;mso-height-relative:page;" filled="f" stroked="t" coordsize="21600,21600" o:gfxdata="UEsDBAoAAAAAAIdO4kAAAAAAAAAAAAAAAAAEAAAAZHJzL1BLAwQUAAAACACHTuJAZ8975NgAAAAJ&#10;AQAADwAAAGRycy9kb3ducmV2LnhtbE2PT0vEMBDF74LfIYzgzU1b3Kq10wVdxF4U3BXxmG3GJthM&#10;SpP956c34kGPb97jze/Vi4MbxI6mYD0j5LMMBHHnteUe4XX9cHENIkTFWg2eCeFIARbN6UmtKu33&#10;/EK7VexFKuFQKQQT41hJGTpDToWZH4mT9+Enp2KSUy/1pPap3A2yyLJSOmU5fTBqpHtD3edq6xDi&#10;8v1oyrfu7sY+rx+fSvvVtu0S8fwsz25BRDrEvzD84Cd0aBLTxm9ZBzEglJd52hIRivkViBT4PWwQ&#10;5nkBsqnl/wXNN1BLAwQUAAAACACHTuJAgnbDO/QBAAC2AwAADgAAAGRycy9lMm9Eb2MueG1srVPN&#10;jtMwEL4j8Q6W7zRNpVY0arqHLcuFn0rAA0xtJ7Hk2JbHNO1L8AJInIATcNo7TwPLYzB2ul1+bogc&#10;HPtz5pv5vpmsLg69YXsVUDtb83Iy5UxZ4aS2bc1fvbx68JAzjGAlGGdVzY8K+cX6/r3V4Cs1c50z&#10;UgVGJBarwde8i9FXRYGiUz3gxHll6bJxoYdIx9AWMsBA7L0pZtPpohhckD44oRAJ3YyXfJ35m0aJ&#10;+LxpUEVmak61xbyGvO7SWqxXULUBfKfFqQz4hyp60JaSnqk2EIG9Dvovql6L4NA1cSJcX7im0UJl&#10;DaSmnP6h5kUHXmUtZA76s034/2jFs/02MC1rvlxwZqGnHt28vf7+5sPNl8/f3l//+Pou7T99ZHRP&#10;Zg0eK4q5tNtwOqHfhqT80IQ+vUkTO2SDj2eD1SEyMYKC0HJRLmfzRFfcxfmA8bFyPUubmmMMoNsu&#10;XjprqYsulNlf2D/BOAbeBqSk1l1pYwiHylg2kJo5JWACaKQaA5G2vSeRaFvOwLQ0qyKGzIjOaJmi&#10;UzCGdndpAttDmpf8jB91INWILucEj3ODEJ86OcLl9BYnTSearO83/lTzBrAbY/LVSBVBm0dWsnj0&#10;1IEYNNjWqJNFxhJTcn70Ou12Th5zCzJOw5FznQY5Td+v5xx997u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nz3vk2AAAAAkBAAAPAAAAAAAAAAEAIAAAACIAAABkcnMvZG93bnJldi54bWxQSwEC&#10;FAAUAAAACACHTuJAgnbDO/QBAAC2AwAADgAAAAAAAAABACAAAAAnAQAAZHJzL2Uyb0RvYy54bWxQ&#10;SwUGAAAAAAYABgBZAQAAjQ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57568" behindDoc="0" locked="0" layoutInCell="1" allowOverlap="1">
                <wp:simplePos x="0" y="0"/>
                <wp:positionH relativeFrom="column">
                  <wp:posOffset>4070350</wp:posOffset>
                </wp:positionH>
                <wp:positionV relativeFrom="paragraph">
                  <wp:posOffset>248285</wp:posOffset>
                </wp:positionV>
                <wp:extent cx="0" cy="209550"/>
                <wp:effectExtent l="76200" t="0" r="57150" b="57150"/>
                <wp:wrapNone/>
                <wp:docPr id="97" name="直接箭头连接符 9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9.55pt;height:16.5pt;width:0pt;z-index:251757568;mso-width-relative:page;mso-height-relative:page;" filled="f" stroked="t" coordsize="21600,21600" o:gfxdata="UEsDBAoAAAAAAIdO4kAAAAAAAAAAAAAAAAAEAAAAZHJzL1BLAwQUAAAACACHTuJApvT9+tkAAAAJ&#10;AQAADwAAAGRycy9kb3ducmV2LnhtbE2PzU7DMBCE70i8g7VI3KjjggIN2VSCCpELSLQIcXTjJbGI&#10;11Hs/vH0NeoBjrMzmv2mnO9dL7Y0BusZQU0yEMSNN5ZbhPfV09UdiBA1G917JoQDBZhX52elLozf&#10;8Rttl7EVqYRDoRG6GIdCytB05HSY+IE4eV9+dDomObbSjHqXyl0vp1mWS6ctpw+dHuixo+Z7uXEI&#10;cfF56PKP5mFmX1fPL7n9qet6gXh5obJ7EJH28S8Mv/gJHarEtPYbNkH0CPmNSlsiwvVMgUiB02GN&#10;cDtVIKtS/l9QHQFQSwMEFAAAAAgAh07iQMILkZr1AQAAtgMAAA4AAABkcnMvZTJvRG9jLnhtbK1T&#10;Ta7TMBDeI3EHy3uatFKAVk3fouWx4acScICp7SSWHNvymKa9BBdAYgWsgNXbcxp4HIOx09fHzw6R&#10;hT3+xvN55pvJ8uLQG7ZXAbWzNZ9OSs6UFU5q29b81cvLew85wwhWgnFW1fyokF+s7t5ZDn6hZq5z&#10;RqrAiMTiYvA172L0i6JA0akecOK8suRsXOgh0jG0hQwwEHtvillZ3i8GF6QPTihEQjejk68yf9Mo&#10;EZ83DarITM0pt5jXkNddWovVEhZtAN9pcUoD/iGLHrSlR89UG4jAXgf9F1WvRXDomjgRri9c02ih&#10;cg1UzbT8o5oXHXiVayFx0J9lwv9HK57tt4FpWfP5A84s9NSj67dX3998uP7y+dv7qx9f3yX700dG&#10;fhJr8LigmLXdhtMJ/Takyg9N6NNONbFDFvh4FlgdIhMjKAidlfOqytoXt3E+YHysXM+SUXOMAXTb&#10;xbWzlrrowjTrC/snGOllCrwJSI9ad6mNyc00lg1UTTWrOBNAI9UYiGT2nopE23IGpqVZFTFkRnRG&#10;yxSdeDC0u7UJbA9pXvI3XupAqhGdVwSPc4MQnzo5wtPyBqfUTjQ5zd/4U84bwG6Mya6RKoI2j6xk&#10;8eipAzFosK1RyUd0xtKWlB+1TtbOyWNuQcZpOPLF0yCn6fv1nKNvf7f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b0/frZAAAACQEAAA8AAAAAAAAAAQAgAAAAIgAAAGRycy9kb3ducmV2LnhtbFBL&#10;AQIUABQAAAAIAIdO4kDCC5Ga9QEAALYDAAAOAAAAAAAAAAEAIAAAACg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59616" behindDoc="0" locked="0" layoutInCell="1" allowOverlap="1">
                <wp:simplePos x="0" y="0"/>
                <wp:positionH relativeFrom="column">
                  <wp:posOffset>4070350</wp:posOffset>
                </wp:positionH>
                <wp:positionV relativeFrom="paragraph">
                  <wp:posOffset>104140</wp:posOffset>
                </wp:positionV>
                <wp:extent cx="0" cy="180975"/>
                <wp:effectExtent l="76200" t="0" r="57150" b="47625"/>
                <wp:wrapNone/>
                <wp:docPr id="98" name="直接箭头连接符 9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8.2pt;height:14.25pt;width:0pt;z-index:251759616;mso-width-relative:page;mso-height-relative:page;" filled="f" stroked="t" coordsize="21600,21600" o:gfxdata="UEsDBAoAAAAAAIdO4kAAAAAAAAAAAAAAAAAEAAAAZHJzL1BLAwQUAAAACACHTuJAM0O1idcAAAAJ&#10;AQAADwAAAGRycy9kb3ducmV2LnhtbE2PT0vEMBDF74LfIYzgzU0rJbjdpgu6iL0ouCuyx2wztsFm&#10;UprsPz+9Ix70OO893vxetTz5QRxwii6QhnyWgUBqg3XUaXjbPN7cgYjJkDVDINRwxgjL+vKiMqUN&#10;R3rFwzp1gksolkZDn9JYShnbHr2JszAisfcRJm8Sn1Mn7WSOXO4HeZtlSnrjiD/0ZsSHHtvP9d5r&#10;SKvtuVfv7f3cvWyenpX7appmpfX1VZ4tQCQ8pb8w/OAzOtTMtAt7slEMGlSR85bEhipAcOBX2Gko&#10;ijnIupL/F9TfUEsDBBQAAAAIAIdO4kBVXIzO9AEAALYDAAAOAAAAZHJzL2Uyb0RvYy54bWytU82O&#10;0zAQviPxDpbvNGmlwm7UdA8ty4WfSsADTB0nseQ/jU3TvgQvgMQJOMGe9s7TwPIYjJ1ul58bIgfH&#10;/ibzeb5vJouLvdFsJzEoZ2s+nZScSStco2xX89evLh+ccRYi2Aa0s7LmBxn4xfL+vcXgKzlzvdON&#10;REYkNlSDr3kfo6+KIoheGggT56WlYOvQQKQjdkWDMBC70cWsLB8Wg8PGoxMyBELXY5AvM3/bShFf&#10;tG2QkemaU20xr5jXbVqL5QKqDsH3ShzLgH+owoCydOmJag0R2BtUf1EZJdAF18aJcKZwbauEzBpI&#10;zbT8Q83LHrzMWsic4E82hf9HK57vNshUU/Nz6pQFQz26eXf9/e3Hm6sv3z5c//j6Pu0/f2IUJ7MG&#10;HyrKWdkNHk/BbzAp37do0ps0sX02+HAyWO4jEyMoCJ2eleeP5omuuMvzGOIT6QxLm5qHiKC6Pq6c&#10;tdRFh9PsL+yehjgm3iakS627VFoTDpW2bCA189mcMwE0Uq2GSFvjSWSwHWegO5pVETEzBqdVk7JT&#10;csBuu9LIdpDmJT/jRz00ckTP5wSPcxMgPnPNCE/LW5w0HWmyvt/4U81rCP2Yk0MjVQSlH9uGxYOn&#10;DkRUYDstjxZpS0zJ+dHrtNu65pBbkHEajnzXcZDT9P16ztl3v9v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NDtYnXAAAACQEAAA8AAAAAAAAAAQAgAAAAIgAAAGRycy9kb3ducmV2LnhtbFBLAQIU&#10;ABQAAAAIAIdO4kBVXIzO9AEAALYDAAAOAAAAAAAAAAEAIAAAACYBAABkcnMvZTJvRG9jLnhtbFBL&#10;BQYAAAAABgAGAFkBAACM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hint="eastAsia" w:cs="Arial"/>
          <w:bCs/>
          <w:kern w:val="0"/>
          <w:szCs w:val="24"/>
          <w:lang w:val="en-US" w:eastAsia="zh-CN"/>
        </w:rPr>
        <mc:AlternateContent>
          <mc:Choice Requires="wps">
            <w:drawing>
              <wp:anchor distT="0" distB="0" distL="114300" distR="114300" simplePos="0" relativeHeight="251761664" behindDoc="0" locked="0" layoutInCell="1" allowOverlap="1">
                <wp:simplePos x="0" y="0"/>
                <wp:positionH relativeFrom="column">
                  <wp:posOffset>4070350</wp:posOffset>
                </wp:positionH>
                <wp:positionV relativeFrom="paragraph">
                  <wp:posOffset>189230</wp:posOffset>
                </wp:positionV>
                <wp:extent cx="0" cy="171450"/>
                <wp:effectExtent l="76200" t="0" r="57150" b="57150"/>
                <wp:wrapNone/>
                <wp:docPr id="99" name="直接箭头连接符 99"/>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4.9pt;height:13.5pt;width:0pt;z-index:251761664;mso-width-relative:page;mso-height-relative:page;" filled="f" stroked="t" coordsize="21600,21600" o:gfxdata="UEsDBAoAAAAAAIdO4kAAAAAAAAAAAAAAAAAEAAAAZHJzL1BLAwQUAAAACACHTuJABhvP5tgAAAAJ&#10;AQAADwAAAGRycy9kb3ducmV2LnhtbE2PTU/DMAyG70j8h8hI3FjaCaKt1J0EE6IXJrEhxDFrQxPR&#10;OFWTffHrZ8QBjrZfvX6ecnH0vdibMbpACPkkA2GoCa2jDuFt83QzAxGTplb3gQzCyURYVJcXpS7a&#10;cKBXs1+nTnAJxUIj2JSGQsrYWON1nITBEN8+w+h14nHsZDvqA5f7Xk6zTEmvHfEHqwfzaE3ztd55&#10;hLT8OFn13jzM3Wrz/KLcd13XS8Trqzy7B5HMMf2F4Qef0aFipm3YURtFj6Buc3ZJCNM5K3Dgd7FF&#10;uFMzkFUp/xtUZ1BLAwQUAAAACACHTuJAgHsGvvYBAAC2AwAADgAAAGRycy9lMm9Eb2MueG1srVNL&#10;jhMxEN0jcQfLe9LpiACJ0plFwrDhEwnmABXb3W3JbVsuk04uwQWQWAErhtXsOQ3MHIOyO5Phs0P0&#10;wi6/cj1XvapenO07w3YqoHa24uVozJmywkltm4pfvDl/8IQzjGAlGGdVxQ8K+dny/r1F7+dq4lpn&#10;pAqMSCzOe1/xNkY/LwoUreoAR84rS87ahQ4iHUNTyAA9sXemmIzHj4reBemDEwqR0PXg5MvMX9dK&#10;xFd1jSoyU3HKLeY15HWb1mK5gHkTwLdaHNOAf8iiA23p0RPVGiKwt0H/RdVpERy6Oo6E6wpX11qo&#10;XANVU47/qOZ1C17lWkgc9CeZ8P/Ripe7TWBaVnw248xCRz26fn/1492n66+X3z9e3Xz7kOwvnxn5&#10;Saze45xiVnYTjif0m5Aq39ehSzvVxPZZ4MNJYLWPTAygILR8XD6cZu2LuzgfMD5TrmPJqDjGALpp&#10;48pZS110ocz6wu45RnqZAm8D0qPWnWtjcjONZT1VM51MORNAI1UbiGR2nopE23AGpqFZFTFkRnRG&#10;yxSdeDA025UJbAdpXvI3XGpBqgGdTQke5gYhvnBygMvxLU6pHWlymr/xp5zXgO0Qk10DVQRtnlrJ&#10;4sFTB2LQYBujko/ojKUtKT9onaytk4fcgozTcOSLx0FO0/frOUff/W7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Ybz+bYAAAACQEAAA8AAAAAAAAAAQAgAAAAIgAAAGRycy9kb3ducmV2LnhtbFBL&#10;AQIUABQAAAAIAIdO4kCAewa+9gEAALYDAAAOAAAAAAAAAAEAIAAAACc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63712" behindDoc="0" locked="0" layoutInCell="1" allowOverlap="1">
                <wp:simplePos x="0" y="0"/>
                <wp:positionH relativeFrom="column">
                  <wp:posOffset>4070350</wp:posOffset>
                </wp:positionH>
                <wp:positionV relativeFrom="paragraph">
                  <wp:posOffset>45085</wp:posOffset>
                </wp:positionV>
                <wp:extent cx="0" cy="180975"/>
                <wp:effectExtent l="76200" t="0" r="57150" b="47625"/>
                <wp:wrapNone/>
                <wp:docPr id="100" name="直接箭头连接符 1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3.55pt;height:14.25pt;width:0pt;z-index:251763712;mso-width-relative:page;mso-height-relative:page;" filled="f" stroked="t" coordsize="21600,21600" o:gfxdata="UEsDBAoAAAAAAIdO4kAAAAAAAAAAAAAAAAAEAAAAZHJzL1BLAwQUAAAACACHTuJACLlYktcAAAAI&#10;AQAADwAAAGRycy9kb3ducmV2LnhtbE2PS0/DMBCE70j8B2uRuFEnPFII2VSCCpFLkWgrxNGNl9gi&#10;Xkex++LXY8QBjqMZzXxTzQ6uFzsag/WMkE8yEMSt15Y7hPXq6eIWRIiKteo9E8KRAszq05NKldrv&#10;+ZV2y9iJVMKhVAgmxqGUMrSGnAoTPxAn78OPTsUkx07qUe1TuevlZZYV0inLacGogR4NtZ/LrUOI&#10;8/ejKd7ahzv7snpeFParaZo54vlZnt2DiHSIf2H4wU/oUCemjd+yDqJHKK7z9CUiTHMQyf/VG4Sr&#10;mwJkXcn/B+pvUEsDBBQAAAAIAIdO4kBuAdRM9QEAALgDAAAOAAAAZHJzL2Uyb0RvYy54bWytU82O&#10;0zAQviPxDpbvNGmlwm7UdA8ty4WfSsADTB0nseQ/jU3TvgQvgMQJOMGe9s7TwPIYjJ1ul58bIgdn&#10;/Dnzeb5vJouLvdFsJzEoZ2s+nZScSStco2xX89evLh+ccRYi2Aa0s7LmBxn4xfL+vcXgKzlzvdON&#10;REYkNlSDr3kfo6+KIoheGggT56Wlw9ahgUhb7IoGYSB2o4tZWT4sBoeNRydkCISux0O+zPxtK0V8&#10;0bZBRqZrTrXFvGJet2ktlguoOgTfK3EsA/6hCgPK0qUnqjVEYG9Q/UVllEAXXBsnwpnCta0SMmsg&#10;NdPyDzUve/AyayFzgj/ZFP4frXi+2yBTDfWuJH8sGGrSzbvr728/3lx9+fbh+sfX9yn+/ImlD8iu&#10;wYeKslZ2g8dd8BtM2vctmvQmVWyfLT6cLJb7yMQICkKnZ+X5o3miK+7yPIb4RDrDUlDzEBFU18eV&#10;s5b66HCaHYbd0xDHxNuEdKl1l0prwqHSlg01P5/P5pwJoKFqNUQKjSeZwXacge5oWkXEzBicVk3K&#10;TskBu+1KI9tBmpj8jB/10MgRPZ8TPE5OgPjMNSM8LW9x0nSkyfp+4081ryH0Y04+GqkiKP3YNiwe&#10;PLUgogLbaXm0SFtiSs6PXqdo65pDbkHGaTzyXcdRTvP36z5n3/1w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IuViS1wAAAAgBAAAPAAAAAAAAAAEAIAAAACIAAABkcnMvZG93bnJldi54bWxQSwEC&#10;FAAUAAAACACHTuJAbgHUTPUBAAC4AwAADgAAAAAAAAABACAAAAAmAQAAZHJzL2Uyb0RvYy54bWxQ&#10;SwUGAAAAAAYABgBZAQAAjQU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r>
        <w:rPr>
          <w:rFonts w:cs="Arial"/>
          <w:bCs/>
          <w:kern w:val="0"/>
          <w:szCs w:val="24"/>
          <w:lang w:val="en-US" w:eastAsia="zh-CN"/>
        </w:rPr>
        <mc:AlternateContent>
          <mc:Choice Requires="wps">
            <w:drawing>
              <wp:anchor distT="0" distB="0" distL="114300" distR="114300" simplePos="0" relativeHeight="251765760" behindDoc="0" locked="0" layoutInCell="1" allowOverlap="1">
                <wp:simplePos x="0" y="0"/>
                <wp:positionH relativeFrom="column">
                  <wp:posOffset>4070350</wp:posOffset>
                </wp:positionH>
                <wp:positionV relativeFrom="paragraph">
                  <wp:posOffset>149225</wp:posOffset>
                </wp:positionV>
                <wp:extent cx="0" cy="190500"/>
                <wp:effectExtent l="76200" t="0" r="57150" b="57150"/>
                <wp:wrapNone/>
                <wp:docPr id="101" name="直接箭头连接符 10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0.5pt;margin-top:11.75pt;height:15pt;width:0pt;z-index:251765760;mso-width-relative:page;mso-height-relative:page;" filled="f" stroked="t" coordsize="21600,21600" o:gfxdata="UEsDBAoAAAAAAIdO4kAAAAAAAAAAAAAAAAAEAAAAZHJzL1BLAwQUAAAACACHTuJAC+PZIdgAAAAJ&#10;AQAADwAAAGRycy9kb3ducmV2LnhtbE2PzU7DMBCE70i8g7VI3KiTQiMI2VSCCpFLkWgR4ujGS2wR&#10;r6PY/ePpa8QBjjs7mvmmmh9cL3Y0BusZIZ9kIIhbry13CG/rp6tbECEq1qr3TAhHCjCvz88qVWq/&#10;51farWInUgiHUiGYGIdSytAacipM/ECcfp9+dCqmc+ykHtU+hbteTrOskE5ZTg1GDfRoqP1abR1C&#10;XHwcTfHePtzZl/XzsrDfTdMsEC8v8uweRKRD/DPDD35ChzoxbfyWdRA9QnGTpy0RYXo9A5EMv8IG&#10;YZYEWVfy/4L6BFBLAwQUAAAACACHTuJAFkUqr/YBAAC4AwAADgAAAGRycy9lMm9Eb2MueG1srVPN&#10;jtMwEL4j8Q6W7zRJpSJaNd1Dy3LhpxLwAFPbSSw5tuUxTfsSvAASJ+AEnPa+TwPLYzB2ul1+bogc&#10;7PGM5/N830yWF4fesL0KqJ2teTUpOVNWOKltW/PXry4fPOIMI1gJxllV86NCfrG6f285+IWaus4Z&#10;qQIjEIuLwde8i9EvigJFp3rAifPKUrBxoYdIx9AWMsBA6L0ppmX5sBhckD44oRDJuxmDfJXxm0aJ&#10;+KJpUEVmak61xbyGvO7SWqyWsGgD+E6LUxnwD1X0oC09eobaQAT2Jui/oHotgkPXxIlwfeGaRguV&#10;ORCbqvyDzcsOvMpcSBz0Z5nw/8GK5/ttYFpS78qKMws9Nenm3dX3tx9vvn759uHqx/X7ZH/+xNIF&#10;kmvwuKCstd2G0wn9NiTuhyb0aSdW7JAlPp4lVofIxOgU5K3m5azM6hd3eT5gfKJcz5JRc4wBdNvF&#10;tbOW+uhClRWG/VOM9DIl3iakR6271MbkdhrLhprPZ9MZZwJoqBoDkczeE020LWdgWppWEUNGRGe0&#10;TNkJB0O7W5vA9pAmJn/jpQ6kGr1zKv00OQjxmZOju0qUbjmdYHKZv+GnmjeA3ZiTQ+MQRtDmsZUs&#10;Hj21IAYNtjUqxYipsbQl5Uetk7Vz8phbkP00HvniaZTT/P16ztl3P9z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vj2SHYAAAACQEAAA8AAAAAAAAAAQAgAAAAIgAAAGRycy9kb3ducmV2LnhtbFBL&#10;AQIUABQAAAAIAIdO4kAWRSqv9gEAALgDAAAOAAAAAAAAAAEAIAAAACcBAABkcnMvZTJvRG9jLnht&#10;bFBLBQYAAAAABgAGAFkBAACPBQAAAAA=&#10;">
                <v:fill on="f" focussize="0,0"/>
                <v:stroke color="#000000 [3200]" joinstyle="round" endarrow="block"/>
                <v:imagedata o:title=""/>
                <o:lock v:ext="edit" aspectratio="f"/>
              </v:shape>
            </w:pict>
          </mc:Fallback>
        </mc:AlternateContent>
      </w:r>
    </w:p>
    <w:p>
      <w:pPr>
        <w:pStyle w:val="712"/>
        <w:jc w:val="center"/>
        <w:rPr>
          <w:rFonts w:cs="Arial"/>
          <w:bCs/>
          <w:snapToGrid w:val="0"/>
          <w:kern w:val="0"/>
          <w:szCs w:val="24"/>
          <w:lang w:eastAsia="zh-CN"/>
        </w:rPr>
      </w:pPr>
    </w:p>
    <w:p>
      <w:pPr>
        <w:pStyle w:val="712"/>
        <w:spacing w:line="480" w:lineRule="exact"/>
        <w:jc w:val="center"/>
        <w:rPr>
          <w:rFonts w:cs="Arial"/>
          <w:bCs/>
          <w:snapToGrid w:val="0"/>
          <w:kern w:val="0"/>
          <w:szCs w:val="24"/>
          <w:lang w:eastAsia="zh-CN"/>
        </w:rPr>
      </w:pPr>
      <w:r>
        <w:rPr>
          <w:rFonts w:ascii="Times New Roman" w:hAnsi="Times New Roman" w:cs="Times New Roman"/>
          <w:b/>
          <w:spacing w:val="0"/>
          <w:lang w:eastAsia="zh-CN"/>
        </w:rPr>
        <w:t>图4-</w:t>
      </w:r>
      <w:r>
        <w:rPr>
          <w:rFonts w:hint="eastAsia" w:ascii="Times New Roman" w:hAnsi="Times New Roman" w:cs="Times New Roman"/>
          <w:b/>
          <w:spacing w:val="0"/>
          <w:lang w:eastAsia="zh-CN"/>
        </w:rPr>
        <w:t>2项目VD炉作业流程图</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②VD炉工艺流程说明：</w:t>
      </w:r>
    </w:p>
    <w:p>
      <w:pPr>
        <w:pStyle w:val="712"/>
        <w:spacing w:line="480" w:lineRule="exact"/>
        <w:rPr>
          <w:rFonts w:ascii="Times New Roman" w:hAnsi="Times New Roman" w:cs="Times New Roman"/>
          <w:spacing w:val="0"/>
          <w:lang w:val="en-US" w:eastAsia="zh-CN"/>
        </w:rPr>
      </w:pPr>
      <w:r>
        <w:rPr>
          <w:rFonts w:ascii="Times New Roman" w:hAnsi="Times New Roman" w:cs="Times New Roman"/>
          <w:spacing w:val="0"/>
          <w:szCs w:val="24"/>
        </w:rPr>
        <w:t>桥式起重机将 LF 炉精炼后的的钢水包吊入 VD 炉真空罐内，盖车开到真空处理工位,同时进行测温取样。而后，真空罐盖下降至真空罐上，并合上罐盖。启动真空泵进行抽真空，进入高真空脱气处理，待处理结束后，关闭真空主阀→破空→提升包盖→测温取样→真空盖车开到待机位→合金微调（喂丝）→停止吹氩→行吊将钢包吊运至连铸工位</w:t>
      </w:r>
      <w:r>
        <w:rPr>
          <w:rFonts w:ascii="Times New Roman" w:hAnsi="Times New Roman" w:cs="Times New Roman"/>
          <w:spacing w:val="0"/>
          <w:lang w:val="en-US" w:eastAsia="zh-CN"/>
        </w:rPr>
        <w:t>。</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eastAsia="宋体"/>
          <w:bCs/>
          <w:snapToGrid w:val="0"/>
          <w:kern w:val="0"/>
          <w:sz w:val="24"/>
          <w:szCs w:val="24"/>
        </w:rPr>
        <w:t>根据可研报告，约3万t/a的产品需要进行VD炉精炼，VD炉抽真空产生的精炼废气接入现有电炉除尘系统主烟道，经布袋除尘器除尘后通过现有30m高排气筒(DA001)排放。</w:t>
      </w:r>
    </w:p>
    <w:p>
      <w:pPr>
        <w:adjustRightInd w:val="0"/>
        <w:snapToGrid w:val="0"/>
        <w:spacing w:line="480" w:lineRule="exact"/>
        <w:ind w:firstLine="486" w:firstLineChars="200"/>
        <w:jc w:val="left"/>
        <w:textAlignment w:val="baseline"/>
        <w:rPr>
          <w:rFonts w:eastAsia="宋体"/>
          <w:bCs/>
          <w:snapToGrid w:val="0"/>
          <w:kern w:val="0"/>
          <w:sz w:val="24"/>
          <w:szCs w:val="24"/>
        </w:rPr>
      </w:pPr>
      <w:r>
        <w:rPr>
          <w:rFonts w:hint="eastAsia" w:eastAsia="宋体"/>
          <w:bCs/>
          <w:snapToGrid w:val="0"/>
          <w:kern w:val="0"/>
          <w:sz w:val="24"/>
          <w:szCs w:val="24"/>
        </w:rPr>
        <w:t xml:space="preserve"> (3)连铸</w:t>
      </w:r>
      <w:r>
        <w:rPr>
          <w:rFonts w:eastAsia="宋体"/>
          <w:bCs/>
          <w:snapToGrid w:val="0"/>
          <w:kern w:val="0"/>
          <w:sz w:val="24"/>
          <w:szCs w:val="24"/>
        </w:rPr>
        <w:t>生产工艺</w:t>
      </w:r>
    </w:p>
    <w:p>
      <w:pPr>
        <w:pStyle w:val="712"/>
        <w:spacing w:line="440" w:lineRule="exact"/>
        <w:rPr>
          <w:rFonts w:ascii="Times New Roman" w:hAnsi="Times New Roman" w:cs="Times New Roman"/>
          <w:spacing w:val="0"/>
          <w:lang w:val="en-US" w:eastAsia="zh-CN"/>
        </w:rPr>
      </w:pPr>
      <w:r>
        <w:rPr>
          <w:rFonts w:ascii="Times New Roman" w:hAnsi="Times New Roman" w:cs="Times New Roman"/>
          <w:spacing w:val="0"/>
          <w:lang w:val="en-US" w:eastAsia="zh-CN"/>
        </w:rPr>
        <w:t>项目</w:t>
      </w:r>
      <w:r>
        <w:rPr>
          <w:rFonts w:hint="eastAsia" w:ascii="Times New Roman" w:hAnsi="Times New Roman" w:cs="Times New Roman"/>
          <w:spacing w:val="0"/>
          <w:lang w:val="en-US" w:eastAsia="zh-CN"/>
        </w:rPr>
        <w:t>连铸</w:t>
      </w:r>
      <w:r>
        <w:rPr>
          <w:rFonts w:ascii="Times New Roman" w:hAnsi="Times New Roman" w:cs="Times New Roman"/>
          <w:spacing w:val="0"/>
          <w:lang w:val="en-US" w:eastAsia="zh-CN"/>
        </w:rPr>
        <w:t>生产工艺流程详见图4-</w:t>
      </w:r>
      <w:r>
        <w:rPr>
          <w:rFonts w:hint="eastAsia" w:ascii="Times New Roman" w:hAnsi="Times New Roman" w:cs="Times New Roman"/>
          <w:spacing w:val="0"/>
          <w:lang w:val="en-US" w:eastAsia="zh-CN"/>
        </w:rPr>
        <w:t>4</w:t>
      </w:r>
      <w:r>
        <w:rPr>
          <w:rFonts w:ascii="Times New Roman" w:hAnsi="Times New Roman" w:cs="Times New Roman"/>
          <w:spacing w:val="0"/>
          <w:lang w:val="en-US" w:eastAsia="zh-CN"/>
        </w:rPr>
        <w:t>。</w:t>
      </w:r>
    </w:p>
    <w:p>
      <w:pPr>
        <w:pStyle w:val="4"/>
        <w:ind w:firstLine="0"/>
        <w:jc w:val="center"/>
      </w:pPr>
      <w:r>
        <w:object>
          <v:shape id="_x0000_i1036" o:spt="75" type="#_x0000_t75" style="height:465.75pt;width:310.5pt;" o:ole="t" filled="f" o:preferrelative="t" stroked="f" coordsize="21600,21600">
            <v:path/>
            <v:fill on="f" focussize="0,0"/>
            <v:stroke on="f" joinstyle="miter"/>
            <v:imagedata r:id="rId50" o:title=""/>
            <o:lock v:ext="edit" aspectratio="t"/>
            <w10:wrap type="none"/>
            <w10:anchorlock/>
          </v:shape>
          <o:OLEObject Type="Embed" ProgID="Visio.Drawing.11" ShapeID="_x0000_i1036" DrawAspect="Content" ObjectID="_1468075736" r:id="rId49">
            <o:LockedField>false</o:LockedField>
          </o:OLEObject>
        </w:object>
      </w:r>
    </w:p>
    <w:p>
      <w:pPr>
        <w:pStyle w:val="4"/>
        <w:ind w:firstLine="0"/>
        <w:jc w:val="center"/>
        <w:rPr>
          <w:rFonts w:ascii="Times New Roman" w:hAnsi="Times New Roman" w:cs="Times New Roman"/>
          <w:b/>
          <w:spacing w:val="0"/>
          <w:lang w:val="zh-CN"/>
        </w:rPr>
      </w:pPr>
      <w:r>
        <w:rPr>
          <w:rFonts w:ascii="Times New Roman" w:hAnsi="Times New Roman" w:cs="Times New Roman"/>
          <w:b/>
          <w:spacing w:val="0"/>
          <w:lang w:val="zh-CN"/>
        </w:rPr>
        <w:t>图</w:t>
      </w:r>
      <w:r>
        <w:rPr>
          <w:rFonts w:hint="eastAsia" w:ascii="Times New Roman" w:hAnsi="Times New Roman" w:cs="Times New Roman"/>
          <w:b/>
          <w:spacing w:val="0"/>
          <w:lang w:val="zh-CN"/>
        </w:rPr>
        <w:t>4-4</w:t>
      </w:r>
      <w:r>
        <w:rPr>
          <w:rFonts w:ascii="Times New Roman" w:hAnsi="Times New Roman" w:cs="Times New Roman"/>
          <w:b/>
          <w:spacing w:val="0"/>
          <w:lang w:val="zh-CN"/>
        </w:rPr>
        <w:t xml:space="preserve">  </w:t>
      </w:r>
      <w:r>
        <w:rPr>
          <w:rFonts w:hint="eastAsia" w:ascii="Times New Roman" w:hAnsi="Times New Roman" w:cs="Times New Roman"/>
          <w:b/>
          <w:spacing w:val="0"/>
          <w:lang w:val="zh-CN"/>
        </w:rPr>
        <w:t>连铸</w:t>
      </w:r>
      <w:r>
        <w:rPr>
          <w:rFonts w:ascii="Times New Roman" w:hAnsi="Times New Roman" w:cs="Times New Roman"/>
          <w:b/>
          <w:spacing w:val="0"/>
          <w:lang w:val="zh-CN"/>
        </w:rPr>
        <w:t>生产工艺流程图</w:t>
      </w:r>
    </w:p>
    <w:p>
      <w:pPr>
        <w:spacing w:line="480" w:lineRule="exact"/>
        <w:ind w:firstLine="486" w:firstLineChars="200"/>
        <w:rPr>
          <w:rFonts w:eastAsiaTheme="minorEastAsia"/>
          <w:b/>
          <w:sz w:val="24"/>
        </w:rPr>
      </w:pPr>
      <w:r>
        <w:rPr>
          <w:rFonts w:hint="eastAsia" w:eastAsiaTheme="minorEastAsia"/>
          <w:b/>
          <w:sz w:val="24"/>
        </w:rPr>
        <w:t>连铸</w:t>
      </w:r>
      <w:r>
        <w:rPr>
          <w:rFonts w:eastAsiaTheme="minorEastAsia"/>
          <w:b/>
          <w:sz w:val="24"/>
        </w:rPr>
        <w:t>工艺说明：</w:t>
      </w:r>
    </w:p>
    <w:p>
      <w:pPr>
        <w:spacing w:line="480" w:lineRule="exact"/>
        <w:ind w:firstLine="486" w:firstLineChars="200"/>
        <w:rPr>
          <w:rFonts w:eastAsiaTheme="minorEastAsia"/>
          <w:sz w:val="24"/>
        </w:rPr>
      </w:pPr>
      <w:r>
        <w:rPr>
          <w:rFonts w:eastAsiaTheme="minorEastAsia"/>
          <w:sz w:val="24"/>
        </w:rPr>
        <w:t>电炉钢水出钢后，经合金微调、LF、VD等精炼装置进行处理，处理后温度和成分合格的钢水由接收跨行车吊运至连铸机钢包回转台上，回转台旋转180°将钢包置于中间罐上方(中间罐采用天然气燃烧加热保温)。与此同时，中间罐车就位，其他浇铸准备工作应进行完毕，连铸机各环节处于等待浇铸状态。</w:t>
      </w:r>
    </w:p>
    <w:p>
      <w:pPr>
        <w:spacing w:line="480" w:lineRule="exact"/>
        <w:ind w:firstLine="486" w:firstLineChars="200"/>
        <w:rPr>
          <w:rFonts w:eastAsiaTheme="minorEastAsia"/>
          <w:sz w:val="24"/>
        </w:rPr>
      </w:pPr>
      <w:r>
        <w:rPr>
          <w:rFonts w:eastAsiaTheme="minorEastAsia"/>
          <w:sz w:val="24"/>
        </w:rPr>
        <w:t>开启钢包滑动水口，钢水经保护套管流入充满氩气的中间罐内，待中间罐内钢水达到一定高度液位时，加入保温剂。当钢水液面到达开浇液位时，中间罐塞棒打开，开始浇铸，钢水通过浸入式水口流入结晶器内。</w:t>
      </w:r>
    </w:p>
    <w:p>
      <w:pPr>
        <w:spacing w:line="480" w:lineRule="exact"/>
        <w:ind w:firstLine="486" w:firstLineChars="200"/>
        <w:rPr>
          <w:rFonts w:eastAsiaTheme="minorEastAsia"/>
          <w:sz w:val="24"/>
        </w:rPr>
      </w:pPr>
      <w:r>
        <w:rPr>
          <w:rFonts w:eastAsiaTheme="minorEastAsia"/>
          <w:sz w:val="24"/>
        </w:rPr>
        <w:t>钢水在结晶器内上升，钢液面超过浸入式水口的流出孔后，开始加入保护渣。当液面达到一定高度后，操作工开始提升拉速，并保持液面的稳定。启动结晶器振动机构，同时拉桥机和二次冷却系统自动投入运行，整个连铸机处于浇铸工作状态。</w:t>
      </w:r>
    </w:p>
    <w:p>
      <w:pPr>
        <w:spacing w:line="480" w:lineRule="exact"/>
        <w:ind w:firstLine="486" w:firstLineChars="200"/>
        <w:rPr>
          <w:rFonts w:eastAsiaTheme="minorEastAsia"/>
          <w:sz w:val="24"/>
        </w:rPr>
      </w:pPr>
      <w:r>
        <w:rPr>
          <w:rFonts w:eastAsiaTheme="minorEastAsia"/>
          <w:sz w:val="24"/>
        </w:rPr>
        <w:t>钢坯在引锭杆引导下经二次冷却各段进入拉矫机，铸坯被矫直。当引锭杆全部离开拉矫机后，脱引锭装置在跟踪系统的指示下将引锭杆与铸坯脱开。引锭杆被辊道快速拉入切割区。</w:t>
      </w:r>
    </w:p>
    <w:p>
      <w:pPr>
        <w:spacing w:line="480" w:lineRule="exact"/>
        <w:ind w:firstLine="486" w:firstLineChars="200"/>
        <w:rPr>
          <w:rFonts w:eastAsiaTheme="minorEastAsia"/>
          <w:sz w:val="24"/>
        </w:rPr>
      </w:pPr>
      <w:r>
        <w:rPr>
          <w:rFonts w:eastAsiaTheme="minorEastAsia"/>
          <w:sz w:val="24"/>
        </w:rPr>
        <w:t>火焰切割机分别对铸坯头部、铸坯以及试样进行切割，切头切尾掉入收集台车上的收集斗内。被切割成定尺的铸坯经运输辊道上并去毛刺机出处理(去毛刺产生废金属渣)，处理后铸坯经出坯辊道称重、打包，由横移机构移至冷床收集台下线。</w:t>
      </w:r>
    </w:p>
    <w:p>
      <w:pPr>
        <w:spacing w:line="480" w:lineRule="exact"/>
        <w:ind w:firstLine="486" w:firstLineChars="200"/>
        <w:rPr>
          <w:rFonts w:eastAsiaTheme="minorEastAsia"/>
          <w:sz w:val="24"/>
        </w:rPr>
      </w:pPr>
      <w:r>
        <w:rPr>
          <w:rFonts w:eastAsiaTheme="minorEastAsia"/>
          <w:sz w:val="24"/>
        </w:rPr>
        <w:t>项目连铸过程中设备冷却均采用水冷却，循环使用</w:t>
      </w:r>
      <w:r>
        <w:rPr>
          <w:rFonts w:hint="eastAsia" w:eastAsiaTheme="minorEastAsia"/>
          <w:sz w:val="24"/>
        </w:rPr>
        <w:t>。</w:t>
      </w:r>
    </w:p>
    <w:p>
      <w:pPr>
        <w:spacing w:line="480" w:lineRule="exact"/>
        <w:ind w:firstLine="486" w:firstLineChars="200"/>
        <w:rPr>
          <w:rFonts w:eastAsiaTheme="minorEastAsia"/>
          <w:sz w:val="24"/>
        </w:rPr>
      </w:pPr>
      <w:r>
        <w:rPr>
          <w:rFonts w:hint="eastAsia" w:eastAsiaTheme="minorEastAsia"/>
          <w:sz w:val="24"/>
        </w:rPr>
        <w:t>连铸过程中产生废气(天然气燃烧废气G2、连铸废气G3、二冷水蒸汽G4)、各类副产物(氧化铁皮S1、切头切尾废钢及不合格品等</w:t>
      </w:r>
      <w:r>
        <w:rPr>
          <w:rFonts w:eastAsiaTheme="minorEastAsia"/>
          <w:sz w:val="24"/>
        </w:rPr>
        <w:t>废钢</w:t>
      </w:r>
      <w:r>
        <w:rPr>
          <w:rFonts w:hint="eastAsia" w:eastAsiaTheme="minorEastAsia"/>
          <w:sz w:val="24"/>
        </w:rPr>
        <w:t>S3)及生产设备运行产生的噪声。</w:t>
      </w:r>
    </w:p>
    <w:p>
      <w:pPr>
        <w:spacing w:line="480" w:lineRule="exact"/>
        <w:ind w:firstLine="486" w:firstLineChars="200"/>
        <w:rPr>
          <w:rFonts w:eastAsiaTheme="minorEastAsia"/>
          <w:sz w:val="24"/>
        </w:rPr>
      </w:pPr>
      <w:r>
        <w:rPr>
          <w:rFonts w:hint="eastAsia" w:eastAsiaTheme="minorEastAsia"/>
          <w:sz w:val="24"/>
        </w:rPr>
        <w:t>(4)模铸</w:t>
      </w:r>
    </w:p>
    <w:p>
      <w:pPr>
        <w:spacing w:line="480" w:lineRule="exact"/>
        <w:ind w:firstLine="486" w:firstLineChars="200"/>
        <w:rPr>
          <w:rFonts w:eastAsiaTheme="minorEastAsia"/>
          <w:sz w:val="24"/>
        </w:rPr>
      </w:pPr>
      <w:r>
        <w:rPr>
          <w:rFonts w:hint="eastAsia" w:eastAsiaTheme="minorEastAsia"/>
          <w:sz w:val="24"/>
        </w:rPr>
        <w:t>技改</w:t>
      </w:r>
      <w:r>
        <w:rPr>
          <w:rFonts w:eastAsiaTheme="minorEastAsia"/>
          <w:sz w:val="24"/>
        </w:rPr>
        <w:t>后模铸工艺与现状相同，本项目</w:t>
      </w:r>
      <w:r>
        <w:rPr>
          <w:rFonts w:hint="eastAsia" w:eastAsiaTheme="minorEastAsia"/>
          <w:sz w:val="24"/>
        </w:rPr>
        <w:t>计划用模铸浇注的锭型包括2.35t至22吨锭，日产量最大为6炉。模铸线布置在连铸车间浇铸跨。模铸线上有1台浇注车和约16块浇注平板。每炉钢水浇注1至少块平板，浇注全部采用下注法。在模铸区域布置有脱模区、钢锭堆放区、耐材堆放区、钢锭模清理及生产准备区。</w:t>
      </w:r>
    </w:p>
    <w:p>
      <w:pPr>
        <w:spacing w:line="480" w:lineRule="exact"/>
        <w:ind w:firstLine="486" w:firstLineChars="200"/>
        <w:rPr>
          <w:rFonts w:eastAsiaTheme="minorEastAsia"/>
          <w:sz w:val="24"/>
        </w:rPr>
      </w:pPr>
      <w:r>
        <w:rPr>
          <w:rFonts w:hint="eastAsia" w:eastAsiaTheme="minorEastAsia"/>
          <w:sz w:val="24"/>
        </w:rPr>
        <w:t>技改前后铸模生产工艺不变，模铸生产工艺流程详见图4-5。</w:t>
      </w:r>
    </w:p>
    <w:p>
      <w:pPr>
        <w:adjustRightInd w:val="0"/>
        <w:ind w:firstLine="561"/>
        <w:rPr>
          <w:rFonts w:eastAsiaTheme="minorEastAsia"/>
          <w:sz w:val="24"/>
        </w:rPr>
      </w:pPr>
      <w:r>
        <w:rPr>
          <w:rFonts w:hint="eastAsia" w:eastAsiaTheme="minorEastAsia"/>
          <w:sz w:val="24"/>
        </w:rPr>
        <w:drawing>
          <wp:inline distT="0" distB="0" distL="0" distR="0">
            <wp:extent cx="5029200" cy="504444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51">
                      <a:extLst>
                        <a:ext uri="{28A0092B-C50C-407E-A947-70E740481C1C}">
                          <a14:useLocalDpi xmlns:a14="http://schemas.microsoft.com/office/drawing/2010/main" val="0"/>
                        </a:ext>
                      </a:extLst>
                    </a:blip>
                    <a:srcRect r="7678" b="8740"/>
                    <a:stretch>
                      <a:fillRect/>
                    </a:stretch>
                  </pic:blipFill>
                  <pic:spPr>
                    <a:xfrm>
                      <a:off x="0" y="0"/>
                      <a:ext cx="5030165" cy="5045939"/>
                    </a:xfrm>
                    <a:prstGeom prst="rect">
                      <a:avLst/>
                    </a:prstGeom>
                    <a:noFill/>
                    <a:ln>
                      <a:noFill/>
                    </a:ln>
                    <a:effectLst/>
                  </pic:spPr>
                </pic:pic>
              </a:graphicData>
            </a:graphic>
          </wp:inline>
        </w:drawing>
      </w:r>
    </w:p>
    <w:p>
      <w:pPr>
        <w:adjustRightInd w:val="0"/>
        <w:spacing w:line="400" w:lineRule="exact"/>
        <w:ind w:firstLine="560"/>
        <w:jc w:val="center"/>
        <w:rPr>
          <w:rFonts w:eastAsiaTheme="minorEastAsia"/>
          <w:b/>
          <w:sz w:val="24"/>
        </w:rPr>
      </w:pPr>
      <w:r>
        <w:rPr>
          <w:rFonts w:hint="eastAsia" w:eastAsiaTheme="minorEastAsia"/>
          <w:b/>
          <w:sz w:val="24"/>
        </w:rPr>
        <w:t>图4-5 模铸工艺流程图</w:t>
      </w:r>
    </w:p>
    <w:p>
      <w:pPr>
        <w:spacing w:line="480" w:lineRule="exact"/>
        <w:ind w:firstLine="486" w:firstLineChars="200"/>
        <w:rPr>
          <w:rFonts w:eastAsiaTheme="minorEastAsia"/>
          <w:sz w:val="24"/>
        </w:rPr>
      </w:pPr>
      <w:r>
        <w:rPr>
          <w:rFonts w:hint="eastAsia" w:eastAsiaTheme="minorEastAsia"/>
          <w:sz w:val="24"/>
        </w:rPr>
        <w:t>浇注坑深度～1.5m；中注管最高2.5 m，底板直径Φ3200 mm。浇注不同锭型时，由钢包升降和平移调整浇注位置。模铸</w:t>
      </w:r>
      <w:r>
        <w:rPr>
          <w:rFonts w:eastAsiaTheme="minorEastAsia"/>
          <w:sz w:val="24"/>
        </w:rPr>
        <w:t>过程中的废气均无组织排放。</w:t>
      </w:r>
    </w:p>
    <w:p>
      <w:pPr>
        <w:spacing w:line="480" w:lineRule="exact"/>
        <w:ind w:firstLine="486" w:firstLineChars="200"/>
        <w:rPr>
          <w:rFonts w:eastAsiaTheme="minorEastAsia"/>
          <w:sz w:val="24"/>
        </w:rPr>
      </w:pPr>
      <w:r>
        <w:rPr>
          <w:rFonts w:hint="eastAsia" w:eastAsiaTheme="minorEastAsia"/>
          <w:sz w:val="24"/>
        </w:rPr>
        <w:t>(</w:t>
      </w:r>
      <w:r>
        <w:rPr>
          <w:rFonts w:eastAsiaTheme="minorEastAsia"/>
          <w:sz w:val="24"/>
        </w:rPr>
        <w:t>5</w:t>
      </w:r>
      <w:r>
        <w:rPr>
          <w:rFonts w:hint="eastAsia" w:eastAsiaTheme="minorEastAsia"/>
          <w:sz w:val="24"/>
        </w:rPr>
        <w:t>)制氧工艺</w:t>
      </w:r>
    </w:p>
    <w:p>
      <w:pPr>
        <w:spacing w:line="480" w:lineRule="exact"/>
        <w:ind w:firstLine="486" w:firstLineChars="200"/>
        <w:rPr>
          <w:rFonts w:eastAsiaTheme="minorEastAsia"/>
          <w:sz w:val="24"/>
        </w:rPr>
      </w:pPr>
      <w:r>
        <w:rPr>
          <w:rFonts w:hint="eastAsia" w:eastAsiaTheme="minorEastAsia"/>
          <w:sz w:val="24"/>
        </w:rPr>
        <w:t>项目新增制氧设备的生产工艺与现状相同，本装置采用全低压分子筛净化吸附、气轴透平空气膨胀机制冷，氮气、氧气出冷箱后利用压缩机增压的工艺流程方案。</w:t>
      </w:r>
    </w:p>
    <w:p>
      <w:pPr>
        <w:spacing w:line="480" w:lineRule="exact"/>
        <w:ind w:firstLine="486" w:firstLineChars="200"/>
        <w:rPr>
          <w:rFonts w:eastAsiaTheme="minorEastAsia"/>
          <w:sz w:val="24"/>
        </w:rPr>
      </w:pPr>
      <w:r>
        <w:rPr>
          <w:rFonts w:hint="eastAsia" w:eastAsiaTheme="minorEastAsia"/>
          <w:sz w:val="24"/>
        </w:rPr>
        <w:t>项目</w:t>
      </w:r>
      <w:r>
        <w:rPr>
          <w:rFonts w:eastAsiaTheme="minorEastAsia"/>
          <w:sz w:val="24"/>
        </w:rPr>
        <w:t>制氧</w:t>
      </w:r>
      <w:r>
        <w:rPr>
          <w:rFonts w:hint="eastAsia" w:eastAsiaTheme="minorEastAsia"/>
          <w:sz w:val="24"/>
        </w:rPr>
        <w:t>生产</w:t>
      </w:r>
      <w:r>
        <w:rPr>
          <w:rFonts w:eastAsiaTheme="minorEastAsia"/>
          <w:sz w:val="24"/>
        </w:rPr>
        <w:t>工艺流程详见图</w:t>
      </w:r>
      <w:r>
        <w:rPr>
          <w:rFonts w:hint="eastAsia" w:eastAsiaTheme="minorEastAsia"/>
          <w:sz w:val="24"/>
        </w:rPr>
        <w:t>4-6。</w:t>
      </w:r>
    </w:p>
    <w:p>
      <w:pPr>
        <w:ind w:firstLine="486" w:firstLineChars="200"/>
        <w:rPr>
          <w:rFonts w:eastAsiaTheme="minorEastAsia"/>
          <w:sz w:val="24"/>
        </w:rPr>
      </w:pPr>
      <w:r>
        <w:rPr>
          <w:rFonts w:eastAsiaTheme="minorEastAsia"/>
          <w:sz w:val="24"/>
        </w:rPr>
        <mc:AlternateContent>
          <mc:Choice Requires="wps">
            <w:drawing>
              <wp:anchor distT="0" distB="0" distL="114300" distR="114300" simplePos="0" relativeHeight="251651072" behindDoc="0" locked="0" layoutInCell="1" allowOverlap="1">
                <wp:simplePos x="0" y="0"/>
                <wp:positionH relativeFrom="column">
                  <wp:posOffset>2637790</wp:posOffset>
                </wp:positionH>
                <wp:positionV relativeFrom="paragraph">
                  <wp:posOffset>2811780</wp:posOffset>
                </wp:positionV>
                <wp:extent cx="617220" cy="335280"/>
                <wp:effectExtent l="0" t="0" r="0" b="7620"/>
                <wp:wrapNone/>
                <wp:docPr id="33" name="矩形 33"/>
                <wp:cNvGraphicFramePr/>
                <a:graphic xmlns:a="http://schemas.openxmlformats.org/drawingml/2006/main">
                  <a:graphicData uri="http://schemas.microsoft.com/office/word/2010/wordprocessingShape">
                    <wps:wsp>
                      <wps:cNvSpPr/>
                      <wps:spPr>
                        <a:xfrm>
                          <a:off x="0" y="0"/>
                          <a:ext cx="617220" cy="33528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污氮G5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7pt;margin-top:221.4pt;height:26.4pt;width:48.6pt;z-index:251651072;v-text-anchor:middle;mso-width-relative:page;mso-height-relative:page;" fillcolor="#FFFFFF" filled="t" stroked="f" coordsize="21600,21600" o:gfxdata="UEsDBAoAAAAAAIdO4kAAAAAAAAAAAAAAAAAEAAAAZHJzL1BLAwQUAAAACACHTuJAPfy4M9YAAAAL&#10;AQAADwAAAGRycy9kb3ducmV2LnhtbE2PQW+DMAyF75P6HyJX2m0NMEAdI1TapGnntVXPgbiAShyU&#10;pC379/NO2832e3r+Xr1b7CRu6MPoSEG6SUAgdc6M1Cs4Hj6etiBC1GT05AgVfGOAXbN6qHVl3J2+&#10;8LaPveAQCpVWMMQ4V1KGbkCrw8bNSKydnbc68up7aby+c7idZJYkpbR6JP4w6BnfB+wu+6tVIOMn&#10;Xg5LdqLnJNftmz8fT7NU6nGdJq8gIi7xzwy/+IwODTO17komiElBnhY5W3nIM+7AjiLNShAtX16K&#10;EmRTy/8dmh9QSwMEFAAAAAgAh07iQDpYx9xKAgAAcgQAAA4AAABkcnMvZTJvRG9jLnhtbK1UzW7b&#10;MAy+D9g7CLovzl9/FtQpghYZBgRrgG7YWZGl2IAkapQSJ3uZAbvtIfo4w15jlOym3c9pmA8yKdL8&#10;yI+kr64P1rC9wtCAK/loMORMOQlV47Yl//B++eqSsxCFq4QBp0p+VIFfz1++uGr9TI2hBlMpZBTE&#10;hVnrS17H6GdFEWStrAgD8MqRUQNaEUnFbVGhaCm6NcV4ODwvWsDKI0gVAt3edkY+z/G1VjLeaR1U&#10;ZKbklFvMJ+Zzk85ifiVmWxS+bmSfhviHLKxoHIGeQt2KKNgOmz9C2UYiBNBxIMEWoHUjVa6BqhkN&#10;f6vmvhZe5VqInOBPNIX/F1a+26+RNVXJJxPOnLDUox9fvn1/+MrogthpfZiR071fY68FElOpB402&#10;vakIdsiMHk+MqkNkki7PRxfjMfEuyTSZnI0vM+PF08ceQ3yjwLIklBypYZlHsV+FSIDk+uiSsAKY&#10;plo2xmQFt5sbg2wvqLnL/KSM6ZNf3IxjbcnHZ9NhSkTQkGkjIonWU9nBbTkTZkvTKyNmbAcJgSJ1&#10;2Lci1B1GDttDGEdIiZyOjiTFw+bQc7SB6ki8InQDF7xcNlTgSoS4FkgTRqnQ1sQ7OrQByg96ibMa&#10;8PPf7pM/NZ6snLU0sZT7p51AxZl562gkXo+m0zTiWZmeXSTe8bll89zidvYGiLcR7aeXWUz+0TyK&#10;GsF+pOVaJFQyCScJu2OpV25it0m0nlItFtmNxtqLuHL3XqbgiUQHi10E3eR+JqI6dnr+aLBzz/ol&#10;TJvzXM9eT7+K+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9/Lgz1gAAAAsBAAAPAAAAAAAAAAEA&#10;IAAAACIAAABkcnMvZG93bnJldi54bWxQSwECFAAUAAAACACHTuJAOljH3EoCAAByBAAADgAAAAAA&#10;AAABACAAAAAlAQAAZHJzL2Uyb0RvYy54bWxQSwUGAAAAAAYABgBZAQAA4QUAAAAA&#10;">
                <v:fill on="t" focussize="0,0"/>
                <v:stroke on="f" weight="2pt"/>
                <v:imagedata o:title=""/>
                <o:lock v:ext="edit" aspectratio="f"/>
                <v:textbox>
                  <w:txbxContent>
                    <w:p>
                      <w:pPr>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污氮G5</w:t>
                      </w:r>
                    </w:p>
                  </w:txbxContent>
                </v:textbox>
              </v:rect>
            </w:pict>
          </mc:Fallback>
        </mc:AlternateContent>
      </w:r>
      <w:r>
        <w:rPr>
          <w:rFonts w:eastAsiaTheme="minorEastAsia"/>
          <w:sz w:val="24"/>
        </w:rPr>
        <mc:AlternateContent>
          <mc:Choice Requires="wps">
            <w:drawing>
              <wp:anchor distT="0" distB="0" distL="114300" distR="114300" simplePos="0" relativeHeight="251655168" behindDoc="0" locked="0" layoutInCell="1" allowOverlap="1">
                <wp:simplePos x="0" y="0"/>
                <wp:positionH relativeFrom="column">
                  <wp:posOffset>-97790</wp:posOffset>
                </wp:positionH>
                <wp:positionV relativeFrom="paragraph">
                  <wp:posOffset>2996565</wp:posOffset>
                </wp:positionV>
                <wp:extent cx="914400" cy="335280"/>
                <wp:effectExtent l="0" t="0" r="0" b="7620"/>
                <wp:wrapNone/>
                <wp:docPr id="35" name="矩形 35"/>
                <wp:cNvGraphicFramePr/>
                <a:graphic xmlns:a="http://schemas.openxmlformats.org/drawingml/2006/main">
                  <a:graphicData uri="http://schemas.microsoft.com/office/word/2010/wordprocessingShape">
                    <wps:wsp>
                      <wps:cNvSpPr/>
                      <wps:spPr>
                        <a:xfrm>
                          <a:off x="0" y="0"/>
                          <a:ext cx="914400" cy="335280"/>
                        </a:xfrm>
                        <a:prstGeom prst="rect">
                          <a:avLst/>
                        </a:prstGeom>
                        <a:solidFill>
                          <a:srgbClr val="FFFFFF"/>
                        </a:solidFill>
                        <a:ln w="25400" cap="flat" cmpd="sng" algn="ctr">
                          <a:noFill/>
                          <a:prstDash val="solid"/>
                        </a:ln>
                        <a:effectLst/>
                      </wps:spPr>
                      <wps:txbx>
                        <w:txbxContent>
                          <w:p>
                            <w:pP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废分子筛S</w:t>
                            </w:r>
                            <w:r>
                              <w:rPr>
                                <w:rFonts w:eastAsiaTheme="minorEastAsia"/>
                                <w:color w:val="000000" w:themeColor="text1"/>
                                <w:sz w:val="18"/>
                                <w:szCs w:val="18"/>
                                <w14:textFill>
                                  <w14:solidFill>
                                    <w14:schemeClr w14:val="tx1"/>
                                  </w14:solidFill>
                                </w14:textFill>
                              </w:rPr>
                              <w:t>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pt;margin-top:235.95pt;height:26.4pt;width:72pt;z-index:251655168;v-text-anchor:middle;mso-width-relative:page;mso-height-relative:page;" fillcolor="#FFFFFF" filled="t" stroked="f" coordsize="21600,21600" o:gfxdata="UEsDBAoAAAAAAIdO4kAAAAAAAAAAAAAAAAAEAAAAZHJzL1BLAwQUAAAACACHTuJAM8yXd9cAAAAL&#10;AQAADwAAAGRycy9kb3ducmV2LnhtbE2Py27CMBBF95X4B2uQugM7aXg0zQSplaquC4i1Ew9JRDyO&#10;YgPp39es2uXoHt17pthNthc3Gn3nGCFZKhDEtTMdNwjHw+diC8IHzUb3jgnhhzzsytlToXPj7vxN&#10;t31oRCxhn2uENoQhl9LXLVntl24gjtnZjVaHeI6NNKO+x3Lby1SptbS647jQ6oE+Wqov+6tFkOGL&#10;LocpPfGLynT1Pp6Pp0EiPs8T9QYi0BT+YHjoR3Uoo1Plrmy86BEWySqLKEK2SV5BPIh0uwZRIazS&#10;bAOyLOT/H8pfUEsDBBQAAAAIAIdO4kDNOea/TQIAAIAEAAAOAAAAZHJzL2Uyb0RvYy54bWytVNtu&#10;EzEQfUfiHyy/003SBkrUTRW1CkKqoFJBPDteO7uSb4ydbMrPIPHGR/A5iN/g2Lu9cHlC7IN3xjM7&#10;lzNn9uz8YA3bK4qddzWfHk04U076pnPbmr9/t352yllMwjXCeKdqfqsiP18+fXLWh4Wa+dabRhFD&#10;EBcXfah5m1JYVFWUrbIiHvmgHIzakxUJKm2rhkSP6NZUs8nkedV7agJ5qWLE7eVg5MsSX2sl01ut&#10;o0rM1By1pXJSOTf5rJZnYrElEdpOjmWIf6jCis4h6X2oS5EE21H3RyjbSfLR63Qkva281p1UpQd0&#10;M5381s1NK4IqvQCcGO5hiv8vrHyzvybWNTU/nnPmhMWMfnz++v3bF4YLoNOHuIDTTbimUYsQc6sH&#10;TTa/0QQ7FERv7xFVh8QkLl9OT04mwF3CdHw8n50WxKuHjwPF9Ep5y7JQc8LACo5ifxUTEsL1ziXn&#10;it50zbozpii03VwYYnuB4a7LkyvGJ7+4Gcf6ms/mQyECJNNGJNRkA9qObsuZMFuwVyYquZ3PGRBp&#10;yH0pYjvkKGHHFMZluyoUG0vNUA3gZCkdNocRsY1vboEy+YF+Mch1h3avREzXgsA3IIQdSm9xaONR&#10;rR8lzlpPn/52n/1BA1g568FfdPJxJ0hxZl47EKQgD8IX5WT+YoYc9NiyeWxxO3vhgeIU2xpkEbN/&#10;MneiJm8/YNVWOStMwknkHjAblYs07BWWVarVqriB5EGkK3cTZA6eIXN+tUted2W6GagBHcwtK6B5&#10;meC4knmPHuvF6+HHsf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8yXd9cAAAALAQAADwAAAAAA&#10;AAABACAAAAAiAAAAZHJzL2Rvd25yZXYueG1sUEsBAhQAFAAAAAgAh07iQM055r9NAgAAgAQAAA4A&#10;AAAAAAAAAQAgAAAAJgEAAGRycy9lMm9Eb2MueG1sUEsFBgAAAAAGAAYAWQEAAOUFAAAAAA==&#10;">
                <v:fill on="t" focussize="0,0"/>
                <v:stroke on="f" weight="2pt"/>
                <v:imagedata o:title=""/>
                <o:lock v:ext="edit" aspectratio="f"/>
                <v:textbox>
                  <w:txbxContent>
                    <w:p>
                      <w:pP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废分子筛S</w:t>
                      </w:r>
                      <w:r>
                        <w:rPr>
                          <w:rFonts w:eastAsiaTheme="minorEastAsia"/>
                          <w:color w:val="000000" w:themeColor="text1"/>
                          <w:sz w:val="18"/>
                          <w:szCs w:val="18"/>
                          <w14:textFill>
                            <w14:solidFill>
                              <w14:schemeClr w14:val="tx1"/>
                            </w14:solidFill>
                          </w14:textFill>
                        </w:rPr>
                        <w:t>9</w:t>
                      </w:r>
                    </w:p>
                  </w:txbxContent>
                </v:textbox>
              </v:rect>
            </w:pict>
          </mc:Fallback>
        </mc:AlternateContent>
      </w:r>
      <w:r>
        <w:rPr>
          <w:rFonts w:eastAsiaTheme="minorEastAsia"/>
          <w:sz w:val="24"/>
        </w:rPr>
        <mc:AlternateContent>
          <mc:Choice Requires="wps">
            <w:drawing>
              <wp:anchor distT="0" distB="0" distL="114300" distR="114300" simplePos="0" relativeHeight="251653120" behindDoc="0" locked="0" layoutInCell="1" allowOverlap="1">
                <wp:simplePos x="0" y="0"/>
                <wp:positionH relativeFrom="column">
                  <wp:posOffset>175260</wp:posOffset>
                </wp:positionH>
                <wp:positionV relativeFrom="paragraph">
                  <wp:posOffset>2069465</wp:posOffset>
                </wp:positionV>
                <wp:extent cx="617220" cy="335280"/>
                <wp:effectExtent l="0" t="0" r="0" b="7620"/>
                <wp:wrapNone/>
                <wp:docPr id="34" name="矩形 34"/>
                <wp:cNvGraphicFramePr/>
                <a:graphic xmlns:a="http://schemas.openxmlformats.org/drawingml/2006/main">
                  <a:graphicData uri="http://schemas.microsoft.com/office/word/2010/wordprocessingShape">
                    <wps:wsp>
                      <wps:cNvSpPr/>
                      <wps:spPr>
                        <a:xfrm>
                          <a:off x="0" y="0"/>
                          <a:ext cx="617220" cy="335280"/>
                        </a:xfrm>
                        <a:prstGeom prst="rect">
                          <a:avLst/>
                        </a:prstGeom>
                        <a:solidFill>
                          <a:srgbClr val="FFFFFF"/>
                        </a:solidFill>
                        <a:ln w="25400" cap="flat" cmpd="sng" algn="ctr">
                          <a:noFill/>
                          <a:prstDash val="solid"/>
                        </a:ln>
                        <a:effectLst/>
                      </wps:spPr>
                      <wps:txbx>
                        <w:txbxContent>
                          <w:p>
                            <w:pPr>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污氮G5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62.95pt;height:26.4pt;width:48.6pt;z-index:251653120;v-text-anchor:middle;mso-width-relative:page;mso-height-relative:page;" fillcolor="#FFFFFF" filled="t" stroked="f" coordsize="21600,21600" o:gfxdata="UEsDBAoAAAAAAIdO4kAAAAAAAAAAAAAAAAAEAAAAZHJzL1BLAwQUAAAACACHTuJAwPmRw9UAAAAK&#10;AQAADwAAAGRycy9kb3ducmV2LnhtbE2PwW7CMAyG75P2DpEn7TYSCqPQNUXapGnnAeKcNqataJwq&#10;CdC9/cxpO9r+9Pv7y+3kBnHFEHtPGuYzBQKp8banVsNh//myBhGTIWsGT6jhByNsq8eH0hTW3+gb&#10;r7vUCg6hWBgNXUpjIWVsOnQmzvyIxLeTD84kHkMrbTA3DneDzJRaSWd64g+dGfGjw+a8uzgNMn3h&#10;eT9lR1qopanfw+lwHKXWz09z9QYi4ZT+YLjrszpU7FT7C9koBg1ZvmJSwyJ73YC4A9mSu9S8ydc5&#10;yKqU/ytUv1BLAwQUAAAACACHTuJA3j1DF1ACAACABAAADgAAAGRycy9lMm9Eb2MueG1srVRLbtsw&#10;EN0X6B0I7mv5l08Ny4GRwEWBoAmQFl3TFGkJIDnskLbsXqZAdz1EjlP0Gh1SiuN+VkW1oGY4o/m8&#10;eaP51d4atlMYGnAlHw2GnCknoWrcpuQf3q9eXXIWonCVMOBUyQ8q8KvFyxfz1s/UGGowlUJGQVyY&#10;tb7kdYx+VhRB1sqKMACvHBk1oBWRVNwUFYqWoltTjIfD86IFrDyCVCHQ7U1n5IscX2sl453WQUVm&#10;Sk61xXxiPtfpLBZzMdug8HUj+zLEP1RhReMo6THUjYiCbbH5I5RtJEIAHQcSbAFaN1LlHqib0fC3&#10;bh5q4VXuhcAJ/ghT+H9h5bvdPbKmKvlkypkTlmb048u3749fGV0QOq0PM3J68PfYa4HE1Opeo01v&#10;aoLtM6KHI6JqH5mky/PRxXhMuEsyTSZn48uMePH8sccQ3yiwLAklRxpYxlHsbkOkhOT65JJyBTBN&#10;tWqMyQpu1tcG2U7QcFf5SRXTJ7+4Gcfako/PpsNUiCCSaSMiidZT28FtOBNmQ+yVEXNuBykDRepy&#10;34hQdzly2D6FccmuMsX6UhNUHThJivv1vkdsDdWBUEbo6Be8XDXU7q0I8V4g8Y0Kox2Kd3RoA1Qt&#10;9BJnNeDnv90nf6IBWTlrib/UyaetQMWZeeuIIK9H02kifFamZxdpCnhqWZ9a3NZeA6E4om31MovJ&#10;P5onUSPYj7Rqy5SVTMJJyt1h1ivXsdsrWlaplsvsRiT3It66By9T8ASZg+U2gm7ydBNQHTo0t6QQ&#10;zfME+5VMe3SqZ6/nH8f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D5kcPVAAAACgEAAA8AAAAA&#10;AAAAAQAgAAAAIgAAAGRycy9kb3ducmV2LnhtbFBLAQIUABQAAAAIAIdO4kDePUMXUAIAAIAEAAAO&#10;AAAAAAAAAAEAIAAAACQBAABkcnMvZTJvRG9jLnhtbFBLBQYAAAAABgAGAFkBAADmBQAAAAA=&#10;">
                <v:fill on="t" focussize="0,0"/>
                <v:stroke on="f" weight="2pt"/>
                <v:imagedata o:title=""/>
                <o:lock v:ext="edit" aspectratio="f"/>
                <v:textbox>
                  <w:txbxContent>
                    <w:p>
                      <w:pPr>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污氮G5</w:t>
                      </w:r>
                    </w:p>
                  </w:txbxContent>
                </v:textbox>
              </v:rect>
            </w:pict>
          </mc:Fallback>
        </mc:AlternateContent>
      </w:r>
      <w:r>
        <w:rPr>
          <w:rFonts w:eastAsiaTheme="minorEastAsia"/>
          <w:sz w:val="24"/>
        </w:rPr>
        <w:drawing>
          <wp:inline distT="0" distB="0" distL="0" distR="0">
            <wp:extent cx="3383915" cy="4086225"/>
            <wp:effectExtent l="0" t="0" r="698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2">
                      <a:extLst>
                        <a:ext uri="{28A0092B-C50C-407E-A947-70E740481C1C}">
                          <a14:useLocalDpi xmlns:a14="http://schemas.microsoft.com/office/drawing/2010/main" val="0"/>
                        </a:ext>
                      </a:extLst>
                    </a:blip>
                    <a:srcRect t="2498" b="23064"/>
                    <a:stretch>
                      <a:fillRect/>
                    </a:stretch>
                  </pic:blipFill>
                  <pic:spPr>
                    <a:xfrm>
                      <a:off x="0" y="0"/>
                      <a:ext cx="3392716" cy="4096853"/>
                    </a:xfrm>
                    <a:prstGeom prst="rect">
                      <a:avLst/>
                    </a:prstGeom>
                    <a:noFill/>
                    <a:ln>
                      <a:noFill/>
                    </a:ln>
                  </pic:spPr>
                </pic:pic>
              </a:graphicData>
            </a:graphic>
          </wp:inline>
        </w:drawing>
      </w:r>
    </w:p>
    <w:p>
      <w:pPr>
        <w:jc w:val="center"/>
        <w:rPr>
          <w:rFonts w:eastAsiaTheme="minorEastAsia"/>
          <w:b/>
          <w:sz w:val="24"/>
        </w:rPr>
      </w:pPr>
      <w:r>
        <w:rPr>
          <w:rFonts w:hint="eastAsia" w:eastAsiaTheme="minorEastAsia"/>
          <w:b/>
          <w:sz w:val="24"/>
        </w:rPr>
        <w:t>图4-6 项目</w:t>
      </w:r>
      <w:r>
        <w:rPr>
          <w:rFonts w:eastAsiaTheme="minorEastAsia"/>
          <w:b/>
          <w:sz w:val="24"/>
        </w:rPr>
        <w:t>空分装置</w:t>
      </w:r>
      <w:r>
        <w:rPr>
          <w:rFonts w:hint="eastAsia" w:eastAsiaTheme="minorEastAsia"/>
          <w:b/>
          <w:sz w:val="24"/>
        </w:rPr>
        <w:t>生产</w:t>
      </w:r>
      <w:r>
        <w:rPr>
          <w:rFonts w:eastAsiaTheme="minorEastAsia"/>
          <w:b/>
          <w:sz w:val="24"/>
        </w:rPr>
        <w:t>工艺流程图</w:t>
      </w:r>
    </w:p>
    <w:p>
      <w:pPr>
        <w:spacing w:line="480" w:lineRule="exact"/>
        <w:ind w:firstLine="486" w:firstLineChars="200"/>
        <w:rPr>
          <w:rFonts w:eastAsiaTheme="minorEastAsia"/>
          <w:sz w:val="24"/>
        </w:rPr>
      </w:pPr>
      <w:r>
        <w:rPr>
          <w:rFonts w:hint="eastAsia" w:eastAsiaTheme="minorEastAsia"/>
          <w:sz w:val="24"/>
        </w:rPr>
        <w:t>生产工艺流程</w:t>
      </w:r>
      <w:r>
        <w:rPr>
          <w:rFonts w:eastAsiaTheme="minorEastAsia"/>
          <w:sz w:val="24"/>
        </w:rPr>
        <w:t>说明：</w:t>
      </w:r>
    </w:p>
    <w:p>
      <w:pPr>
        <w:spacing w:line="480" w:lineRule="exact"/>
        <w:ind w:firstLine="486" w:firstLineChars="200"/>
        <w:rPr>
          <w:rFonts w:eastAsiaTheme="minorEastAsia"/>
          <w:sz w:val="24"/>
        </w:rPr>
      </w:pPr>
      <w:r>
        <w:rPr>
          <w:rFonts w:hint="eastAsia" w:eastAsiaTheme="minorEastAsia"/>
          <w:sz w:val="24"/>
        </w:rPr>
        <w:t>①过滤、压缩、预冷及纯化</w:t>
      </w:r>
    </w:p>
    <w:p>
      <w:pPr>
        <w:spacing w:line="480" w:lineRule="exact"/>
        <w:ind w:firstLine="486" w:firstLineChars="200"/>
        <w:rPr>
          <w:rFonts w:eastAsiaTheme="minorEastAsia"/>
          <w:sz w:val="24"/>
        </w:rPr>
      </w:pPr>
      <w:r>
        <w:rPr>
          <w:rFonts w:hint="eastAsia" w:eastAsiaTheme="minorEastAsia"/>
          <w:sz w:val="24"/>
        </w:rPr>
        <w:t>原料工艺空气经吸入口吸入，通过空气过滤器过滤后进入空气压缩机进行压缩， 经后冷却器冷却后进空气预冷机。空气经过空气预冷机后的温度约为8℃左右，经水分离器分离去空气中的游离态的水分。再经纯化器系统吸附以除去水份、二氧化碳、碳氢化合物等，纯化器系统中的吸附器由两只立式容器组成，当一只运行时，另一只则由来自冷箱中的污氮通过加热器加热后进行再生。</w:t>
      </w:r>
    </w:p>
    <w:p>
      <w:pPr>
        <w:spacing w:line="480" w:lineRule="exact"/>
        <w:ind w:firstLine="486" w:firstLineChars="200"/>
        <w:rPr>
          <w:rFonts w:eastAsiaTheme="minorEastAsia"/>
          <w:sz w:val="24"/>
        </w:rPr>
      </w:pPr>
      <w:r>
        <w:rPr>
          <w:rFonts w:hint="eastAsia" w:eastAsiaTheme="minorEastAsia"/>
          <w:sz w:val="24"/>
        </w:rPr>
        <w:t>从纯化器系统来的空气进入主换热器，其中大部分出主换热器后进入下塔底部，一部分液化成液空，另一部分上升进行第一次精馏。在精馏塔中，上升气体与下流液体充分接触，传热传质后，上升气体中氮的浓度逐渐增加，在下塔顶部的纯氮进入主冷凝蒸发器被冷凝成液氮，在气氮冷凝的同时，主冷凝蒸发器中的液氧得到汽化，液氮一部分作为下塔的回流液，其余液氮经过节流进入上塔参与精馏。另一部分空气从主换热器的中部取出后进入透平膨胀机产生冷量。在下塔底部的液空，经过冷器过冷后，节流进入上塔参与精馏。在上塔内得到产品氮气、产品氧气和污氮。</w:t>
      </w:r>
    </w:p>
    <w:p>
      <w:pPr>
        <w:spacing w:line="480" w:lineRule="exact"/>
        <w:ind w:firstLine="486" w:firstLineChars="200"/>
        <w:rPr>
          <w:rFonts w:eastAsiaTheme="minorEastAsia"/>
          <w:sz w:val="24"/>
        </w:rPr>
      </w:pPr>
      <w:r>
        <w:rPr>
          <w:rFonts w:hint="eastAsia" w:eastAsiaTheme="minorEastAsia"/>
          <w:sz w:val="24"/>
        </w:rPr>
        <w:t>污氮经过主换热器后出分馏塔作为纯化器再生气。</w:t>
      </w:r>
    </w:p>
    <w:p>
      <w:pPr>
        <w:spacing w:line="480" w:lineRule="exact"/>
        <w:ind w:firstLine="486" w:firstLineChars="200"/>
        <w:rPr>
          <w:rFonts w:eastAsiaTheme="minorEastAsia"/>
          <w:sz w:val="24"/>
        </w:rPr>
      </w:pPr>
      <w:r>
        <w:rPr>
          <w:rFonts w:hint="eastAsia" w:eastAsiaTheme="minorEastAsia"/>
          <w:sz w:val="24"/>
        </w:rPr>
        <w:t>②空气精馏</w:t>
      </w:r>
    </w:p>
    <w:p>
      <w:pPr>
        <w:spacing w:line="480" w:lineRule="exact"/>
        <w:ind w:firstLine="486" w:firstLineChars="200"/>
        <w:rPr>
          <w:rFonts w:eastAsiaTheme="minorEastAsia"/>
          <w:sz w:val="24"/>
        </w:rPr>
      </w:pPr>
      <w:r>
        <w:rPr>
          <w:rFonts w:hint="eastAsia" w:eastAsiaTheme="minorEastAsia"/>
          <w:sz w:val="24"/>
        </w:rPr>
        <w:t>出空气纯化系统的洁净工艺空气分三部分，一部分直接进入冷箱内的主换热器，被返流出来的污氮气、氮气和氧气冷却，空气被冷却至接近液化点后部分进入下塔的底部，进行第一次分馏；一部分进入主换热器，被返流气体冷却到一定温度后，进入膨胀机膨胀制冷后进入上塔，参与精馏。一部分作为仪表空气。在精馏塔中，上升气体与下流液体充分接触，传热传质后，在下塔顶部得到纯氮气。纯氮进入下塔顶部的主冷凝蒸发器被冷凝，在气氮冷凝的同时，主冷凝蒸发器中的液氧得到气化。一部分液氮作为下塔的回流液下流，一部分液氮经过冷后节流后部分送入上塔。</w:t>
      </w:r>
    </w:p>
    <w:p>
      <w:pPr>
        <w:spacing w:line="480" w:lineRule="exact"/>
        <w:ind w:firstLine="486" w:firstLineChars="200"/>
        <w:rPr>
          <w:rFonts w:eastAsiaTheme="minorEastAsia"/>
          <w:sz w:val="24"/>
        </w:rPr>
      </w:pPr>
      <w:r>
        <w:rPr>
          <w:rFonts w:hint="eastAsia" w:eastAsiaTheme="minorEastAsia"/>
          <w:sz w:val="24"/>
        </w:rPr>
        <w:t>在下塔中产生的液空经过冷器过冷、节流后进入上塔参与精馏，在上塔内，经过再次精馏，得到氧气和污氮气。液氧从主冷抽出，作为液氧产品或排放。氧气从主冷上部抽出去主换热器复热出冷箱，通过氧压机增压后作为产品。</w:t>
      </w:r>
    </w:p>
    <w:p>
      <w:pPr>
        <w:spacing w:line="480" w:lineRule="exact"/>
        <w:ind w:firstLine="486" w:firstLineChars="200"/>
        <w:jc w:val="left"/>
        <w:rPr>
          <w:rFonts w:eastAsiaTheme="minorEastAsia"/>
          <w:sz w:val="24"/>
        </w:rPr>
      </w:pPr>
      <w:r>
        <w:rPr>
          <w:rFonts w:hint="eastAsia" w:eastAsiaTheme="minorEastAsia"/>
          <w:sz w:val="24"/>
        </w:rPr>
        <w:t>装置所需的大部分冷量由增压透平膨胀机提供。</w:t>
      </w:r>
    </w:p>
    <w:p>
      <w:pPr>
        <w:spacing w:line="480" w:lineRule="exact"/>
        <w:ind w:firstLine="486" w:firstLineChars="200"/>
        <w:jc w:val="left"/>
        <w:rPr>
          <w:rFonts w:eastAsiaTheme="minorEastAsia"/>
          <w:b/>
          <w:sz w:val="24"/>
        </w:rPr>
      </w:pPr>
      <w:r>
        <w:rPr>
          <w:rFonts w:hint="eastAsia" w:eastAsiaTheme="minorEastAsia"/>
          <w:sz w:val="24"/>
        </w:rPr>
        <w:t>项目制氧</w:t>
      </w:r>
      <w:r>
        <w:rPr>
          <w:rFonts w:eastAsiaTheme="minorEastAsia"/>
          <w:sz w:val="24"/>
        </w:rPr>
        <w:t>生产</w:t>
      </w:r>
      <w:r>
        <w:rPr>
          <w:rFonts w:hint="eastAsia" w:eastAsiaTheme="minorEastAsia"/>
          <w:sz w:val="24"/>
        </w:rPr>
        <w:t>工艺过程</w:t>
      </w:r>
      <w:r>
        <w:rPr>
          <w:rFonts w:eastAsiaTheme="minorEastAsia"/>
          <w:sz w:val="24"/>
        </w:rPr>
        <w:t>中</w:t>
      </w:r>
      <w:r>
        <w:rPr>
          <w:rFonts w:hint="eastAsia" w:eastAsiaTheme="minorEastAsia"/>
          <w:sz w:val="24"/>
        </w:rPr>
        <w:t>冷却</w:t>
      </w:r>
      <w:r>
        <w:rPr>
          <w:rFonts w:eastAsiaTheme="minorEastAsia"/>
          <w:sz w:val="24"/>
        </w:rPr>
        <w:t>水循环使用，主要污染物为</w:t>
      </w:r>
      <w:r>
        <w:rPr>
          <w:rFonts w:hint="eastAsia" w:eastAsiaTheme="minorEastAsia"/>
          <w:sz w:val="24"/>
        </w:rPr>
        <w:t>污氮废气G5及废</w:t>
      </w:r>
      <w:r>
        <w:rPr>
          <w:rFonts w:eastAsiaTheme="minorEastAsia"/>
          <w:sz w:val="24"/>
        </w:rPr>
        <w:t>分子筛</w:t>
      </w:r>
      <w:r>
        <w:rPr>
          <w:rFonts w:hint="eastAsia" w:eastAsiaTheme="minorEastAsia"/>
          <w:sz w:val="24"/>
        </w:rPr>
        <w:t>S</w:t>
      </w:r>
      <w:r>
        <w:rPr>
          <w:rFonts w:eastAsiaTheme="minorEastAsia"/>
          <w:sz w:val="24"/>
        </w:rPr>
        <w:t>9</w:t>
      </w:r>
      <w:r>
        <w:rPr>
          <w:rFonts w:hint="eastAsia" w:eastAsiaTheme="minorEastAsia"/>
          <w:sz w:val="24"/>
        </w:rPr>
        <w:t>。</w:t>
      </w:r>
    </w:p>
    <w:p>
      <w:pPr>
        <w:pStyle w:val="3"/>
        <w:numPr>
          <w:ilvl w:val="1"/>
          <w:numId w:val="24"/>
        </w:numPr>
        <w:rPr>
          <w:rFonts w:ascii="Times New Roman" w:hAnsi="Times New Roman"/>
        </w:rPr>
      </w:pPr>
      <w:bookmarkStart w:id="108" w:name="_Toc10637154"/>
      <w:r>
        <w:rPr>
          <w:rFonts w:ascii="Times New Roman" w:hAnsi="Times New Roman"/>
        </w:rPr>
        <w:t>产污环节分析</w:t>
      </w:r>
      <w:bookmarkEnd w:id="108"/>
    </w:p>
    <w:p>
      <w:pPr>
        <w:pStyle w:val="712"/>
        <w:spacing w:line="480" w:lineRule="exact"/>
        <w:rPr>
          <w:rFonts w:ascii="Times New Roman" w:hAnsi="Times New Roman" w:cs="Times New Roman"/>
          <w:spacing w:val="0"/>
        </w:rPr>
      </w:pPr>
      <w:r>
        <w:rPr>
          <w:rFonts w:hint="eastAsia" w:ascii="Times New Roman" w:hAnsi="Times New Roman" w:cs="Times New Roman"/>
          <w:spacing w:val="0"/>
          <w:lang w:eastAsia="zh-CN"/>
        </w:rPr>
        <w:t>根据生产工艺流程分析，</w:t>
      </w:r>
      <w:r>
        <w:rPr>
          <w:rFonts w:hint="eastAsia"/>
          <w:spacing w:val="0"/>
        </w:rPr>
        <w:t>本项目</w:t>
      </w:r>
      <w:r>
        <w:rPr>
          <w:rFonts w:hint="eastAsia"/>
          <w:spacing w:val="0"/>
          <w:lang w:eastAsia="zh-CN"/>
        </w:rPr>
        <w:t>无生产废水产生，项目不</w:t>
      </w:r>
      <w:r>
        <w:rPr>
          <w:rFonts w:hint="eastAsia"/>
          <w:spacing w:val="0"/>
        </w:rPr>
        <w:t>新增员工，</w:t>
      </w:r>
      <w:r>
        <w:rPr>
          <w:rFonts w:hint="eastAsia"/>
          <w:spacing w:val="0"/>
          <w:lang w:eastAsia="zh-CN"/>
        </w:rPr>
        <w:t>不新增</w:t>
      </w:r>
      <w:r>
        <w:rPr>
          <w:rFonts w:hint="eastAsia"/>
          <w:spacing w:val="0"/>
        </w:rPr>
        <w:t>生活污水和生活垃圾。本项目连铸有废耐火材料产生，主要是</w:t>
      </w:r>
      <w:r>
        <w:rPr>
          <w:rFonts w:hint="eastAsia"/>
          <w:spacing w:val="0"/>
          <w:lang w:eastAsia="zh-CN"/>
        </w:rPr>
        <w:t>修包</w:t>
      </w:r>
      <w:r>
        <w:rPr>
          <w:rFonts w:hint="eastAsia"/>
          <w:spacing w:val="0"/>
        </w:rPr>
        <w:t>和中修、大修拆除的耐火材料</w:t>
      </w:r>
      <w:r>
        <w:rPr>
          <w:rFonts w:hint="eastAsia"/>
          <w:spacing w:val="0"/>
          <w:lang w:eastAsia="zh-CN"/>
        </w:rPr>
        <w:t>、精炼炉炉渣</w:t>
      </w:r>
      <w:r>
        <w:rPr>
          <w:rFonts w:hint="eastAsia"/>
          <w:spacing w:val="0"/>
        </w:rPr>
        <w:t>；其他设备在检修时会产生废润滑油</w:t>
      </w:r>
      <w:r>
        <w:rPr>
          <w:rFonts w:hint="eastAsia"/>
          <w:spacing w:val="0"/>
          <w:lang w:eastAsia="zh-CN"/>
        </w:rPr>
        <w:t>，浊环水</w:t>
      </w:r>
      <w:r>
        <w:rPr>
          <w:spacing w:val="0"/>
          <w:lang w:eastAsia="zh-CN"/>
        </w:rPr>
        <w:t>系统产生的废油</w:t>
      </w:r>
      <w:r>
        <w:rPr>
          <w:rFonts w:hint="eastAsia"/>
          <w:spacing w:val="0"/>
          <w:lang w:eastAsia="zh-CN"/>
        </w:rPr>
        <w:t>；更换下来</w:t>
      </w:r>
      <w:r>
        <w:rPr>
          <w:spacing w:val="0"/>
          <w:lang w:eastAsia="zh-CN"/>
        </w:rPr>
        <w:t>的</w:t>
      </w:r>
      <w:r>
        <w:rPr>
          <w:rFonts w:hint="eastAsia"/>
          <w:spacing w:val="0"/>
          <w:lang w:eastAsia="zh-CN"/>
        </w:rPr>
        <w:t>废</w:t>
      </w:r>
      <w:r>
        <w:rPr>
          <w:spacing w:val="0"/>
          <w:lang w:eastAsia="zh-CN"/>
        </w:rPr>
        <w:t>布袋</w:t>
      </w:r>
      <w:r>
        <w:rPr>
          <w:rFonts w:hint="eastAsia"/>
          <w:spacing w:val="0"/>
        </w:rPr>
        <w:t>。</w:t>
      </w:r>
      <w:r>
        <w:rPr>
          <w:rFonts w:hint="eastAsia" w:ascii="Times New Roman" w:hAnsi="Times New Roman" w:cs="Times New Roman"/>
          <w:spacing w:val="0"/>
          <w:lang w:eastAsia="zh-CN"/>
        </w:rPr>
        <w:t>技改项目</w:t>
      </w:r>
      <w:r>
        <w:rPr>
          <w:rFonts w:ascii="Times New Roman" w:hAnsi="Times New Roman" w:cs="Times New Roman"/>
          <w:spacing w:val="0"/>
        </w:rPr>
        <w:t>主要产污环节</w:t>
      </w:r>
      <w:r>
        <w:rPr>
          <w:rFonts w:ascii="Times New Roman" w:hAnsi="Times New Roman" w:cs="Times New Roman"/>
          <w:spacing w:val="0"/>
          <w:lang w:eastAsia="zh-CN"/>
        </w:rPr>
        <w:t>及新增主要污染因子分析</w:t>
      </w:r>
      <w:r>
        <w:rPr>
          <w:rFonts w:ascii="Times New Roman" w:hAnsi="Times New Roman" w:cs="Times New Roman"/>
          <w:spacing w:val="0"/>
        </w:rPr>
        <w:t>见表</w:t>
      </w:r>
      <w:r>
        <w:rPr>
          <w:rFonts w:ascii="Times New Roman" w:hAnsi="Times New Roman" w:cs="Times New Roman"/>
          <w:spacing w:val="0"/>
          <w:lang w:eastAsia="zh-CN"/>
        </w:rPr>
        <w:t>4</w:t>
      </w:r>
      <w:r>
        <w:rPr>
          <w:rFonts w:ascii="Times New Roman" w:hAnsi="Times New Roman" w:cs="Times New Roman"/>
          <w:spacing w:val="0"/>
        </w:rPr>
        <w:t>-</w:t>
      </w:r>
      <w:r>
        <w:rPr>
          <w:rFonts w:ascii="Times New Roman" w:hAnsi="Times New Roman" w:cs="Times New Roman"/>
          <w:spacing w:val="0"/>
          <w:lang w:eastAsia="zh-CN"/>
        </w:rPr>
        <w:t>9</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hint="eastAsia" w:ascii="Times New Roman" w:hAnsi="Times New Roman"/>
          <w:lang w:eastAsia="zh-CN"/>
        </w:rPr>
        <w:t>技改</w:t>
      </w:r>
      <w:r>
        <w:rPr>
          <w:rFonts w:ascii="Times New Roman" w:hAnsi="Times New Roman"/>
        </w:rPr>
        <w:t>项目主要产污环节分析</w:t>
      </w:r>
    </w:p>
    <w:tbl>
      <w:tblPr>
        <w:tblStyle w:val="87"/>
        <w:tblW w:w="876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31"/>
        <w:gridCol w:w="1729"/>
        <w:gridCol w:w="1566"/>
        <w:gridCol w:w="1237"/>
        <w:gridCol w:w="32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shd w:val="clear" w:color="auto" w:fill="auto"/>
            <w:vAlign w:val="center"/>
          </w:tcPr>
          <w:p>
            <w:pPr>
              <w:spacing w:line="300" w:lineRule="exact"/>
              <w:jc w:val="center"/>
              <w:rPr>
                <w:rFonts w:eastAsiaTheme="minorEastAsia"/>
                <w:sz w:val="21"/>
                <w:szCs w:val="21"/>
              </w:rPr>
            </w:pPr>
            <w:r>
              <w:rPr>
                <w:rFonts w:eastAsiaTheme="minorEastAsia"/>
                <w:sz w:val="21"/>
                <w:szCs w:val="21"/>
              </w:rPr>
              <w:t>污染物类型</w:t>
            </w: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污染工序</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废气名称及编号</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主要污染因子</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治理措施及排放去向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废气</w:t>
            </w: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VD炉、LF炉</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精炼废气G1</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烟尘</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LF炉</w:t>
            </w:r>
            <w:r>
              <w:rPr>
                <w:rFonts w:eastAsiaTheme="minorEastAsia"/>
                <w:sz w:val="21"/>
                <w:szCs w:val="21"/>
              </w:rPr>
              <w:t>精炼废气收集后进入现有</w:t>
            </w:r>
            <w:r>
              <w:rPr>
                <w:rFonts w:hint="eastAsia" w:eastAsiaTheme="minorEastAsia"/>
                <w:sz w:val="21"/>
                <w:szCs w:val="21"/>
              </w:rPr>
              <w:t>主烟道</w:t>
            </w:r>
            <w:r>
              <w:rPr>
                <w:rFonts w:eastAsiaTheme="minorEastAsia"/>
                <w:sz w:val="21"/>
                <w:szCs w:val="21"/>
              </w:rPr>
              <w:t>，</w:t>
            </w:r>
            <w:r>
              <w:rPr>
                <w:rFonts w:hint="eastAsia" w:eastAsiaTheme="minorEastAsia"/>
                <w:sz w:val="21"/>
                <w:szCs w:val="21"/>
              </w:rPr>
              <w:t>VD炉</w:t>
            </w:r>
            <w:r>
              <w:rPr>
                <w:rFonts w:eastAsiaTheme="minorEastAsia"/>
                <w:sz w:val="21"/>
                <w:szCs w:val="21"/>
              </w:rPr>
              <w:t>废气收集后经布袋除尘</w:t>
            </w:r>
            <w:r>
              <w:rPr>
                <w:rFonts w:hint="eastAsia" w:eastAsiaTheme="minorEastAsia"/>
                <w:sz w:val="21"/>
                <w:szCs w:val="21"/>
              </w:rPr>
              <w:t>+旋风除尘</w:t>
            </w:r>
            <w:r>
              <w:rPr>
                <w:rFonts w:eastAsiaTheme="minorEastAsia"/>
                <w:sz w:val="21"/>
                <w:szCs w:val="21"/>
              </w:rPr>
              <w:t>后进入现有主烟道，通过现有电炉</w:t>
            </w:r>
            <w:r>
              <w:rPr>
                <w:rFonts w:hint="eastAsia" w:eastAsiaTheme="minorEastAsia"/>
                <w:sz w:val="21"/>
                <w:szCs w:val="21"/>
              </w:rPr>
              <w:t>炼钢废气</w:t>
            </w:r>
            <w:r>
              <w:rPr>
                <w:rFonts w:eastAsiaTheme="minorEastAsia"/>
                <w:sz w:val="21"/>
                <w:szCs w:val="21"/>
              </w:rPr>
              <w:t>除尘</w:t>
            </w:r>
            <w:r>
              <w:rPr>
                <w:rFonts w:hint="eastAsia" w:eastAsiaTheme="minorEastAsia"/>
                <w:sz w:val="21"/>
                <w:szCs w:val="21"/>
              </w:rPr>
              <w:t>器</w:t>
            </w:r>
            <w:r>
              <w:rPr>
                <w:rFonts w:eastAsiaTheme="minorEastAsia"/>
                <w:sz w:val="21"/>
                <w:szCs w:val="21"/>
              </w:rPr>
              <w:t>除尘后尾气</w:t>
            </w:r>
            <w:r>
              <w:rPr>
                <w:rFonts w:hint="eastAsia" w:eastAsiaTheme="minorEastAsia"/>
                <w:sz w:val="21"/>
                <w:szCs w:val="21"/>
              </w:rPr>
              <w:t>通过现有</w:t>
            </w:r>
            <w:r>
              <w:rPr>
                <w:rFonts w:eastAsiaTheme="minorEastAsia"/>
                <w:sz w:val="21"/>
                <w:szCs w:val="21"/>
              </w:rPr>
              <w:t>排气筒</w:t>
            </w:r>
            <w:r>
              <w:rPr>
                <w:rFonts w:hint="eastAsia" w:eastAsiaTheme="minorEastAsia"/>
                <w:sz w:val="21"/>
                <w:szCs w:val="21"/>
              </w:rPr>
              <w:t>(DA001)</w:t>
            </w:r>
            <w:r>
              <w:rPr>
                <w:rFonts w:eastAsiaTheme="minorEastAsia"/>
                <w:sz w:val="21"/>
                <w:szCs w:val="21"/>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中间罐保温、水口烘烤</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天然气燃烧废气G</w:t>
            </w:r>
            <w:r>
              <w:rPr>
                <w:rFonts w:hint="eastAsia" w:eastAsiaTheme="minorEastAsia"/>
                <w:sz w:val="21"/>
                <w:szCs w:val="21"/>
              </w:rPr>
              <w:t>2</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烟尘、SO</w:t>
            </w:r>
            <w:r>
              <w:rPr>
                <w:rFonts w:eastAsiaTheme="minorEastAsia"/>
                <w:sz w:val="21"/>
                <w:szCs w:val="21"/>
                <w:vertAlign w:val="subscript"/>
              </w:rPr>
              <w:t>2</w:t>
            </w:r>
            <w:r>
              <w:rPr>
                <w:rFonts w:eastAsiaTheme="minorEastAsia"/>
                <w:sz w:val="21"/>
                <w:szCs w:val="21"/>
              </w:rPr>
              <w:t>、NO</w:t>
            </w:r>
            <w:r>
              <w:rPr>
                <w:rFonts w:eastAsiaTheme="minorEastAsia"/>
                <w:sz w:val="21"/>
                <w:szCs w:val="21"/>
                <w:vertAlign w:val="subscript"/>
              </w:rPr>
              <w:t>x</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无组织排放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火焰切割</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连铸废气G</w:t>
            </w:r>
            <w:r>
              <w:rPr>
                <w:rFonts w:hint="eastAsia" w:eastAsiaTheme="minorEastAsia"/>
                <w:sz w:val="21"/>
                <w:szCs w:val="21"/>
              </w:rPr>
              <w:t>3</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粉尘</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收集后进入</w:t>
            </w:r>
            <w:r>
              <w:rPr>
                <w:rFonts w:hint="eastAsia" w:eastAsiaTheme="minorEastAsia"/>
                <w:sz w:val="21"/>
                <w:szCs w:val="21"/>
              </w:rPr>
              <w:t>连铸布袋除尘器</w:t>
            </w:r>
            <w:r>
              <w:rPr>
                <w:rFonts w:eastAsiaTheme="minorEastAsia"/>
                <w:sz w:val="21"/>
                <w:szCs w:val="21"/>
              </w:rPr>
              <w:t>，除尘尾气进入现有</w:t>
            </w:r>
            <w:r>
              <w:rPr>
                <w:rFonts w:hint="eastAsia" w:eastAsiaTheme="minorEastAsia"/>
                <w:sz w:val="21"/>
                <w:szCs w:val="21"/>
              </w:rPr>
              <w:t>主烟道</w:t>
            </w:r>
            <w:r>
              <w:rPr>
                <w:rFonts w:eastAsiaTheme="minorEastAsia"/>
                <w:sz w:val="21"/>
                <w:szCs w:val="21"/>
              </w:rPr>
              <w:t>，通过现有电炉</w:t>
            </w:r>
            <w:r>
              <w:rPr>
                <w:rFonts w:hint="eastAsia" w:eastAsiaTheme="minorEastAsia"/>
                <w:sz w:val="21"/>
                <w:szCs w:val="21"/>
              </w:rPr>
              <w:t>炼钢</w:t>
            </w:r>
            <w:r>
              <w:rPr>
                <w:rFonts w:eastAsiaTheme="minorEastAsia"/>
                <w:sz w:val="21"/>
                <w:szCs w:val="21"/>
              </w:rPr>
              <w:t>废气除尘</w:t>
            </w:r>
            <w:r>
              <w:rPr>
                <w:rFonts w:hint="eastAsia" w:eastAsiaTheme="minorEastAsia"/>
                <w:sz w:val="21"/>
                <w:szCs w:val="21"/>
              </w:rPr>
              <w:t>器</w:t>
            </w:r>
            <w:r>
              <w:rPr>
                <w:rFonts w:eastAsiaTheme="minorEastAsia"/>
                <w:sz w:val="21"/>
                <w:szCs w:val="21"/>
              </w:rPr>
              <w:t>除尘后尾气</w:t>
            </w:r>
            <w:r>
              <w:rPr>
                <w:rFonts w:hint="eastAsia" w:eastAsiaTheme="minorEastAsia"/>
                <w:sz w:val="21"/>
                <w:szCs w:val="21"/>
              </w:rPr>
              <w:t>通过现有</w:t>
            </w:r>
            <w:r>
              <w:rPr>
                <w:rFonts w:eastAsiaTheme="minorEastAsia"/>
                <w:sz w:val="21"/>
                <w:szCs w:val="21"/>
              </w:rPr>
              <w:t>排气筒</w:t>
            </w:r>
            <w:r>
              <w:rPr>
                <w:rFonts w:hint="eastAsia" w:eastAsiaTheme="minorEastAsia"/>
                <w:sz w:val="21"/>
                <w:szCs w:val="21"/>
              </w:rPr>
              <w:t>(DA001)</w:t>
            </w:r>
            <w:r>
              <w:rPr>
                <w:rFonts w:eastAsiaTheme="minorEastAsia"/>
                <w:sz w:val="21"/>
                <w:szCs w:val="21"/>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二次冷却</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水蒸汽G</w:t>
            </w:r>
            <w:r>
              <w:rPr>
                <w:rFonts w:hint="eastAsia" w:eastAsiaTheme="minorEastAsia"/>
                <w:sz w:val="21"/>
                <w:szCs w:val="21"/>
              </w:rPr>
              <w:t>4</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水蒸汽</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连铸车间设置了排蒸汽系统处理二次冷却水蒸汽，用排风机将废汽通过管道输至屋顶排放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制氧</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污氮G5</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N</w:t>
            </w:r>
            <w:r>
              <w:rPr>
                <w:rFonts w:eastAsiaTheme="minorEastAsia"/>
                <w:sz w:val="21"/>
                <w:szCs w:val="21"/>
                <w:vertAlign w:val="subscript"/>
              </w:rPr>
              <w:t>2</w:t>
            </w:r>
            <w:r>
              <w:rPr>
                <w:rFonts w:hint="eastAsia" w:eastAsiaTheme="minorEastAsia"/>
                <w:sz w:val="21"/>
                <w:szCs w:val="21"/>
              </w:rPr>
              <w:t>(</w:t>
            </w:r>
            <w:r>
              <w:rPr>
                <w:rFonts w:eastAsiaTheme="minorEastAsia"/>
                <w:sz w:val="21"/>
                <w:szCs w:val="21"/>
              </w:rPr>
              <w:t>94%)、</w:t>
            </w:r>
            <w:r>
              <w:rPr>
                <w:rFonts w:hint="eastAsia" w:eastAsiaTheme="minorEastAsia"/>
                <w:sz w:val="21"/>
                <w:szCs w:val="21"/>
              </w:rPr>
              <w:t>A</w:t>
            </w:r>
            <w:r>
              <w:rPr>
                <w:rFonts w:eastAsiaTheme="minorEastAsia"/>
                <w:sz w:val="21"/>
                <w:szCs w:val="21"/>
              </w:rPr>
              <w:t>r</w:t>
            </w:r>
            <w:r>
              <w:rPr>
                <w:rFonts w:hint="eastAsia" w:eastAsiaTheme="minorEastAsia"/>
                <w:sz w:val="21"/>
                <w:szCs w:val="21"/>
              </w:rPr>
              <w:t>(</w:t>
            </w:r>
            <w:r>
              <w:rPr>
                <w:rFonts w:eastAsiaTheme="minorEastAsia"/>
                <w:sz w:val="21"/>
                <w:szCs w:val="21"/>
              </w:rPr>
              <w:t>1.2%)</w:t>
            </w:r>
          </w:p>
          <w:p>
            <w:pPr>
              <w:spacing w:line="300" w:lineRule="exact"/>
              <w:jc w:val="center"/>
              <w:rPr>
                <w:rFonts w:eastAsiaTheme="minorEastAsia"/>
                <w:sz w:val="21"/>
                <w:szCs w:val="21"/>
              </w:rPr>
            </w:pPr>
            <w:r>
              <w:rPr>
                <w:rFonts w:eastAsiaTheme="minorEastAsia"/>
                <w:sz w:val="21"/>
                <w:szCs w:val="21"/>
              </w:rPr>
              <w:t>O</w:t>
            </w:r>
            <w:r>
              <w:rPr>
                <w:rFonts w:eastAsiaTheme="minorEastAsia"/>
                <w:sz w:val="21"/>
                <w:szCs w:val="21"/>
                <w:vertAlign w:val="subscript"/>
              </w:rPr>
              <w:t>2</w:t>
            </w:r>
            <w:r>
              <w:rPr>
                <w:rFonts w:hint="eastAsia" w:eastAsiaTheme="minorEastAsia"/>
                <w:sz w:val="21"/>
                <w:szCs w:val="21"/>
              </w:rPr>
              <w:t>(</w:t>
            </w:r>
            <w:r>
              <w:rPr>
                <w:rFonts w:eastAsiaTheme="minorEastAsia"/>
                <w:sz w:val="21"/>
                <w:szCs w:val="21"/>
              </w:rPr>
              <w:t>4.6%)其余为水</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直接排放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无组织废气</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无组织废气G6</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粉尘</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主要产尘点</w:t>
            </w:r>
            <w:r>
              <w:rPr>
                <w:rFonts w:eastAsiaTheme="minorEastAsia"/>
                <w:sz w:val="21"/>
                <w:szCs w:val="21"/>
              </w:rPr>
              <w:t>喷雾除尘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废水</w:t>
            </w: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结晶器</w:t>
            </w:r>
            <w:r>
              <w:rPr>
                <w:rFonts w:eastAsiaTheme="minorEastAsia"/>
                <w:sz w:val="21"/>
                <w:szCs w:val="21"/>
              </w:rPr>
              <w:t>设备</w:t>
            </w:r>
            <w:r>
              <w:rPr>
                <w:rFonts w:hint="eastAsia" w:eastAsiaTheme="minorEastAsia"/>
                <w:sz w:val="21"/>
                <w:szCs w:val="21"/>
              </w:rPr>
              <w:t>间接</w:t>
            </w:r>
            <w:r>
              <w:rPr>
                <w:rFonts w:eastAsiaTheme="minorEastAsia"/>
                <w:sz w:val="21"/>
                <w:szCs w:val="21"/>
              </w:rPr>
              <w:t>冷却</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净环水</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SS</w:t>
            </w:r>
            <w:r>
              <w:rPr>
                <w:rFonts w:hint="eastAsia" w:eastAsiaTheme="minorEastAsia"/>
                <w:sz w:val="21"/>
                <w:szCs w:val="21"/>
              </w:rPr>
              <w:t>等</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循环使用</w:t>
            </w:r>
            <w:r>
              <w:rPr>
                <w:rFonts w:eastAsiaTheme="minorEastAsia"/>
                <w:sz w:val="21"/>
                <w:szCs w:val="21"/>
              </w:rPr>
              <w:t>，</w:t>
            </w:r>
            <w:r>
              <w:rPr>
                <w:rFonts w:hint="eastAsia" w:eastAsiaTheme="minorEastAsia"/>
                <w:sz w:val="21"/>
                <w:szCs w:val="21"/>
              </w:rPr>
              <w:t>排放水作为浊环水系统的</w:t>
            </w:r>
            <w:r>
              <w:rPr>
                <w:rFonts w:eastAsiaTheme="minorEastAsia"/>
                <w:sz w:val="21"/>
                <w:szCs w:val="21"/>
              </w:rPr>
              <w:t>补充水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铸坯冲洗、冲氧化铁皮</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浊环水</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氧化铁皮</w:t>
            </w:r>
            <w:r>
              <w:rPr>
                <w:rFonts w:hint="eastAsia" w:eastAsiaTheme="minorEastAsia"/>
                <w:sz w:val="21"/>
                <w:szCs w:val="21"/>
              </w:rPr>
              <w:t>等</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收集后</w:t>
            </w:r>
            <w:r>
              <w:rPr>
                <w:rFonts w:eastAsiaTheme="minorEastAsia"/>
                <w:sz w:val="21"/>
                <w:szCs w:val="21"/>
              </w:rPr>
              <w:t>进入浊环水系统</w:t>
            </w:r>
            <w:r>
              <w:rPr>
                <w:rFonts w:hint="eastAsia" w:eastAsiaTheme="minorEastAsia"/>
                <w:sz w:val="21"/>
                <w:szCs w:val="21"/>
              </w:rPr>
              <w:t>，</w:t>
            </w:r>
            <w:r>
              <w:rPr>
                <w:rFonts w:eastAsiaTheme="minorEastAsia"/>
                <w:sz w:val="21"/>
                <w:szCs w:val="21"/>
              </w:rPr>
              <w:t>经除油→沉淀→过滤→冷却→循环使用，不外排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制氧车间</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冷却水</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S</w:t>
            </w:r>
            <w:r>
              <w:rPr>
                <w:rFonts w:eastAsiaTheme="minorEastAsia"/>
                <w:sz w:val="21"/>
                <w:szCs w:val="21"/>
              </w:rPr>
              <w:t>S</w:t>
            </w:r>
            <w:r>
              <w:rPr>
                <w:rFonts w:hint="eastAsia" w:eastAsiaTheme="minorEastAsia"/>
                <w:sz w:val="21"/>
                <w:szCs w:val="21"/>
              </w:rPr>
              <w:t>等</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循环使用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shd w:val="clear" w:color="auto" w:fill="auto"/>
            <w:vAlign w:val="center"/>
          </w:tcPr>
          <w:p>
            <w:pPr>
              <w:spacing w:line="300" w:lineRule="exact"/>
              <w:jc w:val="center"/>
              <w:rPr>
                <w:rFonts w:eastAsiaTheme="minorEastAsia"/>
                <w:sz w:val="21"/>
                <w:szCs w:val="21"/>
              </w:rPr>
            </w:pPr>
            <w:r>
              <w:rPr>
                <w:rFonts w:eastAsiaTheme="minorEastAsia"/>
                <w:sz w:val="21"/>
                <w:szCs w:val="21"/>
              </w:rPr>
              <w:t>噪声</w:t>
            </w: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生产设备</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机械噪声</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机械噪声</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低噪声设备与工艺</w:t>
            </w:r>
            <w:r>
              <w:rPr>
                <w:rFonts w:hint="eastAsia" w:eastAsiaTheme="minorEastAsia"/>
                <w:sz w:val="21"/>
                <w:szCs w:val="21"/>
              </w:rPr>
              <w:t>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restart"/>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副产物</w:t>
            </w: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二冷室冲氧化铁皮</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氧化铁皮S1</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废氧化铁皮</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收集暂存后外卖处置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连铸</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铸余渣</w:t>
            </w:r>
            <w:r>
              <w:rPr>
                <w:rFonts w:eastAsiaTheme="minorEastAsia"/>
                <w:sz w:val="21"/>
                <w:szCs w:val="21"/>
              </w:rPr>
              <w:t>S2</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废金属渣</w:t>
            </w:r>
          </w:p>
        </w:tc>
        <w:tc>
          <w:tcPr>
            <w:tcW w:w="3298" w:type="dxa"/>
            <w:vMerge w:val="restart"/>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收集暂存后回用于炼钢工序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检验</w:t>
            </w:r>
            <w:r>
              <w:rPr>
                <w:rFonts w:hint="eastAsia" w:eastAsiaTheme="minorEastAsia"/>
                <w:sz w:val="21"/>
                <w:szCs w:val="21"/>
              </w:rPr>
              <w:t>、</w:t>
            </w:r>
            <w:r>
              <w:rPr>
                <w:rFonts w:eastAsiaTheme="minorEastAsia"/>
                <w:sz w:val="21"/>
                <w:szCs w:val="21"/>
              </w:rPr>
              <w:t>切头切尾</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废钢</w:t>
            </w:r>
            <w:r>
              <w:rPr>
                <w:rFonts w:eastAsiaTheme="minorEastAsia"/>
                <w:sz w:val="21"/>
                <w:szCs w:val="21"/>
              </w:rPr>
              <w:t>S3</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废钢</w:t>
            </w:r>
          </w:p>
        </w:tc>
        <w:tc>
          <w:tcPr>
            <w:tcW w:w="3298" w:type="dxa"/>
            <w:vMerge w:val="continue"/>
            <w:tcBorders>
              <w:left w:val="single" w:color="auto" w:sz="4" w:space="0"/>
            </w:tcBorders>
            <w:shd w:val="clear" w:color="auto" w:fill="auto"/>
            <w:vAlign w:val="center"/>
          </w:tcPr>
          <w:p>
            <w:pPr>
              <w:spacing w:line="300" w:lineRule="exact"/>
              <w:jc w:val="center"/>
              <w:rPr>
                <w:rFonts w:eastAsiaTheme="minorEastAsia"/>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除尘器</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除尘器灰S4</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除尘器收集的灰</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设备维护保养</w:t>
            </w:r>
            <w:r>
              <w:rPr>
                <w:rFonts w:hint="eastAsia" w:eastAsiaTheme="minorEastAsia"/>
                <w:sz w:val="21"/>
                <w:szCs w:val="21"/>
              </w:rPr>
              <w:t>、</w:t>
            </w:r>
            <w:r>
              <w:rPr>
                <w:rFonts w:eastAsiaTheme="minorEastAsia"/>
                <w:sz w:val="21"/>
                <w:szCs w:val="21"/>
              </w:rPr>
              <w:t>浊环水系统</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废润滑油</w:t>
            </w:r>
            <w:r>
              <w:rPr>
                <w:rFonts w:hint="eastAsia" w:eastAsiaTheme="minorEastAsia"/>
                <w:sz w:val="21"/>
                <w:szCs w:val="21"/>
              </w:rPr>
              <w:t>、</w:t>
            </w:r>
            <w:r>
              <w:rPr>
                <w:rFonts w:eastAsiaTheme="minorEastAsia"/>
                <w:sz w:val="21"/>
                <w:szCs w:val="21"/>
              </w:rPr>
              <w:t>废油S5</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废油</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设备维护保养</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废耐火材料S6</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废耐火材料</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收集暂存后外卖处置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eastAsiaTheme="minorEastAsia"/>
                <w:sz w:val="21"/>
                <w:szCs w:val="21"/>
              </w:rPr>
              <w:t>包装材料</w:t>
            </w:r>
          </w:p>
        </w:tc>
        <w:tc>
          <w:tcPr>
            <w:tcW w:w="1566"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废包装桶S7</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废润滑油包装桶</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eastAsiaTheme="minorEastAsia"/>
                <w:sz w:val="21"/>
                <w:szCs w:val="21"/>
              </w:rPr>
              <w:t>收集暂存后委托有资质单位处置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精炼炉</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炉渣S8</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精炼炉炉渣</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收集暂存后由企业钢渣车间处理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制氧车间</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废分子筛S</w:t>
            </w:r>
            <w:r>
              <w:rPr>
                <w:rFonts w:eastAsiaTheme="minorEastAsia"/>
                <w:sz w:val="21"/>
                <w:szCs w:val="21"/>
              </w:rPr>
              <w:t>9</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废分子筛</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收集</w:t>
            </w:r>
            <w:r>
              <w:rPr>
                <w:rFonts w:eastAsiaTheme="minorEastAsia"/>
                <w:sz w:val="21"/>
                <w:szCs w:val="21"/>
              </w:rPr>
              <w:t>后</w:t>
            </w:r>
            <w:r>
              <w:rPr>
                <w:rFonts w:hint="eastAsia" w:eastAsiaTheme="minorEastAsia"/>
                <w:sz w:val="21"/>
                <w:szCs w:val="21"/>
              </w:rPr>
              <w:t>厂家</w:t>
            </w:r>
            <w:r>
              <w:rPr>
                <w:rFonts w:eastAsiaTheme="minorEastAsia"/>
                <w:sz w:val="21"/>
                <w:szCs w:val="21"/>
              </w:rPr>
              <w:t>回收利用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31" w:type="dxa"/>
            <w:vMerge w:val="continue"/>
            <w:shd w:val="clear" w:color="auto" w:fill="auto"/>
            <w:vAlign w:val="center"/>
          </w:tcPr>
          <w:p>
            <w:pPr>
              <w:spacing w:line="300" w:lineRule="exact"/>
              <w:jc w:val="center"/>
              <w:rPr>
                <w:rFonts w:eastAsiaTheme="minorEastAsia"/>
                <w:sz w:val="21"/>
                <w:szCs w:val="21"/>
              </w:rPr>
            </w:pPr>
          </w:p>
        </w:tc>
        <w:tc>
          <w:tcPr>
            <w:tcW w:w="1729"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布袋更换</w:t>
            </w:r>
          </w:p>
        </w:tc>
        <w:tc>
          <w:tcPr>
            <w:tcW w:w="1566"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废布袋S10</w:t>
            </w:r>
          </w:p>
        </w:tc>
        <w:tc>
          <w:tcPr>
            <w:tcW w:w="1237" w:type="dxa"/>
            <w:tcBorders>
              <w:righ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废布袋</w:t>
            </w:r>
          </w:p>
        </w:tc>
        <w:tc>
          <w:tcPr>
            <w:tcW w:w="3298" w:type="dxa"/>
            <w:tcBorders>
              <w:left w:val="single" w:color="auto" w:sz="4" w:space="0"/>
            </w:tcBorders>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有及暂存</w:t>
            </w:r>
            <w:r>
              <w:rPr>
                <w:rFonts w:eastAsiaTheme="minorEastAsia"/>
                <w:sz w:val="21"/>
                <w:szCs w:val="21"/>
              </w:rPr>
              <w:t>后委托有资质单位处置</w:t>
            </w:r>
          </w:p>
        </w:tc>
      </w:tr>
    </w:tbl>
    <w:p>
      <w:pPr>
        <w:pStyle w:val="3"/>
        <w:numPr>
          <w:ilvl w:val="1"/>
          <w:numId w:val="24"/>
        </w:numPr>
        <w:rPr>
          <w:rFonts w:ascii="Times New Roman" w:hAnsi="Times New Roman"/>
          <w:lang w:eastAsia="zh-CN"/>
        </w:rPr>
      </w:pPr>
      <w:bookmarkStart w:id="109" w:name="_Toc10637155"/>
      <w:bookmarkStart w:id="110" w:name="_Toc381697482"/>
      <w:bookmarkStart w:id="111" w:name="_Toc367887864"/>
      <w:bookmarkStart w:id="112" w:name="_Toc316561638"/>
      <w:bookmarkStart w:id="113" w:name="_Toc316511047"/>
      <w:r>
        <w:rPr>
          <w:rFonts w:ascii="Times New Roman" w:hAnsi="Times New Roman"/>
        </w:rPr>
        <w:t>污染源强分析</w:t>
      </w:r>
      <w:bookmarkEnd w:id="109"/>
      <w:bookmarkEnd w:id="110"/>
      <w:bookmarkEnd w:id="111"/>
      <w:bookmarkEnd w:id="112"/>
      <w:bookmarkEnd w:id="113"/>
    </w:p>
    <w:p>
      <w:pPr>
        <w:pStyle w:val="5"/>
        <w:numPr>
          <w:ilvl w:val="2"/>
          <w:numId w:val="24"/>
        </w:numPr>
        <w:spacing w:line="360" w:lineRule="exact"/>
        <w:rPr>
          <w:rFonts w:ascii="Times New Roman"/>
        </w:rPr>
      </w:pPr>
      <w:r>
        <w:rPr>
          <w:rFonts w:ascii="Times New Roman"/>
        </w:rPr>
        <w:t>废气</w:t>
      </w:r>
    </w:p>
    <w:p>
      <w:pPr>
        <w:spacing w:line="480" w:lineRule="exact"/>
        <w:ind w:firstLine="475" w:firstLineChars="196"/>
        <w:rPr>
          <w:rFonts w:eastAsiaTheme="minorEastAsia"/>
          <w:sz w:val="24"/>
        </w:rPr>
      </w:pPr>
      <w:r>
        <w:rPr>
          <w:rFonts w:hint="eastAsia" w:eastAsiaTheme="minorEastAsia"/>
          <w:sz w:val="24"/>
        </w:rPr>
        <w:t>根据</w:t>
      </w:r>
      <w:r>
        <w:rPr>
          <w:rFonts w:eastAsiaTheme="minorEastAsia"/>
          <w:sz w:val="24"/>
        </w:rPr>
        <w:t>产</w:t>
      </w:r>
      <w:r>
        <w:rPr>
          <w:rFonts w:hint="eastAsia" w:eastAsiaTheme="minorEastAsia"/>
          <w:sz w:val="24"/>
        </w:rPr>
        <w:t>污</w:t>
      </w:r>
      <w:r>
        <w:rPr>
          <w:rFonts w:eastAsiaTheme="minorEastAsia"/>
          <w:sz w:val="24"/>
        </w:rPr>
        <w:t>环节分析，项目营运期产生的废气主要包括精炼废气（G1）、钢包、中间包烘烤天然气燃烧废气（G2）、连铸</w:t>
      </w:r>
      <w:r>
        <w:rPr>
          <w:rFonts w:hint="eastAsia" w:eastAsiaTheme="minorEastAsia"/>
          <w:sz w:val="24"/>
        </w:rPr>
        <w:t>切割</w:t>
      </w:r>
      <w:r>
        <w:rPr>
          <w:rFonts w:eastAsiaTheme="minorEastAsia"/>
          <w:sz w:val="24"/>
        </w:rPr>
        <w:t>废气（G3）、二冷区产生的水蒸汽G4</w:t>
      </w:r>
      <w:r>
        <w:rPr>
          <w:rFonts w:hint="eastAsia" w:eastAsiaTheme="minorEastAsia"/>
          <w:sz w:val="24"/>
        </w:rPr>
        <w:t>、污氮G5</w:t>
      </w:r>
      <w:r>
        <w:rPr>
          <w:rFonts w:eastAsiaTheme="minorEastAsia"/>
          <w:sz w:val="24"/>
        </w:rPr>
        <w:t>及车间无组织废气</w:t>
      </w:r>
      <w:r>
        <w:rPr>
          <w:rFonts w:hint="eastAsia" w:eastAsiaTheme="minorEastAsia"/>
          <w:sz w:val="24"/>
        </w:rPr>
        <w:t>G6</w:t>
      </w:r>
      <w:r>
        <w:rPr>
          <w:rFonts w:eastAsiaTheme="minorEastAsia"/>
          <w:sz w:val="24"/>
        </w:rPr>
        <w:t>。项目对于二冷区产生的水蒸汽G4，连铸车间设置了排蒸汽系统处理二冷区水蒸汽，用排风机将废汽通过管道输至屋顶排放</w:t>
      </w:r>
      <w:r>
        <w:rPr>
          <w:rFonts w:hint="eastAsia" w:eastAsiaTheme="minorEastAsia"/>
          <w:sz w:val="24"/>
        </w:rPr>
        <w:t>；</w:t>
      </w:r>
      <w:r>
        <w:rPr>
          <w:rFonts w:eastAsiaTheme="minorEastAsia"/>
          <w:sz w:val="24"/>
        </w:rPr>
        <w:t>对于制氧车间产生的</w:t>
      </w:r>
      <w:r>
        <w:rPr>
          <w:rFonts w:hint="eastAsia" w:eastAsiaTheme="minorEastAsia"/>
          <w:sz w:val="24"/>
        </w:rPr>
        <w:t>污氮G5，</w:t>
      </w:r>
      <w:r>
        <w:rPr>
          <w:rFonts w:eastAsiaTheme="minorEastAsia"/>
          <w:sz w:val="24"/>
        </w:rPr>
        <w:t>其主要成分为氮气、氩气及水分，无</w:t>
      </w:r>
      <w:r>
        <w:rPr>
          <w:rFonts w:hint="eastAsia" w:eastAsiaTheme="minorEastAsia"/>
          <w:sz w:val="24"/>
        </w:rPr>
        <w:t>有害</w:t>
      </w:r>
      <w:r>
        <w:rPr>
          <w:rFonts w:eastAsiaTheme="minorEastAsia"/>
          <w:sz w:val="24"/>
        </w:rPr>
        <w:t>成分，均直接排放到大气环境中。</w:t>
      </w:r>
    </w:p>
    <w:p>
      <w:pPr>
        <w:pStyle w:val="4"/>
        <w:spacing w:line="480" w:lineRule="exact"/>
        <w:rPr>
          <w:rFonts w:ascii="Times New Roman" w:hAnsi="Times New Roman" w:cs="Times New Roman" w:eastAsiaTheme="minorEastAsia"/>
          <w:spacing w:val="0"/>
        </w:rPr>
      </w:pP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1</w:t>
      </w:r>
      <w:r>
        <w:rPr>
          <w:rFonts w:hint="eastAsia" w:ascii="Times New Roman" w:hAnsi="Times New Roman" w:cs="Times New Roman" w:eastAsiaTheme="minorEastAsia"/>
          <w:spacing w:val="0"/>
        </w:rPr>
        <w:t>)精炼废气G1</w:t>
      </w:r>
    </w:p>
    <w:p>
      <w:pPr>
        <w:pStyle w:val="4"/>
        <w:spacing w:line="480" w:lineRule="exact"/>
        <w:rPr>
          <w:rFonts w:ascii="Times New Roman" w:hAnsi="Times New Roman" w:cs="Times New Roman" w:eastAsiaTheme="minorEastAsia"/>
          <w:spacing w:val="0"/>
        </w:rPr>
      </w:pPr>
      <w:r>
        <w:rPr>
          <w:rFonts w:hint="eastAsia" w:ascii="Times New Roman" w:hAnsi="Times New Roman" w:cs="Times New Roman" w:eastAsiaTheme="minorEastAsia"/>
          <w:spacing w:val="0"/>
        </w:rPr>
        <w:t>根据设计</w:t>
      </w:r>
      <w:r>
        <w:rPr>
          <w:rFonts w:ascii="Times New Roman" w:hAnsi="Times New Roman" w:cs="Times New Roman" w:eastAsiaTheme="minorEastAsia"/>
          <w:spacing w:val="0"/>
        </w:rPr>
        <w:t>资料，项目新建的</w:t>
      </w:r>
      <w:r>
        <w:rPr>
          <w:rFonts w:hint="eastAsia" w:ascii="Times New Roman" w:hAnsi="Times New Roman" w:cs="Times New Roman" w:eastAsiaTheme="minorEastAsia"/>
          <w:spacing w:val="0"/>
        </w:rPr>
        <w:t>LF 炉设炉盖罩（罩</w:t>
      </w:r>
      <w:r>
        <w:rPr>
          <w:rFonts w:ascii="Times New Roman" w:hAnsi="Times New Roman" w:cs="Times New Roman" w:eastAsiaTheme="minorEastAsia"/>
          <w:spacing w:val="0"/>
        </w:rPr>
        <w:t>口直径为Ø2.8</w:t>
      </w:r>
      <w:r>
        <w:rPr>
          <w:rFonts w:hint="eastAsia" w:ascii="Times New Roman" w:hAnsi="Times New Roman" w:cs="Times New Roman" w:eastAsiaTheme="minorEastAsia"/>
          <w:spacing w:val="0"/>
        </w:rPr>
        <w:t>m）捕集烟气；VD 炉设排烟孔在抽真空时排出烟气进入除尘系统；上料、加料系统通过在密闭皮带通廊上设置排气口抽排含尘废气进入除尘系统，经</w:t>
      </w:r>
      <w:r>
        <w:rPr>
          <w:rFonts w:ascii="Times New Roman" w:hAnsi="Times New Roman" w:cs="Times New Roman" w:eastAsiaTheme="minorEastAsia"/>
          <w:spacing w:val="0"/>
        </w:rPr>
        <w:t>采取上述措施后，烟气</w:t>
      </w:r>
      <w:r>
        <w:rPr>
          <w:rFonts w:hint="eastAsia" w:ascii="Times New Roman" w:hAnsi="Times New Roman" w:cs="Times New Roman" w:eastAsiaTheme="minorEastAsia"/>
          <w:spacing w:val="0"/>
        </w:rPr>
        <w:t>捕集效率≥</w:t>
      </w:r>
      <w:r>
        <w:rPr>
          <w:rFonts w:ascii="Times New Roman" w:hAnsi="Times New Roman" w:cs="Times New Roman" w:eastAsiaTheme="minorEastAsia"/>
          <w:spacing w:val="0"/>
        </w:rPr>
        <w:t>95%</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现有</w:t>
      </w:r>
      <w:r>
        <w:rPr>
          <w:rFonts w:ascii="Times New Roman" w:hAnsi="Times New Roman" w:cs="Times New Roman"/>
          <w:kern w:val="0"/>
          <w:szCs w:val="24"/>
        </w:rPr>
        <w:t>换热型离线回转脉冲袋式除尘器</w:t>
      </w:r>
      <w:r>
        <w:rPr>
          <w:rFonts w:hint="eastAsia" w:ascii="Times New Roman" w:hAnsi="Times New Roman" w:cs="Times New Roman"/>
          <w:kern w:val="0"/>
          <w:szCs w:val="24"/>
        </w:rPr>
        <w:t>经</w:t>
      </w:r>
      <w:r>
        <w:rPr>
          <w:rFonts w:ascii="Times New Roman" w:hAnsi="Times New Roman" w:cs="Times New Roman"/>
          <w:kern w:val="0"/>
          <w:szCs w:val="24"/>
        </w:rPr>
        <w:t>更换覆膜滤料的布袋后</w:t>
      </w:r>
      <w:r>
        <w:rPr>
          <w:rFonts w:ascii="Times New Roman" w:hAnsi="Times New Roman" w:cs="Times New Roman" w:eastAsiaTheme="minorEastAsia"/>
          <w:spacing w:val="0"/>
        </w:rPr>
        <w:t>，除尘系统</w:t>
      </w:r>
      <w:r>
        <w:rPr>
          <w:rFonts w:hint="eastAsia" w:ascii="Times New Roman" w:hAnsi="Times New Roman" w:cs="Times New Roman" w:eastAsiaTheme="minorEastAsia"/>
          <w:spacing w:val="0"/>
        </w:rPr>
        <w:t>除尘</w:t>
      </w:r>
      <w:r>
        <w:rPr>
          <w:rFonts w:ascii="Times New Roman" w:hAnsi="Times New Roman" w:cs="Times New Roman" w:eastAsiaTheme="minorEastAsia"/>
          <w:spacing w:val="0"/>
        </w:rPr>
        <w:t>效率</w:t>
      </w:r>
      <w:r>
        <w:rPr>
          <w:rFonts w:hint="eastAsia" w:ascii="Times New Roman" w:hAnsi="Times New Roman" w:cs="Times New Roman" w:eastAsiaTheme="minorEastAsia"/>
          <w:spacing w:val="0"/>
        </w:rPr>
        <w:t>≥</w:t>
      </w:r>
      <w:r>
        <w:rPr>
          <w:rFonts w:ascii="Times New Roman" w:hAnsi="Times New Roman" w:cs="Times New Roman" w:eastAsiaTheme="minorEastAsia"/>
          <w:spacing w:val="0"/>
        </w:rPr>
        <w:t>99.5%</w:t>
      </w:r>
      <w:r>
        <w:rPr>
          <w:rFonts w:hint="eastAsia" w:ascii="Times New Roman" w:hAnsi="Times New Roman" w:cs="Times New Roman" w:eastAsiaTheme="minorEastAsia"/>
          <w:spacing w:val="0"/>
        </w:rPr>
        <w:t>。</w:t>
      </w:r>
    </w:p>
    <w:p>
      <w:pPr>
        <w:pStyle w:val="4"/>
        <w:spacing w:line="480" w:lineRule="exact"/>
        <w:rPr>
          <w:rFonts w:ascii="Times New Roman" w:hAnsi="Times New Roman" w:cs="Times New Roman" w:eastAsiaTheme="minorEastAsia"/>
          <w:spacing w:val="0"/>
        </w:rPr>
      </w:pPr>
      <w:r>
        <w:rPr>
          <w:rFonts w:hint="eastAsia" w:ascii="Times New Roman" w:hAnsi="Times New Roman" w:cs="Times New Roman" w:eastAsiaTheme="minorEastAsia"/>
          <w:spacing w:val="0"/>
        </w:rPr>
        <w:t>(2)天然气燃烧废气G2</w:t>
      </w:r>
    </w:p>
    <w:p>
      <w:pPr>
        <w:spacing w:line="480" w:lineRule="exact"/>
        <w:ind w:firstLine="486" w:firstLineChars="200"/>
        <w:rPr>
          <w:rFonts w:eastAsiaTheme="minorEastAsia"/>
          <w:sz w:val="24"/>
          <w:szCs w:val="24"/>
        </w:rPr>
      </w:pPr>
      <w:r>
        <w:rPr>
          <w:rFonts w:eastAsiaTheme="minorEastAsia"/>
          <w:sz w:val="24"/>
          <w:szCs w:val="24"/>
        </w:rPr>
        <w:t>项目中间罐保温、水口烘烤采用天然气燃烧保温，本工程天然气用户平均用量为155Nm</w:t>
      </w:r>
      <w:r>
        <w:rPr>
          <w:rFonts w:eastAsiaTheme="minorEastAsia"/>
          <w:sz w:val="24"/>
          <w:szCs w:val="24"/>
          <w:vertAlign w:val="superscript"/>
        </w:rPr>
        <w:t>3</w:t>
      </w:r>
      <w:r>
        <w:rPr>
          <w:rFonts w:eastAsiaTheme="minorEastAsia"/>
          <w:sz w:val="24"/>
          <w:szCs w:val="24"/>
        </w:rPr>
        <w:t>/h，按年工作3900h核算，项目天然气消耗量为60.45万Nm</w:t>
      </w:r>
      <w:r>
        <w:rPr>
          <w:rFonts w:eastAsiaTheme="minorEastAsia"/>
          <w:sz w:val="24"/>
          <w:szCs w:val="24"/>
          <w:vertAlign w:val="superscript"/>
        </w:rPr>
        <w:t>3</w:t>
      </w:r>
      <w:r>
        <w:rPr>
          <w:rFonts w:eastAsiaTheme="minorEastAsia"/>
          <w:sz w:val="24"/>
          <w:szCs w:val="24"/>
        </w:rPr>
        <w:t>/a，根据《环境保护实用数据手册》</w:t>
      </w:r>
      <w:r>
        <w:rPr>
          <w:rFonts w:hint="eastAsia" w:eastAsiaTheme="minorEastAsia"/>
          <w:sz w:val="24"/>
          <w:szCs w:val="24"/>
        </w:rPr>
        <w:t>表2-83各种燃料燃烧时产生的污染物</w:t>
      </w:r>
      <w:r>
        <w:rPr>
          <w:rFonts w:eastAsiaTheme="minorEastAsia"/>
          <w:sz w:val="24"/>
          <w:szCs w:val="24"/>
        </w:rPr>
        <w:t>，</w:t>
      </w:r>
      <w:r>
        <w:rPr>
          <w:rFonts w:hint="eastAsia" w:eastAsiaTheme="minorEastAsia"/>
          <w:sz w:val="24"/>
          <w:szCs w:val="24"/>
        </w:rPr>
        <w:t>天然气燃烧时各</w:t>
      </w:r>
      <w:r>
        <w:rPr>
          <w:rFonts w:eastAsiaTheme="minorEastAsia"/>
          <w:sz w:val="24"/>
          <w:szCs w:val="24"/>
        </w:rPr>
        <w:t>污染因子产生系数为废气量10.5Nm</w:t>
      </w:r>
      <w:r>
        <w:rPr>
          <w:rFonts w:eastAsiaTheme="minorEastAsia"/>
          <w:sz w:val="24"/>
          <w:szCs w:val="24"/>
          <w:vertAlign w:val="superscript"/>
        </w:rPr>
        <w:t>3</w:t>
      </w:r>
      <w:r>
        <w:rPr>
          <w:rFonts w:eastAsiaTheme="minorEastAsia"/>
          <w:sz w:val="24"/>
          <w:szCs w:val="24"/>
        </w:rPr>
        <w:t>/Nm</w:t>
      </w:r>
      <w:r>
        <w:rPr>
          <w:rFonts w:eastAsiaTheme="minorEastAsia"/>
          <w:sz w:val="24"/>
          <w:szCs w:val="24"/>
          <w:vertAlign w:val="superscript"/>
        </w:rPr>
        <w:t>3</w:t>
      </w:r>
      <w:r>
        <w:rPr>
          <w:rFonts w:eastAsiaTheme="minorEastAsia"/>
          <w:sz w:val="24"/>
          <w:szCs w:val="24"/>
        </w:rPr>
        <w:t>，烟尘240kg/10</w:t>
      </w:r>
      <w:r>
        <w:rPr>
          <w:rFonts w:eastAsiaTheme="minorEastAsia"/>
          <w:sz w:val="24"/>
          <w:szCs w:val="24"/>
          <w:vertAlign w:val="superscript"/>
        </w:rPr>
        <w:t>6</w:t>
      </w:r>
      <w:r>
        <w:rPr>
          <w:rFonts w:eastAsiaTheme="minorEastAsia"/>
          <w:sz w:val="24"/>
          <w:szCs w:val="24"/>
        </w:rPr>
        <w:t>Nm</w:t>
      </w:r>
      <w:r>
        <w:rPr>
          <w:rFonts w:eastAsiaTheme="minorEastAsia"/>
          <w:sz w:val="24"/>
          <w:szCs w:val="24"/>
          <w:vertAlign w:val="superscript"/>
        </w:rPr>
        <w:t>3</w:t>
      </w:r>
      <w:r>
        <w:rPr>
          <w:rFonts w:eastAsiaTheme="minorEastAsia"/>
          <w:sz w:val="24"/>
          <w:szCs w:val="24"/>
        </w:rPr>
        <w:t>，SO</w:t>
      </w:r>
      <w:r>
        <w:rPr>
          <w:rFonts w:eastAsiaTheme="minorEastAsia"/>
          <w:sz w:val="24"/>
          <w:szCs w:val="24"/>
          <w:vertAlign w:val="subscript"/>
        </w:rPr>
        <w:t>2</w:t>
      </w:r>
      <w:r>
        <w:rPr>
          <w:rFonts w:eastAsiaTheme="minorEastAsia"/>
          <w:sz w:val="24"/>
          <w:szCs w:val="24"/>
        </w:rPr>
        <w:t>100kg/10</w:t>
      </w:r>
      <w:r>
        <w:rPr>
          <w:rFonts w:eastAsiaTheme="minorEastAsia"/>
          <w:sz w:val="24"/>
          <w:szCs w:val="24"/>
          <w:vertAlign w:val="superscript"/>
        </w:rPr>
        <w:t>6</w:t>
      </w:r>
      <w:r>
        <w:rPr>
          <w:rFonts w:eastAsiaTheme="minorEastAsia"/>
          <w:sz w:val="24"/>
          <w:szCs w:val="24"/>
        </w:rPr>
        <w:t>Nm</w:t>
      </w:r>
      <w:r>
        <w:rPr>
          <w:rFonts w:eastAsiaTheme="minorEastAsia"/>
          <w:sz w:val="24"/>
          <w:szCs w:val="24"/>
          <w:vertAlign w:val="superscript"/>
        </w:rPr>
        <w:t>3</w:t>
      </w:r>
      <w:r>
        <w:rPr>
          <w:rFonts w:eastAsiaTheme="minorEastAsia"/>
          <w:sz w:val="24"/>
          <w:szCs w:val="24"/>
        </w:rPr>
        <w:t>，NO</w:t>
      </w:r>
      <w:r>
        <w:rPr>
          <w:rFonts w:eastAsiaTheme="minorEastAsia"/>
          <w:sz w:val="24"/>
          <w:szCs w:val="24"/>
          <w:vertAlign w:val="subscript"/>
        </w:rPr>
        <w:t>x</w:t>
      </w:r>
      <w:r>
        <w:rPr>
          <w:rFonts w:eastAsiaTheme="minorEastAsia"/>
          <w:sz w:val="24"/>
          <w:szCs w:val="24"/>
        </w:rPr>
        <w:t>630kg/10</w:t>
      </w:r>
      <w:r>
        <w:rPr>
          <w:rFonts w:eastAsiaTheme="minorEastAsia"/>
          <w:sz w:val="24"/>
          <w:szCs w:val="24"/>
          <w:vertAlign w:val="superscript"/>
        </w:rPr>
        <w:t>6</w:t>
      </w:r>
      <w:r>
        <w:rPr>
          <w:rFonts w:eastAsiaTheme="minorEastAsia"/>
          <w:sz w:val="24"/>
          <w:szCs w:val="24"/>
        </w:rPr>
        <w:t>Nm</w:t>
      </w:r>
      <w:r>
        <w:rPr>
          <w:rFonts w:eastAsiaTheme="minorEastAsia"/>
          <w:sz w:val="24"/>
          <w:szCs w:val="24"/>
          <w:vertAlign w:val="superscript"/>
        </w:rPr>
        <w:t>3</w:t>
      </w:r>
      <w:r>
        <w:rPr>
          <w:rFonts w:eastAsiaTheme="minorEastAsia"/>
          <w:sz w:val="24"/>
          <w:szCs w:val="24"/>
        </w:rPr>
        <w:t>。</w:t>
      </w:r>
    </w:p>
    <w:p>
      <w:pPr>
        <w:pStyle w:val="4"/>
        <w:spacing w:line="480" w:lineRule="exact"/>
        <w:rPr>
          <w:rFonts w:ascii="Times New Roman" w:hAnsi="Times New Roman" w:cs="Times New Roman" w:eastAsiaTheme="minorEastAsia"/>
        </w:rPr>
      </w:pPr>
      <w:r>
        <w:rPr>
          <w:rFonts w:hint="eastAsia" w:ascii="Times New Roman" w:hAnsi="Times New Roman" w:cs="Times New Roman" w:eastAsiaTheme="minorEastAsia"/>
        </w:rPr>
        <w:t>中间罐保温、水口烘烤采用天然气燃烧，燃烧</w:t>
      </w:r>
      <w:r>
        <w:rPr>
          <w:rFonts w:ascii="Times New Roman" w:hAnsi="Times New Roman" w:cs="Times New Roman" w:eastAsiaTheme="minorEastAsia"/>
        </w:rPr>
        <w:t>废气</w:t>
      </w:r>
      <w:r>
        <w:rPr>
          <w:rFonts w:hint="eastAsia" w:ascii="Times New Roman" w:hAnsi="Times New Roman" w:cs="Times New Roman" w:eastAsiaTheme="minorEastAsia"/>
        </w:rPr>
        <w:t>污染物产生量少，以无组织形式排放。</w:t>
      </w:r>
    </w:p>
    <w:p>
      <w:pPr>
        <w:spacing w:line="480" w:lineRule="exact"/>
        <w:ind w:firstLine="486" w:firstLineChars="200"/>
        <w:rPr>
          <w:rFonts w:eastAsiaTheme="minorEastAsia"/>
          <w:sz w:val="24"/>
        </w:rPr>
      </w:pPr>
      <w:r>
        <w:rPr>
          <w:rFonts w:eastAsiaTheme="minorEastAsia"/>
          <w:sz w:val="24"/>
        </w:rPr>
        <w:t>(3) 连铸</w:t>
      </w:r>
      <w:r>
        <w:rPr>
          <w:rFonts w:hint="eastAsia" w:eastAsiaTheme="minorEastAsia"/>
          <w:sz w:val="24"/>
        </w:rPr>
        <w:t>切割</w:t>
      </w:r>
      <w:r>
        <w:rPr>
          <w:rFonts w:eastAsiaTheme="minorEastAsia"/>
          <w:sz w:val="24"/>
        </w:rPr>
        <w:t>废气G3</w:t>
      </w:r>
    </w:p>
    <w:p>
      <w:pPr>
        <w:spacing w:line="480" w:lineRule="exact"/>
        <w:ind w:firstLine="486" w:firstLineChars="200"/>
        <w:rPr>
          <w:rFonts w:eastAsiaTheme="minorEastAsia"/>
          <w:sz w:val="24"/>
        </w:rPr>
      </w:pPr>
      <w:r>
        <w:rPr>
          <w:rFonts w:eastAsiaTheme="minorEastAsia"/>
          <w:sz w:val="24"/>
        </w:rPr>
        <w:t>连铸坯火焰切割机是利用燃气和氧气将铸坯快速燃烧，达到切断铸坯的目的</w:t>
      </w:r>
      <w:r>
        <w:rPr>
          <w:rFonts w:hint="eastAsia" w:eastAsiaTheme="minorEastAsia"/>
          <w:sz w:val="24"/>
        </w:rPr>
        <w:t>，</w:t>
      </w:r>
      <w:r>
        <w:rPr>
          <w:rFonts w:eastAsiaTheme="minorEastAsia"/>
          <w:sz w:val="24"/>
        </w:rPr>
        <w:t>连铸坯在线火焰切割过程会产生少量烟尘。</w:t>
      </w:r>
    </w:p>
    <w:p>
      <w:pPr>
        <w:spacing w:line="480" w:lineRule="exact"/>
        <w:ind w:firstLine="486" w:firstLineChars="200"/>
        <w:rPr>
          <w:rFonts w:eastAsiaTheme="minorEastAsia"/>
          <w:sz w:val="24"/>
          <w:szCs w:val="24"/>
        </w:rPr>
      </w:pPr>
      <w:r>
        <w:rPr>
          <w:rFonts w:hint="eastAsia" w:eastAsiaTheme="minorEastAsia"/>
          <w:sz w:val="24"/>
        </w:rPr>
        <w:t>对于连铸</w:t>
      </w:r>
      <w:r>
        <w:rPr>
          <w:rFonts w:eastAsiaTheme="minorEastAsia"/>
          <w:sz w:val="24"/>
        </w:rPr>
        <w:t>火焰切割机，</w:t>
      </w:r>
      <w:r>
        <w:rPr>
          <w:rFonts w:hint="eastAsia" w:eastAsiaTheme="minorEastAsia"/>
          <w:sz w:val="24"/>
          <w:szCs w:val="24"/>
        </w:rPr>
        <w:t>设计</w:t>
      </w:r>
      <w:r>
        <w:rPr>
          <w:rFonts w:eastAsiaTheme="minorEastAsia"/>
          <w:sz w:val="24"/>
          <w:szCs w:val="24"/>
        </w:rPr>
        <w:t>在切割机上</w:t>
      </w:r>
      <w:r>
        <w:rPr>
          <w:rFonts w:hint="eastAsia" w:eastAsiaTheme="minorEastAsia"/>
          <w:sz w:val="24"/>
          <w:szCs w:val="24"/>
        </w:rPr>
        <w:t>方</w:t>
      </w:r>
      <w:r>
        <w:rPr>
          <w:rFonts w:eastAsiaTheme="minorEastAsia"/>
          <w:sz w:val="24"/>
          <w:szCs w:val="24"/>
        </w:rPr>
        <w:t>设置集气罩</w:t>
      </w:r>
      <w:r>
        <w:rPr>
          <w:rFonts w:hint="eastAsia" w:eastAsiaTheme="minorEastAsia"/>
          <w:sz w:val="24"/>
          <w:szCs w:val="24"/>
        </w:rPr>
        <w:t>（罩口尺寸</w:t>
      </w:r>
      <w:r>
        <w:rPr>
          <w:rFonts w:eastAsiaTheme="minorEastAsia"/>
          <w:sz w:val="24"/>
          <w:szCs w:val="24"/>
        </w:rPr>
        <w:t>为7m×6m</w:t>
      </w:r>
      <w:r>
        <w:rPr>
          <w:rFonts w:hint="eastAsia" w:eastAsiaTheme="minorEastAsia"/>
          <w:sz w:val="24"/>
          <w:szCs w:val="24"/>
        </w:rPr>
        <w:t>）</w:t>
      </w:r>
      <w:r>
        <w:rPr>
          <w:rFonts w:eastAsiaTheme="minorEastAsia"/>
          <w:sz w:val="24"/>
          <w:szCs w:val="24"/>
        </w:rPr>
        <w:t>，罩口覆盖整台切割机</w:t>
      </w:r>
      <w:r>
        <w:rPr>
          <w:rFonts w:hint="eastAsia" w:eastAsiaTheme="minorEastAsia"/>
          <w:sz w:val="24"/>
          <w:szCs w:val="24"/>
        </w:rPr>
        <w:t>，</w:t>
      </w:r>
      <w:r>
        <w:rPr>
          <w:rFonts w:eastAsiaTheme="minorEastAsia"/>
          <w:sz w:val="24"/>
          <w:szCs w:val="24"/>
        </w:rPr>
        <w:t>总集气面积42m</w:t>
      </w:r>
      <w:r>
        <w:rPr>
          <w:rFonts w:eastAsiaTheme="minorEastAsia"/>
          <w:sz w:val="24"/>
          <w:szCs w:val="24"/>
          <w:vertAlign w:val="superscript"/>
        </w:rPr>
        <w:t>2</w:t>
      </w:r>
      <w:r>
        <w:rPr>
          <w:rFonts w:eastAsiaTheme="minorEastAsia"/>
          <w:sz w:val="24"/>
          <w:szCs w:val="24"/>
        </w:rPr>
        <w:t>，按罩口</w:t>
      </w:r>
      <w:r>
        <w:rPr>
          <w:rFonts w:hint="eastAsia" w:eastAsiaTheme="minorEastAsia"/>
          <w:sz w:val="24"/>
          <w:szCs w:val="24"/>
        </w:rPr>
        <w:t>控制</w:t>
      </w:r>
      <w:r>
        <w:rPr>
          <w:rFonts w:eastAsiaTheme="minorEastAsia"/>
          <w:sz w:val="24"/>
          <w:szCs w:val="24"/>
        </w:rPr>
        <w:t>风速0.2m/s计，则集气风量为30000m</w:t>
      </w:r>
      <w:r>
        <w:rPr>
          <w:rFonts w:eastAsiaTheme="minorEastAsia"/>
          <w:sz w:val="24"/>
          <w:szCs w:val="24"/>
          <w:vertAlign w:val="superscript"/>
        </w:rPr>
        <w:t>3</w:t>
      </w:r>
      <w:r>
        <w:rPr>
          <w:rFonts w:eastAsiaTheme="minorEastAsia"/>
          <w:sz w:val="24"/>
          <w:szCs w:val="24"/>
        </w:rPr>
        <w:t>/h，连铸废气经收集后</w:t>
      </w:r>
      <w:r>
        <w:rPr>
          <w:rFonts w:hint="eastAsia" w:eastAsiaTheme="minorEastAsia"/>
          <w:sz w:val="24"/>
          <w:szCs w:val="24"/>
        </w:rPr>
        <w:t>进入连铸</w:t>
      </w:r>
      <w:r>
        <w:rPr>
          <w:rFonts w:eastAsiaTheme="minorEastAsia"/>
          <w:sz w:val="24"/>
          <w:szCs w:val="24"/>
        </w:rPr>
        <w:t>布袋除尘器，经除尘后纳入现有</w:t>
      </w:r>
      <w:r>
        <w:rPr>
          <w:rFonts w:hint="eastAsia" w:eastAsiaTheme="minorEastAsia"/>
          <w:sz w:val="24"/>
          <w:szCs w:val="24"/>
        </w:rPr>
        <w:t>进入电炉除尘器主烟道</w:t>
      </w:r>
      <w:r>
        <w:rPr>
          <w:rFonts w:asciiTheme="minorEastAsia" w:hAnsiTheme="minorEastAsia" w:eastAsiaTheme="minorEastAsia"/>
          <w:sz w:val="24"/>
          <w:szCs w:val="24"/>
        </w:rPr>
        <w:t>，</w:t>
      </w:r>
      <w:r>
        <w:rPr>
          <w:rFonts w:hint="eastAsia" w:asciiTheme="minorEastAsia" w:hAnsiTheme="minorEastAsia" w:eastAsiaTheme="minorEastAsia"/>
          <w:sz w:val="24"/>
          <w:szCs w:val="24"/>
        </w:rPr>
        <w:t>经电炉</w:t>
      </w:r>
      <w:r>
        <w:rPr>
          <w:rFonts w:hint="eastAsia" w:cs="宋体" w:asciiTheme="minorEastAsia" w:hAnsiTheme="minorEastAsia" w:eastAsiaTheme="minorEastAsia"/>
          <w:kern w:val="0"/>
          <w:sz w:val="24"/>
          <w:szCs w:val="24"/>
        </w:rPr>
        <w:t>换热型离线回转脉冲袋式除</w:t>
      </w:r>
      <w:r>
        <w:rPr>
          <w:rFonts w:hint="eastAsia" w:eastAsiaTheme="minorEastAsia"/>
          <w:sz w:val="24"/>
          <w:szCs w:val="24"/>
        </w:rPr>
        <w:t>尘</w:t>
      </w:r>
      <w:r>
        <w:rPr>
          <w:rFonts w:hint="eastAsia" w:cs="宋体" w:asciiTheme="minorEastAsia" w:hAnsiTheme="minorEastAsia" w:eastAsiaTheme="minorEastAsia"/>
          <w:kern w:val="0"/>
          <w:sz w:val="24"/>
          <w:szCs w:val="24"/>
        </w:rPr>
        <w:t>器</w:t>
      </w:r>
      <w:r>
        <w:rPr>
          <w:rFonts w:hint="eastAsia" w:eastAsiaTheme="minorEastAsia"/>
          <w:sz w:val="24"/>
          <w:szCs w:val="24"/>
        </w:rPr>
        <w:t xml:space="preserve"> (除尘率</w:t>
      </w:r>
      <w:r>
        <w:rPr>
          <w:rFonts w:eastAsiaTheme="minorEastAsia"/>
          <w:sz w:val="24"/>
          <w:szCs w:val="24"/>
        </w:rPr>
        <w:t>≥99.5%</w:t>
      </w:r>
      <w:r>
        <w:rPr>
          <w:rFonts w:hint="eastAsia" w:eastAsiaTheme="minorEastAsia"/>
          <w:sz w:val="24"/>
          <w:szCs w:val="24"/>
        </w:rPr>
        <w:t>)除尘后通过现有30m高排气筒(DA001)排放</w:t>
      </w:r>
      <w:r>
        <w:rPr>
          <w:rFonts w:eastAsiaTheme="minorEastAsia"/>
          <w:sz w:val="24"/>
          <w:szCs w:val="24"/>
        </w:rPr>
        <w:t>，其中收集效率</w:t>
      </w:r>
      <w:r>
        <w:rPr>
          <w:rFonts w:hint="eastAsia" w:eastAsiaTheme="minorEastAsia"/>
          <w:sz w:val="24"/>
          <w:szCs w:val="24"/>
        </w:rPr>
        <w:t>≥</w:t>
      </w:r>
      <w:r>
        <w:rPr>
          <w:rFonts w:eastAsiaTheme="minorEastAsia"/>
          <w:sz w:val="24"/>
          <w:szCs w:val="24"/>
        </w:rPr>
        <w:t>9</w:t>
      </w:r>
      <w:r>
        <w:rPr>
          <w:rFonts w:hint="eastAsia" w:eastAsiaTheme="minorEastAsia"/>
          <w:sz w:val="24"/>
          <w:szCs w:val="24"/>
        </w:rPr>
        <w:t>5</w:t>
      </w:r>
      <w:r>
        <w:rPr>
          <w:rFonts w:eastAsiaTheme="minorEastAsia"/>
          <w:sz w:val="24"/>
          <w:szCs w:val="24"/>
        </w:rPr>
        <w:t>%</w:t>
      </w:r>
      <w:r>
        <w:rPr>
          <w:rFonts w:hint="eastAsia" w:eastAsiaTheme="minorEastAsia"/>
          <w:sz w:val="24"/>
          <w:szCs w:val="24"/>
        </w:rPr>
        <w:t>(本报告</w:t>
      </w:r>
      <w:r>
        <w:rPr>
          <w:rFonts w:eastAsiaTheme="minorEastAsia"/>
          <w:sz w:val="24"/>
          <w:szCs w:val="24"/>
        </w:rPr>
        <w:t>按</w:t>
      </w:r>
      <w:r>
        <w:rPr>
          <w:rFonts w:hint="eastAsia" w:eastAsiaTheme="minorEastAsia"/>
          <w:sz w:val="24"/>
          <w:szCs w:val="24"/>
        </w:rPr>
        <w:t>95</w:t>
      </w:r>
      <w:r>
        <w:rPr>
          <w:rFonts w:eastAsiaTheme="minorEastAsia"/>
          <w:sz w:val="24"/>
          <w:szCs w:val="24"/>
        </w:rPr>
        <w:t>%计</w:t>
      </w:r>
      <w:r>
        <w:rPr>
          <w:rFonts w:hint="eastAsia" w:eastAsiaTheme="minorEastAsia"/>
          <w:sz w:val="24"/>
          <w:szCs w:val="24"/>
        </w:rPr>
        <w:t>)</w:t>
      </w:r>
      <w:r>
        <w:rPr>
          <w:rFonts w:eastAsiaTheme="minorEastAsia"/>
          <w:sz w:val="24"/>
          <w:szCs w:val="24"/>
        </w:rPr>
        <w:t>，</w:t>
      </w:r>
      <w:r>
        <w:rPr>
          <w:rFonts w:hint="eastAsia" w:eastAsiaTheme="minorEastAsia"/>
          <w:sz w:val="24"/>
          <w:szCs w:val="24"/>
        </w:rPr>
        <w:t>连铸</w:t>
      </w:r>
      <w:r>
        <w:rPr>
          <w:rFonts w:eastAsiaTheme="minorEastAsia"/>
          <w:sz w:val="24"/>
          <w:szCs w:val="24"/>
        </w:rPr>
        <w:t>布袋除尘效率</w:t>
      </w:r>
      <w:r>
        <w:rPr>
          <w:rFonts w:hint="eastAsia" w:eastAsiaTheme="minorEastAsia"/>
          <w:sz w:val="24"/>
          <w:szCs w:val="24"/>
        </w:rPr>
        <w:t>≥</w:t>
      </w:r>
      <w:r>
        <w:rPr>
          <w:rFonts w:eastAsiaTheme="minorEastAsia"/>
          <w:sz w:val="24"/>
          <w:szCs w:val="24"/>
        </w:rPr>
        <w:t>95%</w:t>
      </w:r>
      <w:r>
        <w:rPr>
          <w:rFonts w:hint="eastAsia" w:eastAsiaTheme="minorEastAsia"/>
          <w:sz w:val="24"/>
          <w:szCs w:val="24"/>
        </w:rPr>
        <w:t>(本报告</w:t>
      </w:r>
      <w:r>
        <w:rPr>
          <w:rFonts w:eastAsiaTheme="minorEastAsia"/>
          <w:sz w:val="24"/>
          <w:szCs w:val="24"/>
        </w:rPr>
        <w:t>按</w:t>
      </w:r>
      <w:r>
        <w:rPr>
          <w:rFonts w:hint="eastAsia" w:eastAsiaTheme="minorEastAsia"/>
          <w:sz w:val="24"/>
          <w:szCs w:val="24"/>
        </w:rPr>
        <w:t>95</w:t>
      </w:r>
      <w:r>
        <w:rPr>
          <w:rFonts w:eastAsiaTheme="minorEastAsia"/>
          <w:sz w:val="24"/>
          <w:szCs w:val="24"/>
        </w:rPr>
        <w:t>%计</w:t>
      </w:r>
      <w:r>
        <w:rPr>
          <w:rFonts w:hint="eastAsia" w:eastAsiaTheme="minorEastAsia"/>
          <w:sz w:val="24"/>
          <w:szCs w:val="24"/>
        </w:rPr>
        <w:t>)</w:t>
      </w:r>
      <w:r>
        <w:rPr>
          <w:rFonts w:eastAsiaTheme="minorEastAsia"/>
          <w:sz w:val="24"/>
          <w:szCs w:val="24"/>
        </w:rPr>
        <w:t>。</w:t>
      </w:r>
    </w:p>
    <w:p>
      <w:pPr>
        <w:spacing w:line="480" w:lineRule="exact"/>
        <w:ind w:firstLine="486" w:firstLineChars="200"/>
        <w:rPr>
          <w:rFonts w:eastAsiaTheme="minorEastAsia"/>
          <w:sz w:val="24"/>
          <w:szCs w:val="24"/>
        </w:rPr>
      </w:pPr>
      <w:r>
        <w:rPr>
          <w:rFonts w:hint="eastAsia" w:eastAsiaTheme="minorEastAsia"/>
          <w:sz w:val="24"/>
          <w:szCs w:val="24"/>
        </w:rPr>
        <w:t>(</w:t>
      </w:r>
      <w:r>
        <w:rPr>
          <w:rFonts w:eastAsiaTheme="minorEastAsia"/>
          <w:sz w:val="24"/>
          <w:szCs w:val="24"/>
        </w:rPr>
        <w:t>4</w:t>
      </w:r>
      <w:r>
        <w:rPr>
          <w:rFonts w:hint="eastAsia" w:eastAsiaTheme="minorEastAsia"/>
          <w:sz w:val="24"/>
          <w:szCs w:val="24"/>
        </w:rPr>
        <w:t>)无组织废气G6</w:t>
      </w:r>
    </w:p>
    <w:p>
      <w:pPr>
        <w:pStyle w:val="4"/>
        <w:spacing w:line="480" w:lineRule="exact"/>
        <w:rPr>
          <w:rFonts w:ascii="Times New Roman" w:hAnsi="Times New Roman" w:cs="Times New Roman" w:eastAsiaTheme="minorEastAsia"/>
          <w:spacing w:val="0"/>
        </w:rPr>
      </w:pPr>
      <w:r>
        <w:rPr>
          <w:rFonts w:hint="eastAsia" w:ascii="Times New Roman" w:hAnsi="Times New Roman" w:cs="Times New Roman" w:eastAsiaTheme="minorEastAsia"/>
          <w:spacing w:val="0"/>
        </w:rPr>
        <w:t>项目无组织</w:t>
      </w:r>
      <w:r>
        <w:rPr>
          <w:rFonts w:ascii="Times New Roman" w:hAnsi="Times New Roman" w:cs="Times New Roman" w:eastAsiaTheme="minorEastAsia"/>
          <w:spacing w:val="0"/>
        </w:rPr>
        <w:t>废气</w:t>
      </w:r>
      <w:r>
        <w:rPr>
          <w:rFonts w:hint="eastAsia" w:ascii="Times New Roman" w:hAnsi="Times New Roman" w:cs="Times New Roman" w:eastAsiaTheme="minorEastAsia"/>
          <w:spacing w:val="0"/>
        </w:rPr>
        <w:t>主要为</w:t>
      </w:r>
      <w:r>
        <w:rPr>
          <w:rFonts w:hint="eastAsia" w:eastAsiaTheme="minorEastAsia"/>
          <w:spacing w:val="0"/>
        </w:rPr>
        <w:t>连铸单元中间罐拆包、</w:t>
      </w:r>
      <w:r>
        <w:rPr>
          <w:rFonts w:eastAsiaTheme="minorEastAsia"/>
          <w:spacing w:val="0"/>
        </w:rPr>
        <w:t>倾翻</w:t>
      </w:r>
      <w:r>
        <w:rPr>
          <w:rFonts w:hint="eastAsia" w:eastAsiaTheme="minorEastAsia"/>
          <w:spacing w:val="0"/>
        </w:rPr>
        <w:t>、</w:t>
      </w:r>
      <w:r>
        <w:rPr>
          <w:rFonts w:eastAsiaTheme="minorEastAsia"/>
          <w:spacing w:val="0"/>
        </w:rPr>
        <w:t>火焰清理</w:t>
      </w:r>
      <w:r>
        <w:rPr>
          <w:rFonts w:hint="eastAsia" w:eastAsiaTheme="minorEastAsia"/>
          <w:spacing w:val="0"/>
        </w:rPr>
        <w:t>时产生的瞬时粉尘，由于瞬时粉尘产生时间较短，通过工位周边采取喷淋洒水抑尘措施进一步控制粉尘产生量，最大限度减少粉尘外逸。同时</w:t>
      </w:r>
      <w:r>
        <w:rPr>
          <w:rFonts w:eastAsiaTheme="minorEastAsia"/>
          <w:spacing w:val="0"/>
        </w:rPr>
        <w:t>，</w:t>
      </w:r>
      <w:r>
        <w:rPr>
          <w:rFonts w:hint="eastAsia" w:eastAsiaTheme="minorEastAsia"/>
          <w:spacing w:val="0"/>
        </w:rPr>
        <w:t>项目</w:t>
      </w:r>
      <w:r>
        <w:rPr>
          <w:rFonts w:eastAsiaTheme="minorEastAsia"/>
          <w:spacing w:val="0"/>
        </w:rPr>
        <w:t>生产时门窗</w:t>
      </w:r>
      <w:r>
        <w:rPr>
          <w:rFonts w:hint="eastAsia" w:eastAsiaTheme="minorEastAsia"/>
          <w:spacing w:val="0"/>
        </w:rPr>
        <w:t>在</w:t>
      </w:r>
      <w:r>
        <w:rPr>
          <w:rFonts w:eastAsiaTheme="minorEastAsia"/>
          <w:spacing w:val="0"/>
        </w:rPr>
        <w:t>非必要时均进行</w:t>
      </w:r>
      <w:r>
        <w:rPr>
          <w:rFonts w:hint="eastAsia" w:eastAsiaTheme="minorEastAsia"/>
          <w:spacing w:val="0"/>
        </w:rPr>
        <w:t>关闭</w:t>
      </w:r>
      <w:r>
        <w:rPr>
          <w:rFonts w:eastAsiaTheme="minorEastAsia"/>
          <w:spacing w:val="0"/>
        </w:rPr>
        <w:t>，做到</w:t>
      </w:r>
      <w:r>
        <w:rPr>
          <w:rFonts w:hint="eastAsia" w:eastAsiaTheme="minorEastAsia"/>
          <w:spacing w:val="0"/>
        </w:rPr>
        <w:t>密闭</w:t>
      </w:r>
      <w:r>
        <w:rPr>
          <w:rFonts w:eastAsiaTheme="minorEastAsia"/>
          <w:spacing w:val="0"/>
        </w:rPr>
        <w:t>车间</w:t>
      </w:r>
      <w:r>
        <w:rPr>
          <w:rFonts w:hint="eastAsia" w:eastAsiaTheme="minorEastAsia"/>
          <w:spacing w:val="0"/>
        </w:rPr>
        <w:t>；</w:t>
      </w:r>
      <w:r>
        <w:rPr>
          <w:rFonts w:eastAsiaTheme="minorEastAsia"/>
          <w:spacing w:val="0"/>
        </w:rPr>
        <w:t>钢水输送采用</w:t>
      </w:r>
      <w:r>
        <w:rPr>
          <w:rFonts w:hint="eastAsia" w:eastAsiaTheme="minorEastAsia"/>
          <w:spacing w:val="0"/>
        </w:rPr>
        <w:t>气力输送设备、罐车等，</w:t>
      </w:r>
      <w:r>
        <w:rPr>
          <w:rFonts w:eastAsiaTheme="minorEastAsia"/>
          <w:spacing w:val="0"/>
        </w:rPr>
        <w:t>做到密闭输送</w:t>
      </w:r>
      <w:r>
        <w:rPr>
          <w:rFonts w:hint="eastAsia" w:eastAsiaTheme="minorEastAsia"/>
          <w:spacing w:val="0"/>
        </w:rPr>
        <w:t>，</w:t>
      </w:r>
      <w:r>
        <w:rPr>
          <w:rFonts w:eastAsiaTheme="minorEastAsia"/>
          <w:spacing w:val="0"/>
        </w:rPr>
        <w:t>并且设置的</w:t>
      </w:r>
      <w:r>
        <w:rPr>
          <w:rFonts w:hint="eastAsia" w:eastAsiaTheme="minorEastAsia"/>
          <w:spacing w:val="0"/>
        </w:rPr>
        <w:t>门窗、盖板、检修口等配套设施在非必要时应关闭。</w:t>
      </w:r>
    </w:p>
    <w:p>
      <w:pPr>
        <w:spacing w:line="480" w:lineRule="exact"/>
        <w:ind w:firstLine="486" w:firstLineChars="200"/>
        <w:rPr>
          <w:rFonts w:eastAsiaTheme="minorEastAsia"/>
          <w:sz w:val="24"/>
          <w:szCs w:val="24"/>
        </w:rPr>
      </w:pPr>
      <w:r>
        <w:rPr>
          <w:rFonts w:hint="eastAsia" w:eastAsiaTheme="minorEastAsia"/>
          <w:sz w:val="24"/>
          <w:szCs w:val="24"/>
        </w:rPr>
        <w:t xml:space="preserve"> (</w:t>
      </w:r>
      <w:r>
        <w:rPr>
          <w:rFonts w:eastAsiaTheme="minorEastAsia"/>
          <w:sz w:val="24"/>
          <w:szCs w:val="24"/>
        </w:rPr>
        <w:t>5</w:t>
      </w:r>
      <w:r>
        <w:rPr>
          <w:rFonts w:hint="eastAsia" w:eastAsiaTheme="minorEastAsia"/>
          <w:sz w:val="24"/>
          <w:szCs w:val="24"/>
        </w:rPr>
        <w:t>)</w:t>
      </w:r>
      <w:r>
        <w:rPr>
          <w:rFonts w:eastAsiaTheme="minorEastAsia"/>
          <w:sz w:val="24"/>
          <w:szCs w:val="24"/>
        </w:rPr>
        <w:t>废气汇总</w:t>
      </w:r>
    </w:p>
    <w:p>
      <w:pPr>
        <w:pStyle w:val="1055"/>
        <w:spacing w:line="480" w:lineRule="exact"/>
        <w:ind w:firstLine="486" w:firstLineChars="200"/>
        <w:rPr>
          <w:rFonts w:ascii="Times New Roman" w:hAnsi="Times New Roman" w:cs="Times New Roman"/>
          <w:lang w:eastAsia="zh-CN"/>
        </w:rPr>
      </w:pPr>
      <w:r>
        <w:rPr>
          <w:rFonts w:hint="eastAsia" w:ascii="Times New Roman" w:hAnsi="Times New Roman" w:cs="Times New Roman"/>
          <w:lang w:eastAsia="zh-CN"/>
        </w:rPr>
        <w:t>项目新增废气产生及排放量汇总详见表4-</w:t>
      </w:r>
      <w:r>
        <w:rPr>
          <w:rFonts w:ascii="Times New Roman" w:hAnsi="Times New Roman" w:cs="Times New Roman"/>
          <w:lang w:eastAsia="zh-CN"/>
        </w:rPr>
        <w:t>10</w:t>
      </w:r>
      <w:r>
        <w:rPr>
          <w:rFonts w:hint="eastAsia" w:ascii="Times New Roman" w:hAnsi="Times New Roman" w:cs="Times New Roman"/>
          <w:lang w:eastAsia="zh-CN"/>
        </w:rPr>
        <w:t>。</w:t>
      </w:r>
    </w:p>
    <w:p>
      <w:pPr>
        <w:pStyle w:val="313"/>
        <w:tabs>
          <w:tab w:val="clear" w:pos="3908"/>
        </w:tabs>
        <w:ind w:left="1122" w:hanging="561"/>
        <w:rPr>
          <w:rFonts w:ascii="Times New Roman" w:hAnsi="Times New Roman"/>
        </w:rPr>
      </w:pPr>
      <w:r>
        <w:rPr>
          <w:rFonts w:hint="eastAsia" w:ascii="Times New Roman" w:hAnsi="Times New Roman"/>
          <w:lang w:eastAsia="zh-CN"/>
        </w:rPr>
        <w:t>项目新增废气</w:t>
      </w:r>
      <w:r>
        <w:rPr>
          <w:rFonts w:ascii="Times New Roman" w:hAnsi="Times New Roman"/>
        </w:rPr>
        <w:t>产生和排放情况汇总</w:t>
      </w:r>
      <w:r>
        <w:rPr>
          <w:rFonts w:hint="eastAsia" w:ascii="Times New Roman" w:hAnsi="Times New Roman"/>
          <w:lang w:eastAsia="zh-CN"/>
        </w:rPr>
        <w:t xml:space="preserve">   单位：t/a</w:t>
      </w:r>
    </w:p>
    <w:tbl>
      <w:tblPr>
        <w:tblStyle w:val="87"/>
        <w:tblW w:w="877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
      <w:tblGrid>
        <w:gridCol w:w="741"/>
        <w:gridCol w:w="1709"/>
        <w:gridCol w:w="996"/>
        <w:gridCol w:w="998"/>
        <w:gridCol w:w="1424"/>
        <w:gridCol w:w="1226"/>
        <w:gridCol w:w="1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序号</w:t>
            </w:r>
          </w:p>
        </w:tc>
        <w:tc>
          <w:tcPr>
            <w:tcW w:w="1709"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废气名称</w:t>
            </w:r>
          </w:p>
        </w:tc>
        <w:tc>
          <w:tcPr>
            <w:tcW w:w="1994" w:type="dxa"/>
            <w:gridSpan w:val="2"/>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污染因子</w:t>
            </w:r>
          </w:p>
        </w:tc>
        <w:tc>
          <w:tcPr>
            <w:tcW w:w="1424"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产生量</w:t>
            </w:r>
          </w:p>
        </w:tc>
        <w:tc>
          <w:tcPr>
            <w:tcW w:w="1226"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削减量</w:t>
            </w:r>
          </w:p>
        </w:tc>
        <w:tc>
          <w:tcPr>
            <w:tcW w:w="1677"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排环境量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1</w:t>
            </w:r>
          </w:p>
        </w:tc>
        <w:tc>
          <w:tcPr>
            <w:tcW w:w="1709"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精炼废气G1</w:t>
            </w:r>
          </w:p>
        </w:tc>
        <w:tc>
          <w:tcPr>
            <w:tcW w:w="1994" w:type="dxa"/>
            <w:gridSpan w:val="2"/>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颗粒物(有组织)</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387.28</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377.76</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9.52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vMerge w:val="restart"/>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2</w:t>
            </w:r>
          </w:p>
        </w:tc>
        <w:tc>
          <w:tcPr>
            <w:tcW w:w="1709" w:type="dxa"/>
            <w:vMerge w:val="restart"/>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天然气燃烧废气G2</w:t>
            </w: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烟尘</w:t>
            </w:r>
          </w:p>
        </w:tc>
        <w:tc>
          <w:tcPr>
            <w:tcW w:w="1424"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0.145</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709"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SO</w:t>
            </w:r>
            <w:r>
              <w:rPr>
                <w:rFonts w:ascii="Times New Roman" w:hAnsi="Times New Roman" w:cs="Times New Roman"/>
                <w:spacing w:val="0"/>
                <w:sz w:val="21"/>
                <w:szCs w:val="21"/>
                <w:vertAlign w:val="subscript"/>
                <w:lang w:val="zh-CN"/>
              </w:rPr>
              <w:t>2</w:t>
            </w:r>
          </w:p>
        </w:tc>
        <w:tc>
          <w:tcPr>
            <w:tcW w:w="1424"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0.061</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0.061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709"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NO</w:t>
            </w:r>
            <w:r>
              <w:rPr>
                <w:rFonts w:ascii="Times New Roman" w:hAnsi="Times New Roman" w:cs="Times New Roman"/>
                <w:spacing w:val="0"/>
                <w:sz w:val="21"/>
                <w:szCs w:val="21"/>
                <w:vertAlign w:val="subscript"/>
                <w:lang w:val="zh-CN"/>
              </w:rPr>
              <w:t>x</w:t>
            </w:r>
          </w:p>
        </w:tc>
        <w:tc>
          <w:tcPr>
            <w:tcW w:w="1424"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0.381</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Mar>
              <w:left w:w="28" w:type="dxa"/>
              <w:right w:w="28" w:type="dxa"/>
            </w:tcMar>
            <w:vAlign w:val="center"/>
          </w:tcPr>
          <w:p>
            <w:pPr>
              <w:spacing w:line="360" w:lineRule="exact"/>
              <w:jc w:val="center"/>
              <w:rPr>
                <w:rFonts w:eastAsiaTheme="minorEastAsia"/>
                <w:sz w:val="21"/>
                <w:szCs w:val="21"/>
                <w:lang w:val="zh-CN"/>
              </w:rPr>
            </w:pPr>
            <w:r>
              <w:rPr>
                <w:rFonts w:eastAsiaTheme="minorEastAsia"/>
                <w:sz w:val="21"/>
                <w:szCs w:val="21"/>
              </w:rPr>
              <w:t>0.381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vMerge w:val="restart"/>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3</w:t>
            </w:r>
          </w:p>
        </w:tc>
        <w:tc>
          <w:tcPr>
            <w:tcW w:w="1709" w:type="dxa"/>
            <w:vMerge w:val="restart"/>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连铸切割废气G3</w:t>
            </w:r>
          </w:p>
        </w:tc>
        <w:tc>
          <w:tcPr>
            <w:tcW w:w="996" w:type="dxa"/>
            <w:vMerge w:val="restart"/>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hint="eastAsia" w:eastAsiaTheme="minorEastAsia"/>
                <w:sz w:val="21"/>
                <w:szCs w:val="21"/>
                <w:lang w:val="zh-CN"/>
              </w:rPr>
              <w:t>颗粒物</w:t>
            </w:r>
          </w:p>
        </w:tc>
        <w:tc>
          <w:tcPr>
            <w:tcW w:w="998" w:type="dxa"/>
            <w:shd w:val="clear" w:color="auto" w:fill="auto"/>
            <w:vAlign w:val="center"/>
          </w:tcPr>
          <w:p>
            <w:pPr>
              <w:pStyle w:val="4"/>
              <w:spacing w:line="36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有组织</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rPr>
              <w:t>11.94</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sz w:val="21"/>
                <w:szCs w:val="21"/>
              </w:rPr>
              <w:t>11.937</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lang w:val="zh-CN"/>
              </w:rPr>
              <w:t>0.003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709" w:type="dxa"/>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996" w:type="dxa"/>
            <w:vMerge w:val="continue"/>
            <w:shd w:val="clear" w:color="auto" w:fill="auto"/>
            <w:tcMar>
              <w:left w:w="28" w:type="dxa"/>
              <w:right w:w="28" w:type="dxa"/>
            </w:tcMar>
            <w:vAlign w:val="center"/>
          </w:tcPr>
          <w:p>
            <w:pPr>
              <w:pStyle w:val="4"/>
              <w:spacing w:line="360" w:lineRule="exact"/>
              <w:ind w:firstLine="0"/>
              <w:jc w:val="center"/>
              <w:rPr>
                <w:rFonts w:eastAsiaTheme="minorEastAsia"/>
                <w:sz w:val="21"/>
                <w:szCs w:val="21"/>
                <w:lang w:val="zh-CN"/>
              </w:rPr>
            </w:pPr>
          </w:p>
        </w:tc>
        <w:tc>
          <w:tcPr>
            <w:tcW w:w="998" w:type="dxa"/>
            <w:shd w:val="clear" w:color="auto" w:fill="auto"/>
            <w:vAlign w:val="center"/>
          </w:tcPr>
          <w:p>
            <w:pPr>
              <w:pStyle w:val="4"/>
              <w:spacing w:line="360" w:lineRule="exact"/>
              <w:ind w:firstLine="0"/>
              <w:jc w:val="center"/>
              <w:rPr>
                <w:rFonts w:eastAsiaTheme="minorEastAsia"/>
                <w:sz w:val="21"/>
                <w:szCs w:val="21"/>
                <w:lang w:val="zh-CN"/>
              </w:rPr>
            </w:pPr>
            <w:r>
              <w:rPr>
                <w:rFonts w:hint="eastAsia" w:eastAsiaTheme="minorEastAsia"/>
                <w:sz w:val="21"/>
                <w:szCs w:val="21"/>
                <w:lang w:val="zh-CN"/>
              </w:rPr>
              <w:t>无组织</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rFonts w:hint="eastAsia"/>
                <w:sz w:val="21"/>
                <w:szCs w:val="21"/>
              </w:rPr>
              <w:t>0.</w:t>
            </w:r>
            <w:r>
              <w:rPr>
                <w:sz w:val="21"/>
                <w:szCs w:val="21"/>
              </w:rPr>
              <w:t>6</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sz w:val="21"/>
                <w:szCs w:val="21"/>
              </w:rPr>
              <w:t>0</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lang w:val="zh-CN"/>
              </w:rPr>
            </w:pPr>
            <w:r>
              <w:rPr>
                <w:sz w:val="21"/>
                <w:szCs w:val="21"/>
                <w:lang w:val="zh-CN"/>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4</w:t>
            </w:r>
          </w:p>
        </w:tc>
        <w:tc>
          <w:tcPr>
            <w:tcW w:w="1709"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二冷</w:t>
            </w:r>
            <w:r>
              <w:rPr>
                <w:rFonts w:eastAsiaTheme="minorEastAsia"/>
                <w:sz w:val="21"/>
                <w:szCs w:val="21"/>
                <w:lang w:val="zh-CN"/>
              </w:rPr>
              <w:t>蒸汽</w:t>
            </w:r>
            <w:r>
              <w:rPr>
                <w:rFonts w:hint="eastAsia" w:eastAsiaTheme="minorEastAsia"/>
                <w:sz w:val="21"/>
                <w:szCs w:val="21"/>
                <w:lang w:val="zh-CN"/>
              </w:rPr>
              <w:t>G4</w:t>
            </w: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水蒸汽</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rFonts w:hint="eastAsia"/>
                <w:sz w:val="21"/>
                <w:szCs w:val="21"/>
              </w:rPr>
              <w:t>/</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5</w:t>
            </w:r>
          </w:p>
        </w:tc>
        <w:tc>
          <w:tcPr>
            <w:tcW w:w="1709"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污氮G5</w:t>
            </w: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氮气</w:t>
            </w:r>
            <w:r>
              <w:rPr>
                <w:rFonts w:ascii="Times New Roman" w:hAnsi="Times New Roman" w:cs="Times New Roman"/>
                <w:spacing w:val="0"/>
                <w:sz w:val="21"/>
                <w:szCs w:val="21"/>
                <w:lang w:val="zh-CN"/>
              </w:rPr>
              <w:t>、氩气等</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rFonts w:hint="eastAsia"/>
                <w:sz w:val="21"/>
                <w:szCs w:val="21"/>
              </w:rPr>
              <w:t>/</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741"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6</w:t>
            </w:r>
          </w:p>
        </w:tc>
        <w:tc>
          <w:tcPr>
            <w:tcW w:w="1709" w:type="dxa"/>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无组织废气G6</w:t>
            </w:r>
          </w:p>
        </w:tc>
        <w:tc>
          <w:tcPr>
            <w:tcW w:w="1994" w:type="dxa"/>
            <w:gridSpan w:val="2"/>
            <w:shd w:val="clear" w:color="auto" w:fill="auto"/>
            <w:tcMar>
              <w:left w:w="28" w:type="dxa"/>
              <w:right w:w="28" w:type="dxa"/>
            </w:tcMar>
            <w:vAlign w:val="center"/>
          </w:tcPr>
          <w:p>
            <w:pPr>
              <w:pStyle w:val="4"/>
              <w:spacing w:line="360" w:lineRule="exact"/>
              <w:ind w:firstLine="0"/>
              <w:jc w:val="center"/>
              <w:rPr>
                <w:rFonts w:ascii="Times New Roman" w:hAnsi="Times New Roman" w:cs="Times New Roman"/>
                <w:spacing w:val="0"/>
                <w:sz w:val="21"/>
                <w:szCs w:val="21"/>
                <w:lang w:val="zh-CN"/>
              </w:rPr>
            </w:pPr>
            <w:r>
              <w:rPr>
                <w:rFonts w:hint="eastAsia" w:eastAsiaTheme="minorEastAsia"/>
                <w:sz w:val="21"/>
                <w:szCs w:val="21"/>
                <w:lang w:val="zh-CN"/>
              </w:rPr>
              <w:t>颗粒物</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rPr>
              <w:t>2.088</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sz w:val="21"/>
                <w:szCs w:val="21"/>
              </w:rPr>
            </w:pPr>
            <w:r>
              <w:rPr>
                <w:sz w:val="21"/>
                <w:szCs w:val="21"/>
              </w:rPr>
              <w:t>0</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lang w:val="zh-CN"/>
              </w:rPr>
              <w:t>2.088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2450" w:type="dxa"/>
            <w:gridSpan w:val="2"/>
            <w:vMerge w:val="restart"/>
            <w:shd w:val="clear" w:color="auto" w:fill="auto"/>
            <w:tcMar>
              <w:left w:w="28" w:type="dxa"/>
              <w:right w:w="28" w:type="dxa"/>
            </w:tcMar>
            <w:vAlign w:val="center"/>
          </w:tcPr>
          <w:p>
            <w:pPr>
              <w:spacing w:line="360" w:lineRule="exact"/>
              <w:jc w:val="center"/>
              <w:rPr>
                <w:rFonts w:eastAsiaTheme="minorEastAsia"/>
                <w:sz w:val="21"/>
                <w:szCs w:val="21"/>
                <w:lang w:val="zh-CN"/>
              </w:rPr>
            </w:pPr>
            <w:r>
              <w:rPr>
                <w:rFonts w:hint="eastAsia" w:eastAsiaTheme="minorEastAsia"/>
                <w:sz w:val="21"/>
                <w:szCs w:val="21"/>
                <w:lang w:val="zh-CN"/>
              </w:rPr>
              <w:t>合计</w:t>
            </w:r>
          </w:p>
        </w:tc>
        <w:tc>
          <w:tcPr>
            <w:tcW w:w="1994" w:type="dxa"/>
            <w:gridSpan w:val="2"/>
            <w:shd w:val="clear" w:color="auto" w:fill="auto"/>
            <w:tcMar>
              <w:left w:w="28" w:type="dxa"/>
              <w:right w:w="28" w:type="dxa"/>
            </w:tcMar>
            <w:vAlign w:val="center"/>
          </w:tcPr>
          <w:p>
            <w:pPr>
              <w:spacing w:line="360" w:lineRule="exact"/>
              <w:jc w:val="center"/>
              <w:rPr>
                <w:rFonts w:eastAsiaTheme="minorEastAsia"/>
                <w:sz w:val="21"/>
                <w:szCs w:val="21"/>
              </w:rPr>
            </w:pPr>
            <w:r>
              <w:rPr>
                <w:rFonts w:hint="eastAsia" w:eastAsiaTheme="minorEastAsia"/>
                <w:sz w:val="21"/>
                <w:szCs w:val="21"/>
              </w:rPr>
              <w:t>颗粒物</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401.908</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389.697</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lang w:val="zh-CN"/>
              </w:rPr>
              <w:t>12.211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2450" w:type="dxa"/>
            <w:gridSpan w:val="2"/>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994" w:type="dxa"/>
            <w:gridSpan w:val="2"/>
            <w:shd w:val="clear" w:color="auto" w:fill="auto"/>
            <w:tcMar>
              <w:left w:w="28" w:type="dxa"/>
              <w:right w:w="28" w:type="dxa"/>
            </w:tcMar>
            <w:vAlign w:val="center"/>
          </w:tcPr>
          <w:p>
            <w:pPr>
              <w:spacing w:line="360" w:lineRule="exact"/>
              <w:jc w:val="center"/>
              <w:rPr>
                <w:rFonts w:asciiTheme="minorEastAsia" w:hAnsiTheme="minorEastAsia" w:eastAsiaTheme="minorEastAsia"/>
                <w:sz w:val="21"/>
                <w:szCs w:val="21"/>
              </w:rPr>
            </w:pPr>
            <w:r>
              <w:rPr>
                <w:rFonts w:asciiTheme="minorEastAsia" w:hAnsiTheme="minorEastAsia" w:eastAsiaTheme="minorEastAsia"/>
                <w:sz w:val="21"/>
                <w:szCs w:val="21"/>
                <w:lang w:val="zh-CN"/>
              </w:rPr>
              <w:t>烟尘</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0.145</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2450" w:type="dxa"/>
            <w:gridSpan w:val="2"/>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994" w:type="dxa"/>
            <w:gridSpan w:val="2"/>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lang w:val="zh-CN"/>
              </w:rPr>
              <w:t>SO</w:t>
            </w:r>
            <w:r>
              <w:rPr>
                <w:sz w:val="21"/>
                <w:szCs w:val="21"/>
                <w:vertAlign w:val="subscript"/>
                <w:lang w:val="zh-CN"/>
              </w:rPr>
              <w:t>2</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0.061</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0.061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 w:type="dxa"/>
            <w:bottom w:w="0" w:type="dxa"/>
            <w:right w:w="10" w:type="dxa"/>
          </w:tblCellMar>
        </w:tblPrEx>
        <w:trPr>
          <w:jc w:val="center"/>
        </w:trPr>
        <w:tc>
          <w:tcPr>
            <w:tcW w:w="2450" w:type="dxa"/>
            <w:gridSpan w:val="2"/>
            <w:vMerge w:val="continue"/>
            <w:shd w:val="clear" w:color="auto" w:fill="auto"/>
            <w:tcMar>
              <w:left w:w="28" w:type="dxa"/>
              <w:right w:w="28" w:type="dxa"/>
            </w:tcMar>
            <w:vAlign w:val="center"/>
          </w:tcPr>
          <w:p>
            <w:pPr>
              <w:spacing w:line="360" w:lineRule="exact"/>
              <w:jc w:val="center"/>
              <w:rPr>
                <w:rFonts w:eastAsiaTheme="minorEastAsia"/>
                <w:sz w:val="21"/>
                <w:szCs w:val="21"/>
                <w:lang w:val="zh-CN"/>
              </w:rPr>
            </w:pPr>
          </w:p>
        </w:tc>
        <w:tc>
          <w:tcPr>
            <w:tcW w:w="1994" w:type="dxa"/>
            <w:gridSpan w:val="2"/>
            <w:shd w:val="clear" w:color="auto" w:fill="auto"/>
            <w:tcMar>
              <w:left w:w="28" w:type="dxa"/>
              <w:right w:w="28" w:type="dxa"/>
            </w:tcMar>
            <w:vAlign w:val="center"/>
          </w:tcPr>
          <w:p>
            <w:pPr>
              <w:spacing w:line="360" w:lineRule="exact"/>
              <w:jc w:val="center"/>
              <w:rPr>
                <w:rFonts w:eastAsiaTheme="minorEastAsia"/>
                <w:sz w:val="21"/>
                <w:szCs w:val="21"/>
              </w:rPr>
            </w:pPr>
            <w:r>
              <w:rPr>
                <w:sz w:val="21"/>
                <w:szCs w:val="21"/>
                <w:lang w:val="zh-CN"/>
              </w:rPr>
              <w:t>NO</w:t>
            </w:r>
            <w:r>
              <w:rPr>
                <w:sz w:val="21"/>
                <w:szCs w:val="21"/>
                <w:vertAlign w:val="subscript"/>
                <w:lang w:val="zh-CN"/>
              </w:rPr>
              <w:t>x</w:t>
            </w:r>
          </w:p>
        </w:tc>
        <w:tc>
          <w:tcPr>
            <w:tcW w:w="1424"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0.381</w:t>
            </w:r>
          </w:p>
        </w:tc>
        <w:tc>
          <w:tcPr>
            <w:tcW w:w="1226"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sz w:val="21"/>
                <w:szCs w:val="21"/>
              </w:rPr>
              <w:t>0</w:t>
            </w:r>
          </w:p>
        </w:tc>
        <w:tc>
          <w:tcPr>
            <w:tcW w:w="1677" w:type="dxa"/>
            <w:tcBorders>
              <w:top w:val="nil"/>
              <w:left w:val="nil"/>
              <w:bottom w:val="single" w:color="000000" w:sz="8" w:space="0"/>
              <w:right w:val="single" w:color="000000" w:sz="8" w:space="0"/>
            </w:tcBorders>
            <w:shd w:val="clear" w:color="auto" w:fill="auto"/>
            <w:tcMar>
              <w:left w:w="28" w:type="dxa"/>
              <w:right w:w="28" w:type="dxa"/>
            </w:tcMar>
            <w:vAlign w:val="center"/>
          </w:tcPr>
          <w:p>
            <w:pPr>
              <w:spacing w:line="360" w:lineRule="exact"/>
              <w:jc w:val="center"/>
              <w:rPr>
                <w:rFonts w:eastAsia="宋体"/>
                <w:sz w:val="21"/>
                <w:szCs w:val="21"/>
              </w:rPr>
            </w:pPr>
            <w:r>
              <w:rPr>
                <w:rFonts w:eastAsiaTheme="minorEastAsia"/>
                <w:sz w:val="21"/>
                <w:szCs w:val="21"/>
              </w:rPr>
              <w:t>0.381</w:t>
            </w:r>
          </w:p>
        </w:tc>
      </w:tr>
    </w:tbl>
    <w:p>
      <w:pPr>
        <w:pStyle w:val="1055"/>
        <w:spacing w:line="480" w:lineRule="atLeast"/>
        <w:ind w:firstLine="486" w:firstLineChars="200"/>
        <w:rPr>
          <w:rFonts w:ascii="Times New Roman" w:hAnsi="Times New Roman" w:cs="Times New Roman"/>
          <w:lang w:eastAsia="zh-CN"/>
        </w:rPr>
      </w:pPr>
      <w:r>
        <w:rPr>
          <w:rFonts w:hint="eastAsia" w:ascii="宋体" w:hAnsi="宋体"/>
          <w:lang w:eastAsia="zh-CN"/>
        </w:rPr>
        <w:t>②</w:t>
      </w:r>
      <w:r>
        <w:rPr>
          <w:rFonts w:ascii="Times New Roman" w:hAnsi="Times New Roman" w:cs="Times New Roman"/>
          <w:lang w:eastAsia="zh-CN"/>
        </w:rPr>
        <w:t>炼钢一厂</w:t>
      </w:r>
      <w:r>
        <w:rPr>
          <w:rFonts w:hint="eastAsia" w:ascii="Times New Roman" w:hAnsi="Times New Roman" w:cs="Times New Roman"/>
          <w:lang w:eastAsia="zh-CN"/>
        </w:rPr>
        <w:t>有组织废气(</w:t>
      </w:r>
      <w:r>
        <w:rPr>
          <w:rFonts w:ascii="Times New Roman" w:hAnsi="Times New Roman" w:cs="Times New Roman"/>
          <w:lang w:eastAsia="zh-CN"/>
        </w:rPr>
        <w:t>排气筒</w:t>
      </w:r>
      <w:r>
        <w:rPr>
          <w:rFonts w:hint="eastAsia" w:ascii="Times New Roman" w:hAnsi="Times New Roman" w:cs="Times New Roman"/>
          <w:lang w:eastAsia="zh-CN"/>
        </w:rPr>
        <w:t>DA001)颗粒物</w:t>
      </w:r>
      <w:r>
        <w:rPr>
          <w:rFonts w:ascii="Times New Roman" w:hAnsi="Times New Roman" w:cs="Times New Roman"/>
          <w:lang w:eastAsia="zh-CN"/>
        </w:rPr>
        <w:t>废气</w:t>
      </w:r>
      <w:r>
        <w:rPr>
          <w:rFonts w:hint="eastAsia" w:ascii="Times New Roman" w:hAnsi="Times New Roman" w:cs="Times New Roman"/>
          <w:lang w:eastAsia="zh-CN"/>
        </w:rPr>
        <w:t>排放量</w:t>
      </w:r>
      <w:r>
        <w:rPr>
          <w:rFonts w:ascii="Times New Roman" w:hAnsi="Times New Roman" w:cs="Times New Roman"/>
          <w:lang w:eastAsia="zh-CN"/>
        </w:rPr>
        <w:t>及达标性分析</w:t>
      </w:r>
    </w:p>
    <w:p>
      <w:pPr>
        <w:pStyle w:val="1055"/>
        <w:spacing w:line="480" w:lineRule="atLeast"/>
        <w:ind w:firstLine="486" w:firstLineChars="200"/>
        <w:rPr>
          <w:rFonts w:ascii="Times New Roman" w:hAnsi="Times New Roman" w:cs="Times New Roman"/>
          <w:lang w:eastAsia="zh-CN"/>
        </w:rPr>
      </w:pPr>
      <w:r>
        <w:rPr>
          <w:rFonts w:ascii="Times New Roman" w:hAnsi="Times New Roman" w:cs="Times New Roman"/>
          <w:lang w:eastAsia="zh-CN"/>
        </w:rPr>
        <w:t>由于炼钢一厂DA001排气筒排放了</w:t>
      </w:r>
      <w:r>
        <w:rPr>
          <w:rFonts w:hint="eastAsia" w:ascii="Times New Roman" w:hAnsi="Times New Roman" w:cs="Times New Roman"/>
          <w:lang w:eastAsia="zh-CN"/>
        </w:rPr>
        <w:t>炼钢</w:t>
      </w:r>
      <w:r>
        <w:rPr>
          <w:rFonts w:ascii="Times New Roman" w:hAnsi="Times New Roman" w:cs="Times New Roman"/>
          <w:lang w:eastAsia="zh-CN"/>
        </w:rPr>
        <w:t>废气、精炼废气、连铸废气，现有的电炉</w:t>
      </w:r>
      <w:r>
        <w:rPr>
          <w:rFonts w:hint="eastAsia" w:ascii="Times New Roman" w:hAnsi="Times New Roman" w:cs="Times New Roman"/>
          <w:lang w:eastAsia="zh-CN"/>
        </w:rPr>
        <w:t>炼钢</w:t>
      </w:r>
      <w:r>
        <w:rPr>
          <w:rFonts w:ascii="Times New Roman" w:hAnsi="Times New Roman" w:cs="Times New Roman"/>
          <w:lang w:eastAsia="zh-CN"/>
        </w:rPr>
        <w:t>废气</w:t>
      </w:r>
      <w:r>
        <w:rPr>
          <w:rFonts w:hint="eastAsia" w:ascii="Times New Roman" w:hAnsi="Times New Roman" w:cs="Times New Roman"/>
          <w:lang w:eastAsia="zh-CN"/>
        </w:rPr>
        <w:t>为</w:t>
      </w:r>
      <w:r>
        <w:rPr>
          <w:rFonts w:ascii="Times New Roman" w:hAnsi="Times New Roman" w:cs="Times New Roman"/>
          <w:lang w:eastAsia="zh-CN"/>
        </w:rPr>
        <w:t>主要排放口，本报告根据</w:t>
      </w:r>
      <w:r>
        <w:rPr>
          <w:rFonts w:ascii="Times New Roman" w:hAnsi="Times New Roman" w:cs="Times New Roman" w:eastAsiaTheme="minorEastAsia"/>
        </w:rPr>
        <w:t>《排污许可证申请与核发技术规范 钢铁工业》(HJ846-2017)</w:t>
      </w:r>
      <w:r>
        <w:rPr>
          <w:rFonts w:hint="eastAsia" w:ascii="Times New Roman" w:hAnsi="Times New Roman" w:cs="Times New Roman" w:eastAsiaTheme="minorEastAsia"/>
          <w:lang w:eastAsia="zh-CN"/>
        </w:rPr>
        <w:t>中</w:t>
      </w:r>
      <w:r>
        <w:rPr>
          <w:rFonts w:ascii="Times New Roman" w:hAnsi="Times New Roman" w:cs="Times New Roman" w:eastAsiaTheme="minorEastAsia"/>
          <w:lang w:eastAsia="zh-CN"/>
        </w:rPr>
        <w:t>表</w:t>
      </w:r>
      <w:r>
        <w:rPr>
          <w:rFonts w:hint="eastAsia" w:ascii="Times New Roman" w:hAnsi="Times New Roman" w:cs="Times New Roman" w:eastAsiaTheme="minorEastAsia"/>
          <w:lang w:eastAsia="zh-CN"/>
        </w:rPr>
        <w:t>4钢铁</w:t>
      </w:r>
      <w:r>
        <w:rPr>
          <w:rFonts w:ascii="Times New Roman" w:hAnsi="Times New Roman" w:cs="Times New Roman" w:eastAsiaTheme="minorEastAsia"/>
          <w:lang w:eastAsia="zh-CN"/>
        </w:rPr>
        <w:t>工业</w:t>
      </w:r>
      <w:r>
        <w:rPr>
          <w:rFonts w:hint="eastAsia" w:ascii="Times New Roman" w:hAnsi="Times New Roman" w:cs="Times New Roman" w:eastAsiaTheme="minorEastAsia"/>
          <w:lang w:eastAsia="zh-CN"/>
        </w:rPr>
        <w:t>排污单位</w:t>
      </w:r>
      <w:r>
        <w:rPr>
          <w:rFonts w:ascii="Times New Roman" w:hAnsi="Times New Roman" w:cs="Times New Roman" w:eastAsiaTheme="minorEastAsia"/>
          <w:lang w:eastAsia="zh-CN"/>
        </w:rPr>
        <w:t>主要排放口基准排气量表</w:t>
      </w:r>
      <w:r>
        <w:rPr>
          <w:rFonts w:hint="eastAsia" w:ascii="Times New Roman" w:hAnsi="Times New Roman" w:cs="Times New Roman" w:eastAsiaTheme="minorEastAsia"/>
          <w:lang w:eastAsia="zh-CN"/>
        </w:rPr>
        <w:t>(炼钢</w:t>
      </w:r>
      <w:r>
        <w:rPr>
          <w:rFonts w:ascii="Times New Roman" w:hAnsi="Times New Roman" w:cs="Times New Roman" w:eastAsiaTheme="minorEastAsia"/>
          <w:lang w:eastAsia="zh-CN"/>
        </w:rPr>
        <w:t>电炉烟气基准排气量为</w:t>
      </w:r>
      <w:r>
        <w:rPr>
          <w:rFonts w:hint="eastAsia" w:ascii="Times New Roman" w:hAnsi="Times New Roman" w:cs="Times New Roman" w:eastAsiaTheme="minorEastAsia"/>
          <w:lang w:eastAsia="zh-CN"/>
        </w:rPr>
        <w:t>1120N</w:t>
      </w:r>
      <w:r>
        <w:rPr>
          <w:rFonts w:ascii="Times New Roman" w:hAnsi="Times New Roman" w:cs="Times New Roman" w:eastAsiaTheme="minorEastAsia"/>
          <w:lang w:eastAsia="zh-CN"/>
        </w:rPr>
        <w:t>m</w:t>
      </w:r>
      <w:r>
        <w:rPr>
          <w:rFonts w:ascii="Times New Roman" w:hAnsi="Times New Roman" w:cs="Times New Roman" w:eastAsiaTheme="minorEastAsia"/>
          <w:vertAlign w:val="superscript"/>
          <w:lang w:eastAsia="zh-CN"/>
        </w:rPr>
        <w:t>3</w:t>
      </w:r>
      <w:r>
        <w:rPr>
          <w:rFonts w:ascii="Times New Roman" w:hAnsi="Times New Roman" w:cs="Times New Roman" w:eastAsiaTheme="minorEastAsia"/>
          <w:lang w:eastAsia="zh-CN"/>
        </w:rPr>
        <w:t>/t粗钢</w:t>
      </w:r>
      <w:r>
        <w:rPr>
          <w:rFonts w:hint="eastAsia" w:ascii="Times New Roman" w:hAnsi="Times New Roman" w:cs="Times New Roman" w:eastAsiaTheme="minorEastAsia"/>
          <w:lang w:eastAsia="zh-CN"/>
        </w:rPr>
        <w:t>)</w:t>
      </w:r>
      <w:r>
        <w:rPr>
          <w:rFonts w:ascii="Times New Roman" w:hAnsi="Times New Roman" w:cs="Times New Roman" w:eastAsiaTheme="minorEastAsia"/>
          <w:lang w:eastAsia="zh-CN"/>
        </w:rPr>
        <w:t>及超低</w:t>
      </w:r>
      <w:r>
        <w:rPr>
          <w:rFonts w:hint="eastAsia" w:ascii="Times New Roman" w:hAnsi="Times New Roman" w:cs="Times New Roman" w:eastAsiaTheme="minorEastAsia"/>
          <w:lang w:eastAsia="zh-CN"/>
        </w:rPr>
        <w:t>排放</w:t>
      </w:r>
      <w:r>
        <w:rPr>
          <w:rFonts w:ascii="Times New Roman" w:hAnsi="Times New Roman" w:cs="Times New Roman" w:eastAsiaTheme="minorEastAsia"/>
          <w:lang w:eastAsia="zh-CN"/>
        </w:rPr>
        <w:t>限值</w:t>
      </w:r>
      <w:r>
        <w:rPr>
          <w:rFonts w:hint="eastAsia" w:ascii="Times New Roman" w:hAnsi="Times New Roman" w:cs="Times New Roman" w:eastAsiaTheme="minorEastAsia"/>
          <w:lang w:eastAsia="zh-CN"/>
        </w:rPr>
        <w:t>(</w:t>
      </w:r>
      <w:r>
        <w:rPr>
          <w:rFonts w:ascii="Times New Roman" w:hAnsi="Times New Roman" w:cs="Times New Roman" w:eastAsiaTheme="minorEastAsia"/>
          <w:lang w:eastAsia="zh-CN"/>
        </w:rPr>
        <w:t>10mg/m</w:t>
      </w:r>
      <w:r>
        <w:rPr>
          <w:rFonts w:ascii="Times New Roman" w:hAnsi="Times New Roman" w:cs="Times New Roman" w:eastAsiaTheme="minorEastAsia"/>
          <w:vertAlign w:val="superscript"/>
          <w:lang w:eastAsia="zh-CN"/>
        </w:rPr>
        <w:t>3</w:t>
      </w:r>
      <w:r>
        <w:rPr>
          <w:rFonts w:hint="eastAsia" w:ascii="Times New Roman" w:hAnsi="Times New Roman" w:cs="Times New Roman" w:eastAsiaTheme="minorEastAsia"/>
          <w:lang w:eastAsia="zh-CN"/>
        </w:rPr>
        <w:t>)</w:t>
      </w:r>
      <w:r>
        <w:rPr>
          <w:rFonts w:ascii="Times New Roman" w:hAnsi="Times New Roman" w:cs="Times New Roman" w:eastAsiaTheme="minorEastAsia"/>
          <w:lang w:eastAsia="zh-CN"/>
        </w:rPr>
        <w:t>对电炉</w:t>
      </w:r>
      <w:r>
        <w:rPr>
          <w:rFonts w:hint="eastAsia" w:ascii="Times New Roman" w:hAnsi="Times New Roman" w:cs="Times New Roman" w:eastAsiaTheme="minorEastAsia"/>
          <w:lang w:eastAsia="zh-CN"/>
        </w:rPr>
        <w:t>炼钢</w:t>
      </w:r>
      <w:r>
        <w:rPr>
          <w:rFonts w:ascii="Times New Roman" w:hAnsi="Times New Roman" w:cs="Times New Roman" w:eastAsiaTheme="minorEastAsia"/>
          <w:lang w:eastAsia="zh-CN"/>
        </w:rPr>
        <w:t>废气排放量</w:t>
      </w:r>
      <w:r>
        <w:rPr>
          <w:rFonts w:hint="eastAsia" w:ascii="Times New Roman" w:hAnsi="Times New Roman" w:cs="Times New Roman" w:eastAsiaTheme="minorEastAsia"/>
          <w:lang w:eastAsia="zh-CN"/>
        </w:rPr>
        <w:t>进行</w:t>
      </w:r>
      <w:r>
        <w:rPr>
          <w:rFonts w:ascii="Times New Roman" w:hAnsi="Times New Roman" w:cs="Times New Roman" w:eastAsiaTheme="minorEastAsia"/>
          <w:lang w:eastAsia="zh-CN"/>
        </w:rPr>
        <w:t>核算，</w:t>
      </w:r>
      <w:r>
        <w:rPr>
          <w:rFonts w:hint="eastAsia" w:ascii="Times New Roman" w:hAnsi="Times New Roman" w:cs="Times New Roman" w:eastAsiaTheme="minorEastAsia"/>
          <w:lang w:eastAsia="zh-CN"/>
        </w:rPr>
        <w:t>得到炼钢</w:t>
      </w:r>
      <w:r>
        <w:rPr>
          <w:rFonts w:ascii="Times New Roman" w:hAnsi="Times New Roman" w:cs="Times New Roman" w:eastAsiaTheme="minorEastAsia"/>
          <w:lang w:eastAsia="zh-CN"/>
        </w:rPr>
        <w:t>废气颗粒物排放量为</w:t>
      </w:r>
      <w:r>
        <w:rPr>
          <w:rFonts w:hint="eastAsia" w:ascii="Times New Roman" w:hAnsi="Times New Roman" w:cs="Times New Roman" w:eastAsiaTheme="minorEastAsia"/>
          <w:lang w:eastAsia="zh-CN"/>
        </w:rPr>
        <w:t>1.12t/a</w:t>
      </w:r>
      <w:r>
        <w:rPr>
          <w:rFonts w:ascii="Times New Roman" w:hAnsi="Times New Roman" w:cs="Times New Roman" w:eastAsiaTheme="minorEastAsia"/>
          <w:lang w:eastAsia="zh-CN"/>
        </w:rPr>
        <w:t>，按年工作</w:t>
      </w:r>
      <w:r>
        <w:rPr>
          <w:rFonts w:hint="eastAsia" w:ascii="Times New Roman" w:hAnsi="Times New Roman" w:cs="Times New Roman" w:eastAsiaTheme="minorEastAsia"/>
          <w:lang w:eastAsia="zh-CN"/>
        </w:rPr>
        <w:t>6500</w:t>
      </w:r>
      <w:r>
        <w:rPr>
          <w:rFonts w:ascii="Times New Roman" w:hAnsi="Times New Roman" w:cs="Times New Roman" w:eastAsiaTheme="minorEastAsia"/>
          <w:lang w:eastAsia="zh-CN"/>
        </w:rPr>
        <w:t>h计算，排放速率为</w:t>
      </w:r>
      <w:r>
        <w:rPr>
          <w:rFonts w:hint="eastAsia" w:ascii="Times New Roman" w:hAnsi="Times New Roman" w:cs="Times New Roman" w:eastAsiaTheme="minorEastAsia"/>
          <w:lang w:eastAsia="zh-CN"/>
        </w:rPr>
        <w:t>0.172</w:t>
      </w:r>
      <w:r>
        <w:rPr>
          <w:rFonts w:ascii="Times New Roman" w:hAnsi="Times New Roman" w:cs="Times New Roman" w:eastAsiaTheme="minorEastAsia"/>
          <w:lang w:eastAsia="zh-CN"/>
        </w:rPr>
        <w:t>kg/h。</w:t>
      </w:r>
      <w:r>
        <w:rPr>
          <w:rFonts w:hint="eastAsia" w:ascii="Times New Roman" w:hAnsi="Times New Roman" w:cs="Times New Roman"/>
          <w:lang w:eastAsia="zh-CN"/>
        </w:rPr>
        <w:t>另外</w:t>
      </w:r>
      <w:r>
        <w:rPr>
          <w:rFonts w:ascii="Times New Roman" w:hAnsi="Times New Roman" w:cs="Times New Roman"/>
          <w:lang w:eastAsia="zh-CN"/>
        </w:rPr>
        <w:t>，项目新增的精炼废气及连铸废气如前所述</w:t>
      </w:r>
      <w:r>
        <w:rPr>
          <w:rFonts w:hint="eastAsia" w:ascii="Times New Roman" w:hAnsi="Times New Roman" w:cs="Times New Roman"/>
          <w:lang w:eastAsia="zh-CN"/>
        </w:rPr>
        <w:t>。</w:t>
      </w:r>
    </w:p>
    <w:p>
      <w:pPr>
        <w:pStyle w:val="1055"/>
        <w:spacing w:line="480" w:lineRule="atLeast"/>
        <w:ind w:firstLine="486" w:firstLineChars="200"/>
        <w:rPr>
          <w:rFonts w:ascii="Times New Roman" w:hAnsi="Times New Roman" w:cs="Times New Roman"/>
          <w:lang w:eastAsia="zh-CN"/>
        </w:rPr>
      </w:pPr>
      <w:r>
        <w:rPr>
          <w:rFonts w:ascii="Times New Roman" w:hAnsi="Times New Roman" w:cs="Times New Roman"/>
          <w:lang w:eastAsia="zh-CN"/>
        </w:rPr>
        <w:t>根据</w:t>
      </w:r>
      <w:r>
        <w:rPr>
          <w:rFonts w:hint="eastAsia" w:ascii="Times New Roman" w:hAnsi="Times New Roman" w:cs="Times New Roman"/>
          <w:lang w:eastAsia="zh-CN"/>
        </w:rPr>
        <w:t>《永兴特种不锈钢股份有限公司一炼钢大修项目除尘工程设计方案》，30</w:t>
      </w:r>
      <w:r>
        <w:rPr>
          <w:rFonts w:ascii="Times New Roman" w:hAnsi="Times New Roman" w:cs="Times New Roman"/>
          <w:lang w:eastAsia="zh-CN"/>
        </w:rPr>
        <w:t>t电炉</w:t>
      </w:r>
      <w:r>
        <w:rPr>
          <w:rFonts w:hint="eastAsia" w:ascii="Times New Roman" w:hAnsi="Times New Roman" w:cs="Times New Roman"/>
          <w:lang w:eastAsia="zh-CN"/>
        </w:rPr>
        <w:t>+30</w:t>
      </w:r>
      <w:r>
        <w:rPr>
          <w:rFonts w:ascii="Times New Roman" w:hAnsi="Times New Roman" w:cs="Times New Roman"/>
          <w:lang w:eastAsia="zh-CN"/>
        </w:rPr>
        <w:t>tLF</w:t>
      </w:r>
      <w:r>
        <w:rPr>
          <w:rFonts w:hint="eastAsia" w:ascii="Times New Roman" w:hAnsi="Times New Roman" w:cs="Times New Roman"/>
          <w:lang w:eastAsia="zh-CN"/>
        </w:rPr>
        <w:t>炉+30</w:t>
      </w:r>
      <w:r>
        <w:rPr>
          <w:rFonts w:ascii="Times New Roman" w:hAnsi="Times New Roman" w:cs="Times New Roman"/>
          <w:lang w:eastAsia="zh-CN"/>
        </w:rPr>
        <w:t>tAOD</w:t>
      </w:r>
      <w:r>
        <w:rPr>
          <w:rFonts w:hint="eastAsia" w:ascii="Times New Roman" w:hAnsi="Times New Roman" w:cs="Times New Roman"/>
          <w:lang w:eastAsia="zh-CN"/>
        </w:rPr>
        <w:t>炉的设计</w:t>
      </w:r>
      <w:r>
        <w:rPr>
          <w:rFonts w:ascii="Times New Roman" w:hAnsi="Times New Roman" w:cs="Times New Roman"/>
          <w:lang w:eastAsia="zh-CN"/>
        </w:rPr>
        <w:t>满负荷总风量为</w:t>
      </w:r>
      <w:r>
        <w:rPr>
          <w:rFonts w:hint="eastAsia" w:ascii="Times New Roman" w:hAnsi="Times New Roman" w:cs="Times New Roman"/>
          <w:lang w:eastAsia="zh-CN"/>
        </w:rPr>
        <w:t>9</w:t>
      </w:r>
      <w:r>
        <w:rPr>
          <w:rFonts w:ascii="Times New Roman" w:hAnsi="Times New Roman" w:cs="Times New Roman"/>
          <w:lang w:eastAsia="zh-CN"/>
        </w:rPr>
        <w:t>2</w:t>
      </w:r>
      <w:r>
        <w:rPr>
          <w:rFonts w:hint="eastAsia" w:ascii="Times New Roman" w:hAnsi="Times New Roman" w:cs="Times New Roman"/>
          <w:lang w:eastAsia="zh-CN"/>
        </w:rPr>
        <w:t>0000</w:t>
      </w:r>
      <w:r>
        <w:rPr>
          <w:rFonts w:ascii="Times New Roman" w:hAnsi="Times New Roman" w:cs="Times New Roman"/>
          <w:lang w:eastAsia="zh-CN"/>
        </w:rPr>
        <w:t>m</w:t>
      </w:r>
      <w:r>
        <w:rPr>
          <w:rFonts w:ascii="Times New Roman" w:hAnsi="Times New Roman" w:cs="Times New Roman"/>
          <w:vertAlign w:val="superscript"/>
          <w:lang w:eastAsia="zh-CN"/>
        </w:rPr>
        <w:t>3</w:t>
      </w:r>
      <w:r>
        <w:rPr>
          <w:rFonts w:ascii="Times New Roman" w:hAnsi="Times New Roman" w:cs="Times New Roman"/>
          <w:lang w:eastAsia="zh-CN"/>
        </w:rPr>
        <w:t>/h，</w:t>
      </w:r>
      <w:r>
        <w:rPr>
          <w:rFonts w:hint="eastAsia" w:ascii="Times New Roman" w:hAnsi="Times New Roman" w:cs="Times New Roman"/>
          <w:lang w:eastAsia="zh-CN"/>
        </w:rPr>
        <w:t>本项目</w:t>
      </w:r>
      <w:r>
        <w:rPr>
          <w:rFonts w:ascii="Times New Roman" w:hAnsi="Times New Roman" w:cs="Times New Roman"/>
          <w:lang w:eastAsia="zh-CN"/>
        </w:rPr>
        <w:t>仅为</w:t>
      </w:r>
      <w:r>
        <w:rPr>
          <w:rFonts w:hint="eastAsia" w:ascii="Times New Roman" w:hAnsi="Times New Roman" w:cs="Times New Roman"/>
          <w:lang w:eastAsia="zh-CN"/>
        </w:rPr>
        <w:t>LF改造</w:t>
      </w:r>
      <w:r>
        <w:rPr>
          <w:rFonts w:ascii="Times New Roman" w:hAnsi="Times New Roman" w:cs="Times New Roman"/>
          <w:lang w:eastAsia="zh-CN"/>
        </w:rPr>
        <w:t>，改造前后炉子公称容量不变，</w:t>
      </w:r>
      <w:r>
        <w:rPr>
          <w:rFonts w:hint="eastAsia" w:ascii="Times New Roman" w:hAnsi="Times New Roman" w:cs="Times New Roman"/>
          <w:lang w:eastAsia="zh-CN"/>
        </w:rPr>
        <w:t>且</w:t>
      </w:r>
      <w:r>
        <w:rPr>
          <w:rFonts w:ascii="Times New Roman" w:hAnsi="Times New Roman" w:cs="Times New Roman"/>
          <w:lang w:eastAsia="zh-CN"/>
        </w:rPr>
        <w:t>炉</w:t>
      </w:r>
      <w:r>
        <w:rPr>
          <w:rFonts w:hint="eastAsia" w:ascii="Times New Roman" w:hAnsi="Times New Roman" w:cs="Times New Roman"/>
          <w:lang w:eastAsia="zh-CN"/>
        </w:rPr>
        <w:t>盖</w:t>
      </w:r>
      <w:r>
        <w:rPr>
          <w:rFonts w:ascii="Times New Roman" w:hAnsi="Times New Roman" w:cs="Times New Roman"/>
          <w:lang w:eastAsia="zh-CN"/>
        </w:rPr>
        <w:t>罩大小及控制风速不变，因此可</w:t>
      </w:r>
      <w:r>
        <w:rPr>
          <w:rFonts w:hint="eastAsia" w:ascii="Times New Roman" w:hAnsi="Times New Roman" w:cs="Times New Roman"/>
          <w:lang w:eastAsia="zh-CN"/>
        </w:rPr>
        <w:t>视为</w:t>
      </w:r>
      <w:r>
        <w:rPr>
          <w:rFonts w:ascii="Times New Roman" w:hAnsi="Times New Roman" w:cs="Times New Roman"/>
          <w:lang w:eastAsia="zh-CN"/>
        </w:rPr>
        <w:t>前后风量不</w:t>
      </w:r>
      <w:r>
        <w:rPr>
          <w:rFonts w:hint="eastAsia" w:ascii="Times New Roman" w:hAnsi="Times New Roman" w:cs="Times New Roman"/>
          <w:lang w:eastAsia="zh-CN"/>
        </w:rPr>
        <w:t>变</w:t>
      </w:r>
      <w:r>
        <w:rPr>
          <w:rFonts w:ascii="Times New Roman" w:hAnsi="Times New Roman" w:cs="Times New Roman"/>
          <w:lang w:eastAsia="zh-CN"/>
        </w:rPr>
        <w:t>。</w:t>
      </w:r>
      <w:r>
        <w:rPr>
          <w:rFonts w:hint="eastAsia" w:ascii="Times New Roman" w:hAnsi="Times New Roman" w:cs="Times New Roman"/>
          <w:lang w:eastAsia="zh-CN"/>
        </w:rPr>
        <w:t>项目</w:t>
      </w:r>
      <w:r>
        <w:rPr>
          <w:rFonts w:ascii="Times New Roman" w:hAnsi="Times New Roman" w:cs="Times New Roman"/>
          <w:lang w:eastAsia="zh-CN"/>
        </w:rPr>
        <w:t>新增</w:t>
      </w:r>
      <w:r>
        <w:rPr>
          <w:rFonts w:hint="eastAsia" w:ascii="Times New Roman" w:hAnsi="Times New Roman" w:cs="Times New Roman"/>
          <w:lang w:eastAsia="zh-CN"/>
        </w:rPr>
        <w:t>VD炉</w:t>
      </w:r>
      <w:r>
        <w:rPr>
          <w:rFonts w:ascii="Times New Roman" w:hAnsi="Times New Roman" w:cs="Times New Roman"/>
          <w:lang w:eastAsia="zh-CN"/>
        </w:rPr>
        <w:t>烟气</w:t>
      </w:r>
      <w:r>
        <w:rPr>
          <w:rFonts w:hint="eastAsia" w:ascii="Times New Roman" w:hAnsi="Times New Roman" w:cs="Times New Roman"/>
          <w:lang w:eastAsia="zh-CN"/>
        </w:rPr>
        <w:t>10000</w:t>
      </w:r>
      <w:r>
        <w:rPr>
          <w:rFonts w:ascii="Times New Roman" w:hAnsi="Times New Roman" w:cs="Times New Roman"/>
          <w:lang w:eastAsia="zh-CN"/>
        </w:rPr>
        <w:t>m</w:t>
      </w:r>
      <w:r>
        <w:rPr>
          <w:rFonts w:ascii="Times New Roman" w:hAnsi="Times New Roman" w:cs="Times New Roman"/>
          <w:vertAlign w:val="superscript"/>
          <w:lang w:eastAsia="zh-CN"/>
        </w:rPr>
        <w:t>3</w:t>
      </w:r>
      <w:r>
        <w:rPr>
          <w:rFonts w:ascii="Times New Roman" w:hAnsi="Times New Roman" w:cs="Times New Roman"/>
          <w:lang w:eastAsia="zh-CN"/>
        </w:rPr>
        <w:t>/h</w:t>
      </w:r>
      <w:r>
        <w:rPr>
          <w:rFonts w:hint="eastAsia" w:ascii="Times New Roman" w:hAnsi="Times New Roman" w:cs="Times New Roman"/>
          <w:lang w:eastAsia="zh-CN"/>
        </w:rPr>
        <w:t>，</w:t>
      </w:r>
      <w:r>
        <w:rPr>
          <w:rFonts w:ascii="Times New Roman" w:hAnsi="Times New Roman" w:cs="Times New Roman"/>
          <w:lang w:eastAsia="zh-CN"/>
        </w:rPr>
        <w:t>连铸废气量</w:t>
      </w:r>
      <w:r>
        <w:rPr>
          <w:rFonts w:hint="eastAsia" w:ascii="Times New Roman" w:hAnsi="Times New Roman" w:cs="Times New Roman"/>
          <w:lang w:eastAsia="zh-CN"/>
        </w:rPr>
        <w:t>30000</w:t>
      </w:r>
      <w:r>
        <w:rPr>
          <w:rFonts w:ascii="Times New Roman" w:hAnsi="Times New Roman" w:cs="Times New Roman"/>
          <w:lang w:eastAsia="zh-CN"/>
        </w:rPr>
        <w:t>m</w:t>
      </w:r>
      <w:r>
        <w:rPr>
          <w:rFonts w:ascii="Times New Roman" w:hAnsi="Times New Roman" w:cs="Times New Roman"/>
          <w:vertAlign w:val="superscript"/>
          <w:lang w:eastAsia="zh-CN"/>
        </w:rPr>
        <w:t>3</w:t>
      </w:r>
      <w:r>
        <w:rPr>
          <w:rFonts w:ascii="Times New Roman" w:hAnsi="Times New Roman" w:cs="Times New Roman"/>
          <w:lang w:eastAsia="zh-CN"/>
        </w:rPr>
        <w:t>/h</w:t>
      </w:r>
      <w:r>
        <w:rPr>
          <w:rFonts w:hint="eastAsia" w:ascii="Times New Roman" w:hAnsi="Times New Roman" w:cs="Times New Roman"/>
          <w:lang w:eastAsia="zh-CN"/>
        </w:rPr>
        <w:t>，</w:t>
      </w:r>
      <w:r>
        <w:rPr>
          <w:rFonts w:ascii="Times New Roman" w:hAnsi="Times New Roman" w:cs="Times New Roman"/>
          <w:lang w:eastAsia="zh-CN"/>
        </w:rPr>
        <w:t>项目</w:t>
      </w:r>
      <w:r>
        <w:rPr>
          <w:rFonts w:hint="eastAsia" w:ascii="Times New Roman" w:hAnsi="Times New Roman" w:cs="Times New Roman"/>
          <w:lang w:eastAsia="zh-CN"/>
        </w:rPr>
        <w:t>实施</w:t>
      </w:r>
      <w:r>
        <w:rPr>
          <w:rFonts w:ascii="Times New Roman" w:hAnsi="Times New Roman" w:cs="Times New Roman"/>
          <w:lang w:eastAsia="zh-CN"/>
        </w:rPr>
        <w:t>后</w:t>
      </w:r>
      <w:r>
        <w:rPr>
          <w:rFonts w:hint="eastAsia" w:ascii="Times New Roman" w:hAnsi="Times New Roman" w:cs="Times New Roman"/>
          <w:lang w:eastAsia="zh-CN"/>
        </w:rPr>
        <w:t>炼钢一厂有组织废气(排气筒D</w:t>
      </w:r>
      <w:r>
        <w:rPr>
          <w:rFonts w:ascii="Times New Roman" w:hAnsi="Times New Roman" w:cs="Times New Roman"/>
          <w:lang w:eastAsia="zh-CN"/>
        </w:rPr>
        <w:t>A001</w:t>
      </w:r>
      <w:r>
        <w:rPr>
          <w:rFonts w:hint="eastAsia" w:ascii="Times New Roman" w:hAnsi="Times New Roman" w:cs="Times New Roman"/>
          <w:lang w:eastAsia="zh-CN"/>
        </w:rPr>
        <w:t>)</w:t>
      </w:r>
      <w:r>
        <w:rPr>
          <w:rFonts w:ascii="Times New Roman" w:hAnsi="Times New Roman" w:cs="Times New Roman"/>
          <w:lang w:eastAsia="zh-CN"/>
        </w:rPr>
        <w:t>排放情况详见表</w:t>
      </w:r>
      <w:r>
        <w:rPr>
          <w:rFonts w:hint="eastAsia" w:ascii="Times New Roman" w:hAnsi="Times New Roman" w:cs="Times New Roman"/>
          <w:lang w:eastAsia="zh-CN"/>
        </w:rPr>
        <w:t>4-</w:t>
      </w:r>
      <w:r>
        <w:rPr>
          <w:rFonts w:ascii="Times New Roman" w:hAnsi="Times New Roman" w:cs="Times New Roman"/>
          <w:lang w:eastAsia="zh-CN"/>
        </w:rPr>
        <w:t>11</w:t>
      </w:r>
      <w:r>
        <w:rPr>
          <w:rFonts w:hint="eastAsia" w:ascii="Times New Roman" w:hAnsi="Times New Roman" w:cs="Times New Roman"/>
          <w:lang w:eastAsia="zh-CN"/>
        </w:rPr>
        <w:t>。</w:t>
      </w:r>
    </w:p>
    <w:p>
      <w:pPr>
        <w:pStyle w:val="313"/>
        <w:tabs>
          <w:tab w:val="clear" w:pos="3908"/>
        </w:tabs>
        <w:ind w:left="1122" w:hanging="561"/>
      </w:pPr>
      <w:r>
        <w:rPr>
          <w:rFonts w:hint="eastAsia"/>
          <w:lang w:eastAsia="zh-CN"/>
        </w:rPr>
        <w:t>D</w:t>
      </w:r>
      <w:r>
        <w:rPr>
          <w:lang w:eastAsia="zh-CN"/>
        </w:rPr>
        <w:t>A001</w:t>
      </w:r>
      <w:r>
        <w:rPr>
          <w:rFonts w:hint="eastAsia"/>
          <w:lang w:eastAsia="zh-CN"/>
        </w:rPr>
        <w:t>排气筒</w:t>
      </w:r>
      <w:r>
        <w:rPr>
          <w:lang w:eastAsia="zh-CN"/>
        </w:rPr>
        <w:t>废气排放情况</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50"/>
        <w:gridCol w:w="766"/>
        <w:gridCol w:w="907"/>
        <w:gridCol w:w="961"/>
        <w:gridCol w:w="871"/>
        <w:gridCol w:w="1091"/>
        <w:gridCol w:w="959"/>
        <w:gridCol w:w="92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8" w:type="dxa"/>
            <w:vAlign w:val="center"/>
          </w:tcPr>
          <w:p>
            <w:pPr>
              <w:spacing w:line="240" w:lineRule="exact"/>
              <w:jc w:val="center"/>
              <w:rPr>
                <w:rFonts w:eastAsiaTheme="minorEastAsia"/>
                <w:sz w:val="18"/>
                <w:szCs w:val="18"/>
                <w:lang w:val="zh-CN"/>
              </w:rPr>
            </w:pPr>
            <w:r>
              <w:rPr>
                <w:rFonts w:hint="eastAsia" w:eastAsiaTheme="minorEastAsia"/>
                <w:sz w:val="18"/>
                <w:szCs w:val="18"/>
                <w:lang w:val="zh-CN"/>
              </w:rPr>
              <w:t>污染因子</w:t>
            </w:r>
          </w:p>
        </w:tc>
        <w:tc>
          <w:tcPr>
            <w:tcW w:w="1150" w:type="dxa"/>
            <w:vAlign w:val="center"/>
          </w:tcPr>
          <w:p>
            <w:pPr>
              <w:spacing w:line="240" w:lineRule="exact"/>
              <w:jc w:val="center"/>
              <w:rPr>
                <w:rFonts w:eastAsiaTheme="minorEastAsia"/>
                <w:sz w:val="18"/>
                <w:szCs w:val="18"/>
                <w:lang w:val="zh-CN"/>
              </w:rPr>
            </w:pPr>
            <w:r>
              <w:rPr>
                <w:rFonts w:eastAsiaTheme="minorEastAsia"/>
                <w:sz w:val="18"/>
                <w:szCs w:val="18"/>
                <w:lang w:val="zh-CN"/>
              </w:rPr>
              <w:t>废气名称</w:t>
            </w:r>
          </w:p>
        </w:tc>
        <w:tc>
          <w:tcPr>
            <w:tcW w:w="766" w:type="dxa"/>
            <w:vAlign w:val="center"/>
          </w:tcPr>
          <w:p>
            <w:pPr>
              <w:spacing w:line="240" w:lineRule="exact"/>
              <w:jc w:val="center"/>
              <w:rPr>
                <w:rFonts w:eastAsiaTheme="minorEastAsia"/>
                <w:sz w:val="18"/>
                <w:szCs w:val="18"/>
                <w:lang w:val="zh-CN"/>
              </w:rPr>
            </w:pPr>
            <w:r>
              <w:rPr>
                <w:rFonts w:eastAsiaTheme="minorEastAsia"/>
                <w:sz w:val="18"/>
                <w:szCs w:val="18"/>
                <w:lang w:val="zh-CN"/>
              </w:rPr>
              <w:t>排放量</w:t>
            </w:r>
            <w:r>
              <w:rPr>
                <w:rFonts w:hint="eastAsia" w:eastAsiaTheme="minorEastAsia"/>
                <w:sz w:val="18"/>
                <w:szCs w:val="18"/>
                <w:lang w:val="zh-CN"/>
              </w:rPr>
              <w:t>(t/a)</w:t>
            </w:r>
          </w:p>
        </w:tc>
        <w:tc>
          <w:tcPr>
            <w:tcW w:w="907" w:type="dxa"/>
            <w:vAlign w:val="center"/>
          </w:tcPr>
          <w:p>
            <w:pPr>
              <w:spacing w:line="240" w:lineRule="exact"/>
              <w:jc w:val="center"/>
              <w:rPr>
                <w:rFonts w:eastAsiaTheme="minorEastAsia"/>
                <w:sz w:val="18"/>
                <w:szCs w:val="18"/>
                <w:lang w:val="zh-CN"/>
              </w:rPr>
            </w:pPr>
            <w:r>
              <w:rPr>
                <w:rFonts w:eastAsiaTheme="minorEastAsia"/>
                <w:sz w:val="18"/>
                <w:szCs w:val="18"/>
                <w:lang w:val="zh-CN"/>
              </w:rPr>
              <w:t>排放速率(kg/h)</w:t>
            </w:r>
          </w:p>
        </w:tc>
        <w:tc>
          <w:tcPr>
            <w:tcW w:w="961" w:type="dxa"/>
            <w:vAlign w:val="center"/>
          </w:tcPr>
          <w:p>
            <w:pPr>
              <w:spacing w:line="240" w:lineRule="exact"/>
              <w:jc w:val="center"/>
              <w:rPr>
                <w:rFonts w:eastAsiaTheme="minorEastAsia"/>
                <w:sz w:val="18"/>
                <w:szCs w:val="18"/>
                <w:lang w:val="zh-CN"/>
              </w:rPr>
            </w:pPr>
            <w:r>
              <w:rPr>
                <w:rFonts w:eastAsiaTheme="minorEastAsia"/>
                <w:sz w:val="18"/>
                <w:szCs w:val="18"/>
                <w:lang w:val="zh-CN"/>
              </w:rPr>
              <w:t>设计风量(m</w:t>
            </w:r>
            <w:r>
              <w:rPr>
                <w:rFonts w:eastAsiaTheme="minorEastAsia"/>
                <w:sz w:val="18"/>
                <w:szCs w:val="18"/>
                <w:vertAlign w:val="superscript"/>
                <w:lang w:val="zh-CN"/>
              </w:rPr>
              <w:t>3</w:t>
            </w:r>
            <w:r>
              <w:rPr>
                <w:rFonts w:eastAsiaTheme="minorEastAsia"/>
                <w:sz w:val="18"/>
                <w:szCs w:val="18"/>
                <w:lang w:val="zh-CN"/>
              </w:rPr>
              <w:t>/h)</w:t>
            </w:r>
          </w:p>
        </w:tc>
        <w:tc>
          <w:tcPr>
            <w:tcW w:w="871" w:type="dxa"/>
            <w:vAlign w:val="center"/>
          </w:tcPr>
          <w:p>
            <w:pPr>
              <w:spacing w:line="240" w:lineRule="exact"/>
              <w:jc w:val="center"/>
              <w:rPr>
                <w:rFonts w:eastAsiaTheme="minorEastAsia"/>
                <w:sz w:val="18"/>
                <w:szCs w:val="18"/>
                <w:lang w:val="zh-CN"/>
              </w:rPr>
            </w:pPr>
            <w:r>
              <w:rPr>
                <w:rFonts w:eastAsiaTheme="minorEastAsia"/>
                <w:sz w:val="18"/>
                <w:szCs w:val="18"/>
                <w:lang w:val="zh-CN"/>
              </w:rPr>
              <w:t>废气</w:t>
            </w:r>
            <w:r>
              <w:rPr>
                <w:rFonts w:hint="eastAsia" w:eastAsiaTheme="minorEastAsia"/>
                <w:sz w:val="18"/>
                <w:szCs w:val="18"/>
                <w:lang w:val="zh-CN"/>
              </w:rPr>
              <w:t>出口</w:t>
            </w:r>
            <w:r>
              <w:rPr>
                <w:rFonts w:eastAsiaTheme="minorEastAsia"/>
                <w:sz w:val="18"/>
                <w:szCs w:val="18"/>
                <w:lang w:val="zh-CN"/>
              </w:rPr>
              <w:t>温度(</w:t>
            </w:r>
            <w:r>
              <w:rPr>
                <w:rFonts w:hint="eastAsia" w:ascii="宋体" w:hAnsi="宋体" w:eastAsia="宋体" w:cs="宋体"/>
                <w:sz w:val="18"/>
                <w:szCs w:val="18"/>
                <w:lang w:val="zh-CN"/>
              </w:rPr>
              <w:t>℃</w:t>
            </w:r>
            <w:r>
              <w:rPr>
                <w:rFonts w:eastAsiaTheme="minorEastAsia"/>
                <w:sz w:val="18"/>
                <w:szCs w:val="18"/>
                <w:lang w:val="zh-CN"/>
              </w:rPr>
              <w:t>)</w:t>
            </w:r>
          </w:p>
        </w:tc>
        <w:tc>
          <w:tcPr>
            <w:tcW w:w="1091" w:type="dxa"/>
            <w:vAlign w:val="center"/>
          </w:tcPr>
          <w:p>
            <w:pPr>
              <w:spacing w:line="240" w:lineRule="exact"/>
              <w:jc w:val="center"/>
              <w:rPr>
                <w:rFonts w:eastAsiaTheme="minorEastAsia"/>
                <w:sz w:val="18"/>
                <w:szCs w:val="18"/>
                <w:lang w:val="zh-CN"/>
              </w:rPr>
            </w:pPr>
            <w:r>
              <w:rPr>
                <w:rFonts w:eastAsiaTheme="minorEastAsia"/>
                <w:sz w:val="18"/>
                <w:szCs w:val="18"/>
                <w:lang w:val="zh-CN"/>
              </w:rPr>
              <w:t>标况风量(Nm</w:t>
            </w:r>
            <w:r>
              <w:rPr>
                <w:rFonts w:eastAsiaTheme="minorEastAsia"/>
                <w:sz w:val="18"/>
                <w:szCs w:val="18"/>
                <w:vertAlign w:val="superscript"/>
                <w:lang w:val="zh-CN"/>
              </w:rPr>
              <w:t>3</w:t>
            </w:r>
            <w:r>
              <w:rPr>
                <w:rFonts w:eastAsiaTheme="minorEastAsia"/>
                <w:sz w:val="18"/>
                <w:szCs w:val="18"/>
                <w:lang w:val="zh-CN"/>
              </w:rPr>
              <w:t>/h)</w:t>
            </w:r>
          </w:p>
        </w:tc>
        <w:tc>
          <w:tcPr>
            <w:tcW w:w="959" w:type="dxa"/>
            <w:vAlign w:val="center"/>
          </w:tcPr>
          <w:p>
            <w:pPr>
              <w:spacing w:line="240" w:lineRule="exact"/>
              <w:jc w:val="center"/>
              <w:rPr>
                <w:rFonts w:eastAsiaTheme="minorEastAsia"/>
                <w:sz w:val="18"/>
                <w:szCs w:val="18"/>
                <w:lang w:val="zh-CN"/>
              </w:rPr>
            </w:pPr>
            <w:r>
              <w:rPr>
                <w:rFonts w:eastAsiaTheme="minorEastAsia"/>
                <w:sz w:val="18"/>
                <w:szCs w:val="18"/>
                <w:lang w:val="zh-CN"/>
              </w:rPr>
              <w:t>排放浓度</w:t>
            </w:r>
            <w:r>
              <w:rPr>
                <w:rFonts w:hint="eastAsia" w:eastAsiaTheme="minorEastAsia"/>
                <w:sz w:val="18"/>
                <w:szCs w:val="18"/>
                <w:lang w:val="zh-CN"/>
              </w:rPr>
              <w:t>(</w:t>
            </w:r>
            <w:r>
              <w:rPr>
                <w:rFonts w:eastAsiaTheme="minorEastAsia"/>
                <w:sz w:val="18"/>
                <w:szCs w:val="18"/>
                <w:lang w:val="zh-CN"/>
              </w:rPr>
              <w:t>Nmg/m</w:t>
            </w:r>
            <w:r>
              <w:rPr>
                <w:rFonts w:eastAsiaTheme="minorEastAsia"/>
                <w:sz w:val="18"/>
                <w:szCs w:val="18"/>
                <w:vertAlign w:val="superscript"/>
                <w:lang w:val="zh-CN"/>
              </w:rPr>
              <w:t>3</w:t>
            </w:r>
            <w:r>
              <w:rPr>
                <w:rFonts w:hint="eastAsia" w:eastAsiaTheme="minorEastAsia"/>
                <w:sz w:val="18"/>
                <w:szCs w:val="18"/>
                <w:lang w:val="zh-CN"/>
              </w:rPr>
              <w:t>)</w:t>
            </w:r>
          </w:p>
        </w:tc>
        <w:tc>
          <w:tcPr>
            <w:tcW w:w="926" w:type="dxa"/>
            <w:vAlign w:val="center"/>
          </w:tcPr>
          <w:p>
            <w:pPr>
              <w:spacing w:line="240" w:lineRule="exact"/>
              <w:jc w:val="center"/>
              <w:rPr>
                <w:rFonts w:eastAsiaTheme="minorEastAsia"/>
                <w:sz w:val="18"/>
                <w:szCs w:val="18"/>
                <w:lang w:val="zh-CN"/>
              </w:rPr>
            </w:pPr>
            <w:r>
              <w:rPr>
                <w:rFonts w:eastAsiaTheme="minorEastAsia"/>
                <w:sz w:val="18"/>
                <w:szCs w:val="18"/>
                <w:lang w:val="zh-CN"/>
              </w:rPr>
              <w:t>排放标准</w:t>
            </w:r>
            <w:r>
              <w:rPr>
                <w:rFonts w:hint="eastAsia" w:eastAsiaTheme="minorEastAsia"/>
                <w:sz w:val="18"/>
                <w:szCs w:val="18"/>
                <w:lang w:val="zh-CN"/>
              </w:rPr>
              <w:t>(</w:t>
            </w:r>
            <w:r>
              <w:rPr>
                <w:rFonts w:eastAsiaTheme="minorEastAsia"/>
                <w:sz w:val="18"/>
                <w:szCs w:val="18"/>
                <w:lang w:val="zh-CN"/>
              </w:rPr>
              <w:t>mg/m</w:t>
            </w:r>
            <w:r>
              <w:rPr>
                <w:rFonts w:eastAsiaTheme="minorEastAsia"/>
                <w:sz w:val="18"/>
                <w:szCs w:val="18"/>
                <w:vertAlign w:val="superscript"/>
                <w:lang w:val="zh-CN"/>
              </w:rPr>
              <w:t>3</w:t>
            </w:r>
            <w:r>
              <w:rPr>
                <w:rFonts w:hint="eastAsia" w:eastAsiaTheme="minorEastAsia"/>
                <w:sz w:val="18"/>
                <w:szCs w:val="18"/>
                <w:lang w:val="zh-CN"/>
              </w:rPr>
              <w:t>)</w:t>
            </w:r>
          </w:p>
        </w:tc>
        <w:tc>
          <w:tcPr>
            <w:tcW w:w="708" w:type="dxa"/>
            <w:vAlign w:val="center"/>
          </w:tcPr>
          <w:p>
            <w:pPr>
              <w:spacing w:line="240" w:lineRule="exact"/>
              <w:jc w:val="center"/>
              <w:rPr>
                <w:rFonts w:eastAsiaTheme="minorEastAsia"/>
                <w:sz w:val="18"/>
                <w:szCs w:val="18"/>
                <w:lang w:val="zh-CN"/>
              </w:rPr>
            </w:pPr>
            <w:r>
              <w:rPr>
                <w:rFonts w:eastAsiaTheme="minorEastAsia"/>
                <w:sz w:val="18"/>
                <w:szCs w:val="18"/>
                <w:lang w:val="zh-CN"/>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8" w:type="dxa"/>
            <w:vMerge w:val="restart"/>
            <w:vAlign w:val="center"/>
          </w:tcPr>
          <w:p>
            <w:pPr>
              <w:jc w:val="center"/>
              <w:rPr>
                <w:rFonts w:eastAsiaTheme="minorEastAsia"/>
                <w:sz w:val="18"/>
                <w:szCs w:val="18"/>
                <w:lang w:val="zh-CN"/>
              </w:rPr>
            </w:pPr>
            <w:r>
              <w:rPr>
                <w:rFonts w:hint="eastAsia" w:eastAsiaTheme="minorEastAsia"/>
                <w:sz w:val="18"/>
                <w:szCs w:val="18"/>
                <w:lang w:val="zh-CN"/>
              </w:rPr>
              <w:t>颗粒物</w:t>
            </w:r>
          </w:p>
        </w:tc>
        <w:tc>
          <w:tcPr>
            <w:tcW w:w="1150" w:type="dxa"/>
            <w:vAlign w:val="center"/>
          </w:tcPr>
          <w:p>
            <w:pPr>
              <w:spacing w:line="240" w:lineRule="exact"/>
              <w:jc w:val="center"/>
              <w:rPr>
                <w:rFonts w:eastAsiaTheme="minorEastAsia"/>
                <w:sz w:val="18"/>
                <w:szCs w:val="18"/>
                <w:lang w:val="zh-CN"/>
              </w:rPr>
            </w:pPr>
            <w:r>
              <w:rPr>
                <w:rFonts w:hint="eastAsia" w:eastAsiaTheme="minorEastAsia"/>
                <w:sz w:val="18"/>
                <w:szCs w:val="18"/>
                <w:lang w:val="zh-CN"/>
              </w:rPr>
              <w:t>炼钢废气(现有改造</w:t>
            </w:r>
            <w:r>
              <w:rPr>
                <w:rFonts w:eastAsiaTheme="minorEastAsia"/>
                <w:sz w:val="18"/>
                <w:szCs w:val="18"/>
                <w:lang w:val="zh-CN"/>
              </w:rPr>
              <w:t>后</w:t>
            </w:r>
            <w:r>
              <w:rPr>
                <w:rFonts w:hint="eastAsia" w:eastAsiaTheme="minorEastAsia"/>
                <w:sz w:val="18"/>
                <w:szCs w:val="18"/>
                <w:lang w:val="zh-CN"/>
              </w:rPr>
              <w:t>)</w:t>
            </w:r>
          </w:p>
        </w:tc>
        <w:tc>
          <w:tcPr>
            <w:tcW w:w="766" w:type="dxa"/>
            <w:vAlign w:val="center"/>
          </w:tcPr>
          <w:p>
            <w:pPr>
              <w:jc w:val="center"/>
              <w:rPr>
                <w:rFonts w:eastAsiaTheme="minorEastAsia"/>
                <w:sz w:val="18"/>
                <w:szCs w:val="18"/>
                <w:lang w:val="zh-CN"/>
              </w:rPr>
            </w:pPr>
            <w:r>
              <w:rPr>
                <w:rFonts w:hint="eastAsia" w:eastAsiaTheme="minorEastAsia"/>
                <w:sz w:val="18"/>
                <w:szCs w:val="18"/>
                <w:lang w:val="zh-CN"/>
              </w:rPr>
              <w:t>1.12</w:t>
            </w:r>
          </w:p>
        </w:tc>
        <w:tc>
          <w:tcPr>
            <w:tcW w:w="907" w:type="dxa"/>
            <w:vAlign w:val="center"/>
          </w:tcPr>
          <w:p>
            <w:pPr>
              <w:jc w:val="center"/>
              <w:rPr>
                <w:rFonts w:eastAsiaTheme="minorEastAsia"/>
                <w:sz w:val="18"/>
                <w:szCs w:val="18"/>
                <w:lang w:val="zh-CN"/>
              </w:rPr>
            </w:pPr>
            <w:r>
              <w:rPr>
                <w:rFonts w:hint="eastAsia" w:eastAsiaTheme="minorEastAsia"/>
                <w:sz w:val="18"/>
                <w:szCs w:val="18"/>
                <w:lang w:val="zh-CN"/>
              </w:rPr>
              <w:t>0.172</w:t>
            </w:r>
          </w:p>
        </w:tc>
        <w:tc>
          <w:tcPr>
            <w:tcW w:w="961" w:type="dxa"/>
            <w:vMerge w:val="restart"/>
            <w:vAlign w:val="center"/>
          </w:tcPr>
          <w:p>
            <w:pPr>
              <w:jc w:val="center"/>
              <w:rPr>
                <w:rFonts w:eastAsiaTheme="minorEastAsia"/>
                <w:sz w:val="18"/>
                <w:szCs w:val="18"/>
                <w:lang w:val="zh-CN"/>
              </w:rPr>
            </w:pPr>
            <w:r>
              <w:rPr>
                <w:rFonts w:hint="eastAsia" w:eastAsiaTheme="minorEastAsia"/>
                <w:sz w:val="18"/>
                <w:szCs w:val="18"/>
                <w:lang w:val="zh-CN"/>
              </w:rPr>
              <w:t>9</w:t>
            </w:r>
            <w:r>
              <w:rPr>
                <w:rFonts w:eastAsiaTheme="minorEastAsia"/>
                <w:sz w:val="18"/>
                <w:szCs w:val="18"/>
                <w:lang w:val="zh-CN"/>
              </w:rPr>
              <w:t>3</w:t>
            </w:r>
            <w:r>
              <w:rPr>
                <w:rFonts w:hint="eastAsia" w:eastAsiaTheme="minorEastAsia"/>
                <w:sz w:val="18"/>
                <w:szCs w:val="18"/>
                <w:lang w:val="zh-CN"/>
              </w:rPr>
              <w:t>0000</w:t>
            </w:r>
            <w:r>
              <w:rPr>
                <w:rFonts w:eastAsiaTheme="minorEastAsia"/>
                <w:sz w:val="18"/>
                <w:szCs w:val="18"/>
                <w:lang w:val="zh-CN"/>
              </w:rPr>
              <w:t>*</w:t>
            </w:r>
          </w:p>
        </w:tc>
        <w:tc>
          <w:tcPr>
            <w:tcW w:w="871" w:type="dxa"/>
            <w:vMerge w:val="restart"/>
            <w:vAlign w:val="center"/>
          </w:tcPr>
          <w:p>
            <w:pPr>
              <w:jc w:val="center"/>
              <w:rPr>
                <w:rFonts w:eastAsiaTheme="minorEastAsia"/>
                <w:sz w:val="18"/>
                <w:szCs w:val="18"/>
                <w:lang w:val="zh-CN"/>
              </w:rPr>
            </w:pPr>
            <w:r>
              <w:rPr>
                <w:rFonts w:eastAsiaTheme="minorEastAsia"/>
                <w:sz w:val="18"/>
                <w:szCs w:val="18"/>
                <w:lang w:val="zh-CN"/>
              </w:rPr>
              <w:t>48</w:t>
            </w:r>
          </w:p>
        </w:tc>
        <w:tc>
          <w:tcPr>
            <w:tcW w:w="1091"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59"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26"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708" w:type="dxa"/>
            <w:vAlign w:val="center"/>
          </w:tcPr>
          <w:p>
            <w:pPr>
              <w:jc w:val="center"/>
              <w:rPr>
                <w:rFonts w:eastAsiaTheme="minorEastAsia"/>
                <w:sz w:val="18"/>
                <w:szCs w:val="18"/>
                <w:lang w:val="zh-CN"/>
              </w:rPr>
            </w:pPr>
            <w:r>
              <w:rPr>
                <w:rFonts w:hint="eastAsia" w:eastAsiaTheme="minorEastAsia"/>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8" w:type="dxa"/>
            <w:vMerge w:val="continue"/>
            <w:vAlign w:val="center"/>
          </w:tcPr>
          <w:p>
            <w:pPr>
              <w:jc w:val="center"/>
              <w:rPr>
                <w:rFonts w:eastAsiaTheme="minorEastAsia"/>
                <w:sz w:val="18"/>
                <w:szCs w:val="18"/>
                <w:lang w:val="zh-CN"/>
              </w:rPr>
            </w:pPr>
          </w:p>
        </w:tc>
        <w:tc>
          <w:tcPr>
            <w:tcW w:w="1150" w:type="dxa"/>
            <w:vAlign w:val="center"/>
          </w:tcPr>
          <w:p>
            <w:pPr>
              <w:jc w:val="center"/>
              <w:rPr>
                <w:rFonts w:eastAsiaTheme="minorEastAsia"/>
                <w:sz w:val="18"/>
                <w:szCs w:val="18"/>
                <w:lang w:val="zh-CN"/>
              </w:rPr>
            </w:pPr>
            <w:r>
              <w:rPr>
                <w:rFonts w:hint="eastAsia" w:eastAsiaTheme="minorEastAsia"/>
                <w:sz w:val="18"/>
                <w:szCs w:val="18"/>
                <w:lang w:val="zh-CN"/>
              </w:rPr>
              <w:t>精炼废气</w:t>
            </w:r>
          </w:p>
        </w:tc>
        <w:tc>
          <w:tcPr>
            <w:tcW w:w="766" w:type="dxa"/>
            <w:vAlign w:val="center"/>
          </w:tcPr>
          <w:p>
            <w:pPr>
              <w:jc w:val="center"/>
              <w:rPr>
                <w:rFonts w:eastAsiaTheme="minorEastAsia"/>
                <w:sz w:val="18"/>
                <w:szCs w:val="18"/>
                <w:lang w:val="zh-CN"/>
              </w:rPr>
            </w:pPr>
            <w:r>
              <w:rPr>
                <w:rFonts w:eastAsiaTheme="minorEastAsia"/>
                <w:sz w:val="18"/>
                <w:szCs w:val="18"/>
                <w:lang w:val="zh-CN"/>
              </w:rPr>
              <w:t>9.52</w:t>
            </w:r>
          </w:p>
        </w:tc>
        <w:tc>
          <w:tcPr>
            <w:tcW w:w="907" w:type="dxa"/>
            <w:vAlign w:val="center"/>
          </w:tcPr>
          <w:p>
            <w:pPr>
              <w:jc w:val="center"/>
              <w:rPr>
                <w:rFonts w:eastAsiaTheme="minorEastAsia"/>
                <w:sz w:val="18"/>
                <w:szCs w:val="18"/>
                <w:lang w:val="zh-CN"/>
              </w:rPr>
            </w:pPr>
            <w:r>
              <w:rPr>
                <w:rFonts w:hint="eastAsia" w:eastAsiaTheme="minorEastAsia"/>
                <w:sz w:val="18"/>
                <w:szCs w:val="18"/>
                <w:lang w:val="zh-CN"/>
              </w:rPr>
              <w:t>1.</w:t>
            </w:r>
            <w:r>
              <w:rPr>
                <w:rFonts w:eastAsiaTheme="minorEastAsia"/>
                <w:sz w:val="18"/>
                <w:szCs w:val="18"/>
                <w:lang w:val="zh-CN"/>
              </w:rPr>
              <w:t>46</w:t>
            </w:r>
          </w:p>
        </w:tc>
        <w:tc>
          <w:tcPr>
            <w:tcW w:w="961" w:type="dxa"/>
            <w:vMerge w:val="continue"/>
            <w:vAlign w:val="center"/>
          </w:tcPr>
          <w:p>
            <w:pPr>
              <w:jc w:val="center"/>
              <w:rPr>
                <w:rFonts w:eastAsiaTheme="minorEastAsia"/>
                <w:sz w:val="18"/>
                <w:szCs w:val="18"/>
                <w:lang w:val="zh-CN"/>
              </w:rPr>
            </w:pPr>
          </w:p>
        </w:tc>
        <w:tc>
          <w:tcPr>
            <w:tcW w:w="871" w:type="dxa"/>
            <w:vMerge w:val="continue"/>
            <w:vAlign w:val="center"/>
          </w:tcPr>
          <w:p>
            <w:pPr>
              <w:jc w:val="center"/>
              <w:rPr>
                <w:rFonts w:eastAsiaTheme="minorEastAsia"/>
                <w:sz w:val="18"/>
                <w:szCs w:val="18"/>
                <w:lang w:val="zh-CN"/>
              </w:rPr>
            </w:pPr>
          </w:p>
        </w:tc>
        <w:tc>
          <w:tcPr>
            <w:tcW w:w="1091"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59"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26"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708" w:type="dxa"/>
            <w:vAlign w:val="center"/>
          </w:tcPr>
          <w:p>
            <w:pPr>
              <w:jc w:val="center"/>
              <w:rPr>
                <w:rFonts w:eastAsiaTheme="minorEastAsia"/>
                <w:sz w:val="18"/>
                <w:szCs w:val="18"/>
                <w:lang w:val="zh-CN"/>
              </w:rPr>
            </w:pPr>
            <w:r>
              <w:rPr>
                <w:rFonts w:hint="eastAsia" w:eastAsiaTheme="minorEastAsia"/>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8" w:type="dxa"/>
            <w:vMerge w:val="continue"/>
            <w:vAlign w:val="center"/>
          </w:tcPr>
          <w:p>
            <w:pPr>
              <w:jc w:val="center"/>
              <w:rPr>
                <w:rFonts w:eastAsiaTheme="minorEastAsia"/>
                <w:sz w:val="18"/>
                <w:szCs w:val="18"/>
                <w:lang w:val="zh-CN"/>
              </w:rPr>
            </w:pPr>
          </w:p>
        </w:tc>
        <w:tc>
          <w:tcPr>
            <w:tcW w:w="1150" w:type="dxa"/>
            <w:vAlign w:val="center"/>
          </w:tcPr>
          <w:p>
            <w:pPr>
              <w:jc w:val="center"/>
              <w:rPr>
                <w:rFonts w:eastAsiaTheme="minorEastAsia"/>
                <w:sz w:val="18"/>
                <w:szCs w:val="18"/>
                <w:lang w:val="zh-CN"/>
              </w:rPr>
            </w:pPr>
            <w:r>
              <w:rPr>
                <w:rFonts w:hint="eastAsia" w:eastAsiaTheme="minorEastAsia"/>
                <w:sz w:val="18"/>
                <w:szCs w:val="18"/>
                <w:lang w:val="zh-CN"/>
              </w:rPr>
              <w:t>连铸废气</w:t>
            </w:r>
          </w:p>
        </w:tc>
        <w:tc>
          <w:tcPr>
            <w:tcW w:w="766" w:type="dxa"/>
            <w:vAlign w:val="center"/>
          </w:tcPr>
          <w:p>
            <w:pPr>
              <w:jc w:val="center"/>
              <w:rPr>
                <w:rFonts w:eastAsiaTheme="minorEastAsia"/>
                <w:sz w:val="18"/>
                <w:szCs w:val="18"/>
                <w:lang w:val="zh-CN"/>
              </w:rPr>
            </w:pPr>
            <w:r>
              <w:rPr>
                <w:rFonts w:hint="eastAsia" w:eastAsiaTheme="minorEastAsia"/>
                <w:sz w:val="18"/>
                <w:szCs w:val="18"/>
                <w:lang w:val="zh-CN"/>
              </w:rPr>
              <w:t>0.003</w:t>
            </w:r>
          </w:p>
        </w:tc>
        <w:tc>
          <w:tcPr>
            <w:tcW w:w="907" w:type="dxa"/>
            <w:vAlign w:val="center"/>
          </w:tcPr>
          <w:p>
            <w:pPr>
              <w:jc w:val="center"/>
              <w:rPr>
                <w:rFonts w:eastAsiaTheme="minorEastAsia"/>
                <w:sz w:val="18"/>
                <w:szCs w:val="18"/>
                <w:lang w:val="zh-CN"/>
              </w:rPr>
            </w:pPr>
            <w:r>
              <w:rPr>
                <w:rFonts w:hint="eastAsia" w:eastAsiaTheme="minorEastAsia"/>
                <w:sz w:val="18"/>
                <w:szCs w:val="18"/>
                <w:lang w:val="zh-CN"/>
              </w:rPr>
              <w:t>0.00</w:t>
            </w:r>
            <w:r>
              <w:rPr>
                <w:rFonts w:eastAsiaTheme="minorEastAsia"/>
                <w:sz w:val="18"/>
                <w:szCs w:val="18"/>
                <w:lang w:val="zh-CN"/>
              </w:rPr>
              <w:t>08</w:t>
            </w:r>
          </w:p>
        </w:tc>
        <w:tc>
          <w:tcPr>
            <w:tcW w:w="961" w:type="dxa"/>
            <w:vAlign w:val="center"/>
          </w:tcPr>
          <w:p>
            <w:pPr>
              <w:jc w:val="center"/>
              <w:rPr>
                <w:rFonts w:eastAsiaTheme="minorEastAsia"/>
                <w:sz w:val="18"/>
                <w:szCs w:val="18"/>
                <w:lang w:val="zh-CN"/>
              </w:rPr>
            </w:pPr>
            <w:r>
              <w:rPr>
                <w:rFonts w:eastAsiaTheme="minorEastAsia"/>
                <w:sz w:val="18"/>
                <w:szCs w:val="18"/>
                <w:lang w:val="zh-CN"/>
              </w:rPr>
              <w:t>300</w:t>
            </w:r>
            <w:r>
              <w:rPr>
                <w:rFonts w:hint="eastAsia" w:eastAsiaTheme="minorEastAsia"/>
                <w:sz w:val="18"/>
                <w:szCs w:val="18"/>
                <w:lang w:val="zh-CN"/>
              </w:rPr>
              <w:t>00</w:t>
            </w:r>
          </w:p>
        </w:tc>
        <w:tc>
          <w:tcPr>
            <w:tcW w:w="871" w:type="dxa"/>
            <w:vMerge w:val="continue"/>
            <w:vAlign w:val="center"/>
          </w:tcPr>
          <w:p>
            <w:pPr>
              <w:jc w:val="center"/>
              <w:rPr>
                <w:rFonts w:eastAsiaTheme="minorEastAsia"/>
                <w:sz w:val="18"/>
                <w:szCs w:val="18"/>
                <w:lang w:val="zh-CN"/>
              </w:rPr>
            </w:pPr>
          </w:p>
        </w:tc>
        <w:tc>
          <w:tcPr>
            <w:tcW w:w="1091"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59"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926" w:type="dxa"/>
            <w:vAlign w:val="center"/>
          </w:tcPr>
          <w:p>
            <w:pPr>
              <w:jc w:val="center"/>
              <w:rPr>
                <w:rFonts w:eastAsiaTheme="minorEastAsia"/>
                <w:sz w:val="18"/>
                <w:szCs w:val="18"/>
                <w:lang w:val="zh-CN"/>
              </w:rPr>
            </w:pPr>
            <w:r>
              <w:rPr>
                <w:rFonts w:hint="eastAsia" w:eastAsiaTheme="minorEastAsia"/>
                <w:sz w:val="18"/>
                <w:szCs w:val="18"/>
                <w:lang w:val="zh-CN"/>
              </w:rPr>
              <w:t>/</w:t>
            </w:r>
          </w:p>
        </w:tc>
        <w:tc>
          <w:tcPr>
            <w:tcW w:w="708" w:type="dxa"/>
            <w:vAlign w:val="center"/>
          </w:tcPr>
          <w:p>
            <w:pPr>
              <w:jc w:val="center"/>
              <w:rPr>
                <w:rFonts w:eastAsiaTheme="minorEastAsia"/>
                <w:sz w:val="18"/>
                <w:szCs w:val="18"/>
                <w:lang w:val="zh-CN"/>
              </w:rPr>
            </w:pPr>
            <w:r>
              <w:rPr>
                <w:rFonts w:hint="eastAsia" w:eastAsiaTheme="minorEastAsia"/>
                <w:sz w:val="18"/>
                <w:szCs w:val="1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8" w:type="dxa"/>
            <w:vMerge w:val="continue"/>
            <w:vAlign w:val="center"/>
          </w:tcPr>
          <w:p>
            <w:pPr>
              <w:jc w:val="center"/>
              <w:rPr>
                <w:rFonts w:eastAsiaTheme="minorEastAsia"/>
                <w:sz w:val="18"/>
                <w:szCs w:val="18"/>
                <w:lang w:val="zh-CN"/>
              </w:rPr>
            </w:pPr>
          </w:p>
        </w:tc>
        <w:tc>
          <w:tcPr>
            <w:tcW w:w="1150" w:type="dxa"/>
            <w:vAlign w:val="center"/>
          </w:tcPr>
          <w:p>
            <w:pPr>
              <w:jc w:val="center"/>
              <w:rPr>
                <w:rFonts w:eastAsiaTheme="minorEastAsia"/>
                <w:sz w:val="18"/>
                <w:szCs w:val="18"/>
                <w:lang w:val="zh-CN"/>
              </w:rPr>
            </w:pPr>
            <w:r>
              <w:rPr>
                <w:rFonts w:hint="eastAsia" w:eastAsiaTheme="minorEastAsia"/>
                <w:sz w:val="18"/>
                <w:szCs w:val="18"/>
                <w:lang w:val="zh-CN"/>
              </w:rPr>
              <w:t>合计</w:t>
            </w:r>
          </w:p>
        </w:tc>
        <w:tc>
          <w:tcPr>
            <w:tcW w:w="766" w:type="dxa"/>
            <w:vAlign w:val="center"/>
          </w:tcPr>
          <w:p>
            <w:pPr>
              <w:jc w:val="center"/>
              <w:rPr>
                <w:rFonts w:eastAsiaTheme="minorEastAsia"/>
                <w:sz w:val="18"/>
                <w:szCs w:val="18"/>
                <w:lang w:val="zh-CN"/>
              </w:rPr>
            </w:pPr>
            <w:r>
              <w:rPr>
                <w:rFonts w:eastAsiaTheme="minorEastAsia"/>
                <w:sz w:val="18"/>
                <w:szCs w:val="18"/>
                <w:lang w:val="zh-CN"/>
              </w:rPr>
              <w:fldChar w:fldCharType="begin"/>
            </w:r>
            <w:r>
              <w:rPr>
                <w:rFonts w:eastAsiaTheme="minorEastAsia"/>
                <w:sz w:val="18"/>
                <w:szCs w:val="18"/>
                <w:lang w:val="zh-CN"/>
              </w:rPr>
              <w:instrText xml:space="preserve"> =SUM(ABOVE) </w:instrText>
            </w:r>
            <w:r>
              <w:rPr>
                <w:rFonts w:eastAsiaTheme="minorEastAsia"/>
                <w:sz w:val="18"/>
                <w:szCs w:val="18"/>
                <w:lang w:val="zh-CN"/>
              </w:rPr>
              <w:fldChar w:fldCharType="separate"/>
            </w:r>
            <w:r>
              <w:rPr>
                <w:rFonts w:eastAsiaTheme="minorEastAsia"/>
                <w:sz w:val="18"/>
                <w:szCs w:val="18"/>
                <w:lang w:val="zh-CN"/>
              </w:rPr>
              <w:t>10.643</w:t>
            </w:r>
            <w:r>
              <w:rPr>
                <w:rFonts w:eastAsiaTheme="minorEastAsia"/>
                <w:sz w:val="18"/>
                <w:szCs w:val="18"/>
                <w:lang w:val="zh-CN"/>
              </w:rPr>
              <w:fldChar w:fldCharType="end"/>
            </w:r>
          </w:p>
        </w:tc>
        <w:tc>
          <w:tcPr>
            <w:tcW w:w="907" w:type="dxa"/>
            <w:vAlign w:val="center"/>
          </w:tcPr>
          <w:p>
            <w:pPr>
              <w:jc w:val="center"/>
              <w:rPr>
                <w:rFonts w:eastAsiaTheme="minorEastAsia"/>
                <w:sz w:val="18"/>
                <w:szCs w:val="18"/>
                <w:lang w:val="zh-CN"/>
              </w:rPr>
            </w:pPr>
            <w:r>
              <w:rPr>
                <w:rFonts w:eastAsiaTheme="minorEastAsia"/>
                <w:sz w:val="18"/>
                <w:szCs w:val="18"/>
                <w:lang w:val="zh-CN"/>
              </w:rPr>
              <w:fldChar w:fldCharType="begin"/>
            </w:r>
            <w:r>
              <w:rPr>
                <w:rFonts w:eastAsiaTheme="minorEastAsia"/>
                <w:sz w:val="18"/>
                <w:szCs w:val="18"/>
                <w:lang w:val="zh-CN"/>
              </w:rPr>
              <w:instrText xml:space="preserve"> =SUM(ABOVE) </w:instrText>
            </w:r>
            <w:r>
              <w:rPr>
                <w:rFonts w:eastAsiaTheme="minorEastAsia"/>
                <w:sz w:val="18"/>
                <w:szCs w:val="18"/>
                <w:lang w:val="zh-CN"/>
              </w:rPr>
              <w:fldChar w:fldCharType="separate"/>
            </w:r>
            <w:r>
              <w:rPr>
                <w:rFonts w:eastAsiaTheme="minorEastAsia"/>
                <w:sz w:val="18"/>
                <w:szCs w:val="18"/>
                <w:lang w:val="zh-CN"/>
              </w:rPr>
              <w:t>1.6328</w:t>
            </w:r>
            <w:r>
              <w:rPr>
                <w:rFonts w:eastAsiaTheme="minorEastAsia"/>
                <w:sz w:val="18"/>
                <w:szCs w:val="18"/>
                <w:lang w:val="zh-CN"/>
              </w:rPr>
              <w:fldChar w:fldCharType="end"/>
            </w:r>
          </w:p>
        </w:tc>
        <w:tc>
          <w:tcPr>
            <w:tcW w:w="961" w:type="dxa"/>
            <w:vAlign w:val="center"/>
          </w:tcPr>
          <w:p>
            <w:pPr>
              <w:jc w:val="center"/>
              <w:rPr>
                <w:rFonts w:eastAsiaTheme="minorEastAsia"/>
                <w:sz w:val="18"/>
                <w:szCs w:val="18"/>
                <w:lang w:val="zh-CN"/>
              </w:rPr>
            </w:pPr>
            <w:r>
              <w:rPr>
                <w:rFonts w:eastAsiaTheme="minorEastAsia"/>
                <w:sz w:val="18"/>
                <w:szCs w:val="18"/>
                <w:lang w:val="zh-CN"/>
              </w:rPr>
              <w:t>960000</w:t>
            </w:r>
          </w:p>
        </w:tc>
        <w:tc>
          <w:tcPr>
            <w:tcW w:w="871" w:type="dxa"/>
            <w:vAlign w:val="center"/>
          </w:tcPr>
          <w:p>
            <w:pPr>
              <w:jc w:val="center"/>
              <w:rPr>
                <w:rFonts w:eastAsiaTheme="minorEastAsia"/>
                <w:sz w:val="18"/>
                <w:szCs w:val="18"/>
                <w:lang w:val="zh-CN"/>
              </w:rPr>
            </w:pPr>
            <w:r>
              <w:rPr>
                <w:rFonts w:eastAsiaTheme="minorEastAsia"/>
                <w:sz w:val="18"/>
                <w:szCs w:val="18"/>
                <w:lang w:val="zh-CN"/>
              </w:rPr>
              <w:t>48</w:t>
            </w:r>
          </w:p>
        </w:tc>
        <w:tc>
          <w:tcPr>
            <w:tcW w:w="1091" w:type="dxa"/>
            <w:vAlign w:val="center"/>
          </w:tcPr>
          <w:p>
            <w:pPr>
              <w:jc w:val="center"/>
              <w:rPr>
                <w:rFonts w:eastAsiaTheme="minorEastAsia"/>
                <w:sz w:val="18"/>
                <w:szCs w:val="18"/>
                <w:lang w:val="zh-CN"/>
              </w:rPr>
            </w:pPr>
            <w:r>
              <w:rPr>
                <w:rFonts w:eastAsiaTheme="minorEastAsia"/>
                <w:sz w:val="18"/>
                <w:szCs w:val="18"/>
                <w:lang w:val="zh-CN"/>
              </w:rPr>
              <w:t>816449</w:t>
            </w:r>
          </w:p>
        </w:tc>
        <w:tc>
          <w:tcPr>
            <w:tcW w:w="959" w:type="dxa"/>
            <w:vAlign w:val="center"/>
          </w:tcPr>
          <w:p>
            <w:pPr>
              <w:jc w:val="center"/>
              <w:rPr>
                <w:rFonts w:eastAsiaTheme="minorEastAsia"/>
                <w:sz w:val="18"/>
                <w:szCs w:val="18"/>
                <w:lang w:val="zh-CN"/>
              </w:rPr>
            </w:pPr>
            <w:r>
              <w:rPr>
                <w:rFonts w:eastAsiaTheme="minorEastAsia"/>
                <w:sz w:val="18"/>
                <w:szCs w:val="18"/>
                <w:lang w:val="zh-CN"/>
              </w:rPr>
              <w:t>2.0</w:t>
            </w:r>
          </w:p>
        </w:tc>
        <w:tc>
          <w:tcPr>
            <w:tcW w:w="926" w:type="dxa"/>
            <w:vAlign w:val="center"/>
          </w:tcPr>
          <w:p>
            <w:pPr>
              <w:jc w:val="center"/>
              <w:rPr>
                <w:rFonts w:eastAsiaTheme="minorEastAsia"/>
                <w:sz w:val="18"/>
                <w:szCs w:val="18"/>
                <w:lang w:val="zh-CN"/>
              </w:rPr>
            </w:pPr>
            <w:r>
              <w:rPr>
                <w:rFonts w:hint="eastAsia" w:eastAsiaTheme="minorEastAsia"/>
                <w:sz w:val="18"/>
                <w:szCs w:val="18"/>
                <w:lang w:val="zh-CN"/>
              </w:rPr>
              <w:t>10</w:t>
            </w:r>
          </w:p>
        </w:tc>
        <w:tc>
          <w:tcPr>
            <w:tcW w:w="708" w:type="dxa"/>
            <w:vAlign w:val="center"/>
          </w:tcPr>
          <w:p>
            <w:pPr>
              <w:jc w:val="center"/>
              <w:rPr>
                <w:rFonts w:eastAsiaTheme="minorEastAsia"/>
                <w:sz w:val="18"/>
                <w:szCs w:val="18"/>
                <w:lang w:val="zh-CN"/>
              </w:rPr>
            </w:pPr>
            <w:r>
              <w:rPr>
                <w:rFonts w:hint="eastAsia" w:eastAsiaTheme="minorEastAsia"/>
                <w:sz w:val="18"/>
                <w:szCs w:val="18"/>
                <w:lang w:val="zh-CN"/>
              </w:rPr>
              <w:t>达标</w:t>
            </w:r>
          </w:p>
        </w:tc>
      </w:tr>
    </w:tbl>
    <w:p>
      <w:pPr>
        <w:spacing w:line="480" w:lineRule="exact"/>
        <w:rPr>
          <w:rFonts w:eastAsiaTheme="minorEastAsia"/>
          <w:sz w:val="21"/>
          <w:szCs w:val="21"/>
          <w:lang w:val="zh-CN"/>
        </w:rPr>
      </w:pPr>
      <w:r>
        <w:rPr>
          <w:rFonts w:eastAsiaTheme="minorEastAsia"/>
          <w:sz w:val="21"/>
          <w:szCs w:val="21"/>
          <w:lang w:val="zh-CN"/>
        </w:rPr>
        <w:t xml:space="preserve">  *注：新增</w:t>
      </w:r>
      <w:r>
        <w:rPr>
          <w:rFonts w:hint="eastAsia" w:eastAsiaTheme="minorEastAsia"/>
          <w:sz w:val="21"/>
          <w:szCs w:val="21"/>
          <w:lang w:val="zh-CN"/>
        </w:rPr>
        <w:t>VD炉废气10000</w:t>
      </w:r>
      <w:r>
        <w:rPr>
          <w:rFonts w:eastAsiaTheme="minorEastAsia"/>
          <w:sz w:val="21"/>
          <w:szCs w:val="21"/>
          <w:lang w:val="zh-CN"/>
        </w:rPr>
        <w:t xml:space="preserve"> m</w:t>
      </w:r>
      <w:r>
        <w:rPr>
          <w:rFonts w:eastAsiaTheme="minorEastAsia"/>
          <w:sz w:val="21"/>
          <w:szCs w:val="21"/>
          <w:vertAlign w:val="superscript"/>
          <w:lang w:val="zh-CN"/>
        </w:rPr>
        <w:t>3</w:t>
      </w:r>
      <w:r>
        <w:rPr>
          <w:rFonts w:eastAsiaTheme="minorEastAsia"/>
          <w:sz w:val="21"/>
          <w:szCs w:val="21"/>
          <w:lang w:val="zh-CN"/>
        </w:rPr>
        <w:t>/h</w:t>
      </w:r>
      <w:r>
        <w:rPr>
          <w:rFonts w:hint="eastAsia" w:eastAsiaTheme="minorEastAsia"/>
          <w:sz w:val="21"/>
          <w:szCs w:val="21"/>
          <w:lang w:val="zh-CN"/>
        </w:rPr>
        <w:t>。</w:t>
      </w:r>
    </w:p>
    <w:p>
      <w:pPr>
        <w:spacing w:line="480" w:lineRule="exact"/>
        <w:rPr>
          <w:rFonts w:eastAsiaTheme="minorEastAsia"/>
          <w:sz w:val="24"/>
          <w:szCs w:val="24"/>
          <w:lang w:val="zh-CN"/>
        </w:rPr>
      </w:pPr>
      <w:r>
        <w:rPr>
          <w:rFonts w:hint="eastAsia"/>
          <w:lang w:val="zh-CN"/>
        </w:rPr>
        <w:t xml:space="preserve">   </w:t>
      </w:r>
      <w:r>
        <w:rPr>
          <w:rFonts w:eastAsiaTheme="minorEastAsia"/>
          <w:sz w:val="24"/>
          <w:szCs w:val="24"/>
          <w:lang w:val="zh-CN"/>
        </w:rPr>
        <w:t>由表4-26可知，</w:t>
      </w:r>
      <w:r>
        <w:rPr>
          <w:rFonts w:eastAsiaTheme="minorEastAsia"/>
          <w:sz w:val="24"/>
          <w:szCs w:val="24"/>
        </w:rPr>
        <w:t>炼钢一厂有组织粉尘 (排气筒DA001)</w:t>
      </w:r>
      <w:r>
        <w:rPr>
          <w:rFonts w:eastAsiaTheme="minorEastAsia"/>
          <w:sz w:val="24"/>
          <w:szCs w:val="24"/>
          <w:lang w:val="zh-CN"/>
        </w:rPr>
        <w:t>排放排放浓度为2.3mg/m</w:t>
      </w:r>
      <w:r>
        <w:rPr>
          <w:rFonts w:eastAsiaTheme="minorEastAsia"/>
          <w:sz w:val="24"/>
          <w:szCs w:val="24"/>
          <w:vertAlign w:val="superscript"/>
          <w:lang w:val="zh-CN"/>
        </w:rPr>
        <w:t>3</w:t>
      </w:r>
      <w:r>
        <w:rPr>
          <w:rFonts w:eastAsiaTheme="minorEastAsia"/>
          <w:sz w:val="24"/>
          <w:szCs w:val="24"/>
          <w:lang w:val="zh-CN"/>
        </w:rPr>
        <w:t>，能达到超低排放限值。</w:t>
      </w:r>
    </w:p>
    <w:p>
      <w:pPr>
        <w:pStyle w:val="5"/>
        <w:numPr>
          <w:ilvl w:val="2"/>
          <w:numId w:val="24"/>
        </w:numPr>
        <w:spacing w:line="360" w:lineRule="exact"/>
        <w:rPr>
          <w:rFonts w:ascii="Times New Roman"/>
        </w:rPr>
      </w:pPr>
      <w:r>
        <w:rPr>
          <w:rFonts w:ascii="Times New Roman"/>
        </w:rPr>
        <w:t>废水</w:t>
      </w:r>
    </w:p>
    <w:p>
      <w:pPr>
        <w:pStyle w:val="1055"/>
        <w:spacing w:line="480" w:lineRule="atLeast"/>
        <w:ind w:firstLine="486" w:firstLineChars="200"/>
        <w:rPr>
          <w:rFonts w:ascii="Times New Roman" w:hAnsi="Times New Roman" w:cs="Times New Roman"/>
          <w:lang w:eastAsia="zh-CN"/>
        </w:rPr>
      </w:pPr>
      <w:r>
        <w:rPr>
          <w:rFonts w:hint="eastAsia" w:ascii="Times New Roman" w:hAnsi="Times New Roman" w:cs="Times New Roman"/>
          <w:lang w:eastAsia="zh-CN"/>
        </w:rPr>
        <w:t>项目不新增员工，无新增生活污水。</w:t>
      </w:r>
      <w:r>
        <w:rPr>
          <w:rFonts w:ascii="Times New Roman" w:hAnsi="Times New Roman" w:cs="Times New Roman"/>
          <w:lang w:eastAsia="zh-CN"/>
        </w:rPr>
        <w:t>根据工艺分析，本项目产生的废水主要为</w:t>
      </w:r>
      <w:r>
        <w:rPr>
          <w:rFonts w:hint="eastAsia" w:ascii="Times New Roman" w:hAnsi="Times New Roman" w:cs="Times New Roman"/>
          <w:lang w:eastAsia="zh-CN"/>
        </w:rPr>
        <w:t>净环水排水</w:t>
      </w:r>
      <w:r>
        <w:rPr>
          <w:rFonts w:ascii="Times New Roman" w:hAnsi="Times New Roman" w:cs="Times New Roman"/>
          <w:lang w:eastAsia="zh-CN"/>
        </w:rPr>
        <w:t>W1</w:t>
      </w:r>
      <w:r>
        <w:rPr>
          <w:rFonts w:hint="eastAsia" w:ascii="Times New Roman" w:hAnsi="Times New Roman" w:cs="Times New Roman"/>
          <w:lang w:eastAsia="zh-CN"/>
        </w:rPr>
        <w:t>。项目遵循“清污分流、一水多用、以新补净、以净补浊、循环利用、节约用水”原则，利用生产排水特征和实际用水状况，设计上设置净水循环系统和浊水循环系统，二个水循环系统相互独立，但又有联系，净水循环系统的排水作为浊水循环系统的补充水，实现冷却水全部循环使用。</w:t>
      </w:r>
    </w:p>
    <w:p>
      <w:pPr>
        <w:pStyle w:val="1055"/>
        <w:spacing w:line="480" w:lineRule="atLeast"/>
        <w:ind w:firstLine="486" w:firstLineChars="200"/>
        <w:rPr>
          <w:rFonts w:ascii="Times New Roman" w:hAnsi="Times New Roman" w:cs="Times New Roman" w:eastAsiaTheme="minorEastAsia"/>
          <w:lang w:val="en-US" w:eastAsia="zh-CN"/>
        </w:rPr>
      </w:pPr>
      <w:r>
        <w:rPr>
          <w:rFonts w:hint="eastAsia" w:ascii="Times New Roman" w:hAnsi="Times New Roman" w:cs="Times New Roman"/>
          <w:lang w:eastAsia="zh-CN"/>
        </w:rPr>
        <w:t>1</w:t>
      </w:r>
      <w:r>
        <w:rPr>
          <w:rFonts w:ascii="Times New Roman" w:hAnsi="Times New Roman" w:cs="Times New Roman"/>
          <w:lang w:eastAsia="zh-CN"/>
        </w:rPr>
        <w:t>、</w:t>
      </w:r>
      <w:r>
        <w:rPr>
          <w:rFonts w:hint="eastAsia" w:ascii="Times New Roman" w:hAnsi="Times New Roman" w:cs="Times New Roman" w:eastAsiaTheme="minorEastAsia"/>
          <w:lang w:val="en-US" w:eastAsia="zh-CN"/>
        </w:rPr>
        <w:t>净环水排水</w:t>
      </w:r>
    </w:p>
    <w:p>
      <w:pPr>
        <w:pStyle w:val="1055"/>
        <w:spacing w:line="480" w:lineRule="atLeast"/>
        <w:ind w:firstLine="486" w:firstLineChars="200"/>
        <w:rPr>
          <w:rFonts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根据</w:t>
      </w:r>
      <w:r>
        <w:rPr>
          <w:rFonts w:ascii="Times New Roman" w:hAnsi="Times New Roman" w:cs="Times New Roman" w:eastAsiaTheme="minorEastAsia"/>
          <w:lang w:val="en-US" w:eastAsia="zh-CN"/>
        </w:rPr>
        <w:t>可行性研究报告，净环水主要用户为连铸设备、板式换热器、空调、LF炉设备以及VD</w:t>
      </w:r>
      <w:r>
        <w:rPr>
          <w:rFonts w:hint="eastAsia" w:ascii="Times New Roman" w:hAnsi="Times New Roman" w:cs="Times New Roman" w:eastAsiaTheme="minorEastAsia"/>
          <w:lang w:val="en-US" w:eastAsia="zh-CN"/>
        </w:rPr>
        <w:t>炉</w:t>
      </w:r>
      <w:r>
        <w:rPr>
          <w:rFonts w:ascii="Times New Roman" w:hAnsi="Times New Roman" w:cs="Times New Roman" w:eastAsiaTheme="minorEastAsia"/>
          <w:lang w:val="en-US" w:eastAsia="zh-CN"/>
        </w:rPr>
        <w:t>设备，总循环水量757m</w:t>
      </w:r>
      <w:r>
        <w:rPr>
          <w:rFonts w:ascii="Times New Roman" w:hAnsi="Times New Roman" w:cs="Times New Roman" w:eastAsiaTheme="minorEastAsia"/>
          <w:vertAlign w:val="superscript"/>
          <w:lang w:val="en-US" w:eastAsia="zh-CN"/>
        </w:rPr>
        <w:t>3</w:t>
      </w:r>
      <w:r>
        <w:rPr>
          <w:rFonts w:ascii="Times New Roman" w:hAnsi="Times New Roman" w:cs="Times New Roman" w:eastAsiaTheme="minorEastAsia"/>
          <w:lang w:val="en-US" w:eastAsia="zh-CN"/>
        </w:rPr>
        <w:t>/h</w:t>
      </w:r>
      <w:r>
        <w:rPr>
          <w:rFonts w:hint="eastAsia" w:ascii="Times New Roman" w:hAnsi="Times New Roman" w:cs="Times New Roman" w:eastAsiaTheme="minorEastAsia"/>
          <w:lang w:val="en-US" w:eastAsia="zh-CN"/>
        </w:rPr>
        <w:t>，</w:t>
      </w:r>
      <w:r>
        <w:rPr>
          <w:rFonts w:ascii="Times New Roman" w:hAnsi="Times New Roman" w:cs="Times New Roman" w:eastAsiaTheme="minorEastAsia"/>
          <w:lang w:val="en-US" w:eastAsia="zh-CN"/>
        </w:rPr>
        <w:t>为保证循环水</w:t>
      </w:r>
      <w:r>
        <w:rPr>
          <w:rFonts w:hint="eastAsia" w:ascii="Times New Roman" w:hAnsi="Times New Roman" w:cs="Times New Roman" w:eastAsiaTheme="minorEastAsia"/>
          <w:lang w:val="en-US" w:eastAsia="zh-CN"/>
        </w:rPr>
        <w:t>水质</w:t>
      </w:r>
      <w:r>
        <w:rPr>
          <w:rFonts w:ascii="Times New Roman" w:hAnsi="Times New Roman" w:cs="Times New Roman" w:eastAsiaTheme="minorEastAsia"/>
          <w:lang w:val="en-US" w:eastAsia="zh-CN"/>
        </w:rPr>
        <w:t>，每天需排放一部分净环水，并用</w:t>
      </w:r>
      <w:r>
        <w:rPr>
          <w:rFonts w:hint="eastAsia" w:ascii="Times New Roman" w:hAnsi="Times New Roman" w:cs="Times New Roman" w:eastAsiaTheme="minorEastAsia"/>
          <w:lang w:val="en-US" w:eastAsia="zh-CN"/>
        </w:rPr>
        <w:t>相应</w:t>
      </w:r>
      <w:r>
        <w:rPr>
          <w:rFonts w:ascii="Times New Roman" w:hAnsi="Times New Roman" w:cs="Times New Roman" w:eastAsiaTheme="minorEastAsia"/>
          <w:lang w:val="en-US" w:eastAsia="zh-CN"/>
        </w:rPr>
        <w:t>数量的新鲜水进行补充。</w:t>
      </w:r>
      <w:r>
        <w:rPr>
          <w:rFonts w:hint="eastAsia" w:ascii="Times New Roman" w:hAnsi="Times New Roman" w:cs="Times New Roman" w:eastAsiaTheme="minorEastAsia"/>
          <w:lang w:val="en-US" w:eastAsia="zh-CN"/>
        </w:rPr>
        <w:t>类比</w:t>
      </w:r>
      <w:r>
        <w:rPr>
          <w:rFonts w:ascii="Times New Roman" w:hAnsi="Times New Roman" w:cs="Times New Roman" w:eastAsiaTheme="minorEastAsia"/>
          <w:lang w:val="en-US" w:eastAsia="zh-CN"/>
        </w:rPr>
        <w:t>炼钢二厂现状，净环水排水量</w:t>
      </w:r>
      <w:r>
        <w:rPr>
          <w:rFonts w:hint="eastAsia" w:ascii="Times New Roman" w:hAnsi="Times New Roman" w:cs="Times New Roman" w:eastAsiaTheme="minorEastAsia"/>
          <w:lang w:val="en-US" w:eastAsia="zh-CN"/>
        </w:rPr>
        <w:t>为循环量</w:t>
      </w:r>
      <w:r>
        <w:rPr>
          <w:rFonts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0</w:t>
      </w:r>
      <w:r>
        <w:rPr>
          <w:rFonts w:ascii="Times New Roman" w:hAnsi="Times New Roman" w:cs="Times New Roman" w:eastAsiaTheme="minorEastAsia"/>
          <w:lang w:val="en-US" w:eastAsia="zh-CN"/>
        </w:rPr>
        <w:t>.2%，1.514t/h，</w:t>
      </w:r>
      <w:r>
        <w:rPr>
          <w:rFonts w:hint="eastAsia" w:ascii="Times New Roman" w:hAnsi="Times New Roman" w:cs="Times New Roman" w:eastAsiaTheme="minorEastAsia"/>
          <w:lang w:val="en-US" w:eastAsia="zh-CN"/>
        </w:rPr>
        <w:t>则日最大</w:t>
      </w:r>
      <w:r>
        <w:rPr>
          <w:rFonts w:ascii="Times New Roman" w:hAnsi="Times New Roman" w:cs="Times New Roman" w:eastAsiaTheme="minorEastAsia"/>
          <w:lang w:val="en-US" w:eastAsia="zh-CN"/>
        </w:rPr>
        <w:t>排放量为36.336t/d，年排放量为9841</w:t>
      </w:r>
      <w:r>
        <w:rPr>
          <w:rFonts w:hint="eastAsia" w:ascii="Times New Roman" w:hAnsi="Times New Roman" w:cs="Times New Roman" w:eastAsiaTheme="minorEastAsia"/>
          <w:lang w:val="en-US" w:eastAsia="zh-CN"/>
        </w:rPr>
        <w:t>t/a</w:t>
      </w:r>
      <w:r>
        <w:rPr>
          <w:rFonts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其</w:t>
      </w:r>
      <w:r>
        <w:rPr>
          <w:rFonts w:ascii="Times New Roman" w:hAnsi="Times New Roman" w:cs="Times New Roman" w:eastAsiaTheme="minorEastAsia"/>
          <w:lang w:val="en-US" w:eastAsia="zh-CN"/>
        </w:rPr>
        <w:t>水质相对较好，一般</w:t>
      </w:r>
      <w:r>
        <w:rPr>
          <w:rFonts w:hint="eastAsia" w:ascii="Times New Roman" w:hAnsi="Times New Roman" w:cs="Times New Roman" w:eastAsiaTheme="minorEastAsia"/>
          <w:lang w:val="en-US" w:eastAsia="zh-CN"/>
        </w:rPr>
        <w:t>COD浓度≤</w:t>
      </w:r>
      <w:r>
        <w:rPr>
          <w:rFonts w:ascii="Times New Roman" w:hAnsi="Times New Roman" w:cs="Times New Roman" w:eastAsiaTheme="minorEastAsia"/>
          <w:lang w:val="en-US" w:eastAsia="zh-CN"/>
        </w:rPr>
        <w:t>150</w:t>
      </w:r>
      <w:r>
        <w:rPr>
          <w:rFonts w:hint="eastAsia" w:ascii="Times New Roman" w:hAnsi="Times New Roman" w:cs="Times New Roman" w:eastAsiaTheme="minorEastAsia"/>
          <w:lang w:val="en-US" w:eastAsia="zh-CN"/>
        </w:rPr>
        <w:t>mg/L、</w:t>
      </w:r>
      <w:r>
        <w:rPr>
          <w:rFonts w:ascii="Times New Roman" w:hAnsi="Times New Roman" w:cs="Times New Roman" w:eastAsiaTheme="minorEastAsia"/>
          <w:lang w:val="en-US" w:eastAsia="zh-CN"/>
        </w:rPr>
        <w:t>总硬度</w:t>
      </w:r>
      <w:r>
        <w:rPr>
          <w:rFonts w:cs="Times New Roman" w:asciiTheme="minorEastAsia" w:hAnsiTheme="minorEastAsia" w:eastAsiaTheme="minorEastAsia"/>
          <w:lang w:val="en-US" w:eastAsia="zh-CN"/>
        </w:rPr>
        <w:t>≤</w:t>
      </w:r>
      <w:r>
        <w:rPr>
          <w:rFonts w:ascii="Times New Roman" w:hAnsi="Times New Roman" w:cs="Times New Roman" w:eastAsiaTheme="minorEastAsia"/>
          <w:lang w:val="en-US" w:eastAsia="zh-CN"/>
        </w:rPr>
        <w:t>20</w:t>
      </w:r>
      <w:r>
        <w:rPr>
          <w:rFonts w:hint="eastAsia" w:ascii="Times New Roman" w:hAnsi="Times New Roman" w:cs="Times New Roman" w:eastAsiaTheme="minorEastAsia"/>
          <w:lang w:val="en-US" w:eastAsia="zh-CN"/>
        </w:rPr>
        <w:t>mg/L</w:t>
      </w:r>
      <w:r>
        <w:rPr>
          <w:rFonts w:ascii="Times New Roman" w:hAnsi="Times New Roman" w:cs="Times New Roman" w:eastAsiaTheme="minorEastAsia"/>
          <w:lang w:val="en-US" w:eastAsia="zh-CN"/>
        </w:rPr>
        <w:t>，可作为浊环水系统的补充水。</w:t>
      </w:r>
    </w:p>
    <w:p>
      <w:pPr>
        <w:spacing w:line="480" w:lineRule="exact"/>
        <w:ind w:firstLine="486" w:firstLineChars="200"/>
        <w:rPr>
          <w:rFonts w:eastAsiaTheme="minorEastAsia"/>
          <w:sz w:val="24"/>
          <w:szCs w:val="24"/>
        </w:rPr>
      </w:pPr>
      <w:r>
        <w:rPr>
          <w:rFonts w:eastAsiaTheme="minorEastAsia"/>
          <w:sz w:val="24"/>
          <w:szCs w:val="24"/>
        </w:rPr>
        <w:t>2</w:t>
      </w:r>
      <w:r>
        <w:rPr>
          <w:rFonts w:hint="eastAsia" w:eastAsiaTheme="minorEastAsia"/>
          <w:sz w:val="24"/>
          <w:szCs w:val="24"/>
        </w:rPr>
        <w:t>、项目废水</w:t>
      </w:r>
      <w:r>
        <w:rPr>
          <w:rFonts w:eastAsiaTheme="minorEastAsia"/>
          <w:sz w:val="24"/>
          <w:szCs w:val="24"/>
        </w:rPr>
        <w:t>污染物产生</w:t>
      </w:r>
      <w:r>
        <w:rPr>
          <w:rFonts w:hint="eastAsia" w:eastAsiaTheme="minorEastAsia"/>
          <w:sz w:val="24"/>
          <w:szCs w:val="24"/>
        </w:rPr>
        <w:t>及</w:t>
      </w:r>
      <w:r>
        <w:rPr>
          <w:rFonts w:eastAsiaTheme="minorEastAsia"/>
          <w:sz w:val="24"/>
          <w:szCs w:val="24"/>
        </w:rPr>
        <w:t>排放情况</w:t>
      </w:r>
    </w:p>
    <w:p>
      <w:pPr>
        <w:spacing w:line="480" w:lineRule="exact"/>
        <w:ind w:firstLine="486" w:firstLineChars="200"/>
        <w:rPr>
          <w:rFonts w:eastAsiaTheme="minorEastAsia"/>
          <w:sz w:val="24"/>
          <w:szCs w:val="24"/>
        </w:rPr>
      </w:pPr>
      <w:r>
        <w:rPr>
          <w:rFonts w:hint="eastAsia" w:eastAsiaTheme="minorEastAsia"/>
          <w:sz w:val="24"/>
          <w:szCs w:val="24"/>
        </w:rPr>
        <w:t>项目废水产生及</w:t>
      </w:r>
      <w:r>
        <w:rPr>
          <w:rFonts w:eastAsiaTheme="minorEastAsia"/>
          <w:sz w:val="24"/>
          <w:szCs w:val="24"/>
        </w:rPr>
        <w:t>排放</w:t>
      </w:r>
      <w:r>
        <w:rPr>
          <w:rFonts w:hint="eastAsia" w:eastAsiaTheme="minorEastAsia"/>
          <w:sz w:val="24"/>
          <w:szCs w:val="24"/>
        </w:rPr>
        <w:t>情况详见表4-</w:t>
      </w:r>
      <w:r>
        <w:rPr>
          <w:rFonts w:eastAsiaTheme="minorEastAsia"/>
          <w:sz w:val="24"/>
          <w:szCs w:val="24"/>
        </w:rPr>
        <w:t>12</w:t>
      </w:r>
      <w:r>
        <w:rPr>
          <w:rFonts w:hint="eastAsia" w:eastAsiaTheme="minorEastAsia"/>
          <w:sz w:val="24"/>
          <w:szCs w:val="24"/>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本项目废水污染源强核算结果及相关参数一览表</w:t>
      </w:r>
    </w:p>
    <w:tbl>
      <w:tblPr>
        <w:tblStyle w:val="88"/>
        <w:tblW w:w="9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480"/>
        <w:gridCol w:w="400"/>
        <w:gridCol w:w="721"/>
        <w:gridCol w:w="538"/>
        <w:gridCol w:w="705"/>
        <w:gridCol w:w="601"/>
        <w:gridCol w:w="736"/>
        <w:gridCol w:w="538"/>
        <w:gridCol w:w="1097"/>
        <w:gridCol w:w="827"/>
        <w:gridCol w:w="524"/>
        <w:gridCol w:w="736"/>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废水类别</w:t>
            </w:r>
          </w:p>
        </w:tc>
        <w:tc>
          <w:tcPr>
            <w:tcW w:w="480"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编号</w:t>
            </w:r>
          </w:p>
        </w:tc>
        <w:tc>
          <w:tcPr>
            <w:tcW w:w="400"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产生方式</w:t>
            </w:r>
          </w:p>
        </w:tc>
        <w:tc>
          <w:tcPr>
            <w:tcW w:w="1964" w:type="dxa"/>
            <w:gridSpan w:val="3"/>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废水产生量</w:t>
            </w:r>
          </w:p>
        </w:tc>
        <w:tc>
          <w:tcPr>
            <w:tcW w:w="601"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污染因子</w:t>
            </w:r>
          </w:p>
        </w:tc>
        <w:tc>
          <w:tcPr>
            <w:tcW w:w="1274" w:type="dxa"/>
            <w:gridSpan w:val="2"/>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污染物产生情况</w:t>
            </w:r>
          </w:p>
        </w:tc>
        <w:tc>
          <w:tcPr>
            <w:tcW w:w="1097"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治理措施</w:t>
            </w:r>
          </w:p>
        </w:tc>
        <w:tc>
          <w:tcPr>
            <w:tcW w:w="1351" w:type="dxa"/>
            <w:gridSpan w:val="2"/>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污染物排放情况</w:t>
            </w:r>
          </w:p>
        </w:tc>
        <w:tc>
          <w:tcPr>
            <w:tcW w:w="736"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限值标准(mg/L)</w:t>
            </w:r>
          </w:p>
        </w:tc>
        <w:tc>
          <w:tcPr>
            <w:tcW w:w="729" w:type="dxa"/>
            <w:vMerge w:val="restart"/>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排放方式与去向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480"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400"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721"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日</w:t>
            </w:r>
            <w:r>
              <w:rPr>
                <w:rFonts w:hint="eastAsia" w:ascii="Times New Roman" w:hAnsi="Times New Roman" w:cs="Times New Roman"/>
                <w:spacing w:val="0"/>
                <w:sz w:val="18"/>
                <w:szCs w:val="18"/>
                <w:lang w:val="zh-CN"/>
              </w:rPr>
              <w:t>最大</w:t>
            </w:r>
            <w:r>
              <w:rPr>
                <w:rFonts w:ascii="Times New Roman" w:hAnsi="Times New Roman" w:cs="Times New Roman"/>
                <w:spacing w:val="0"/>
                <w:sz w:val="18"/>
                <w:szCs w:val="18"/>
                <w:lang w:val="zh-CN"/>
              </w:rPr>
              <w:t>(t/d)</w:t>
            </w:r>
          </w:p>
        </w:tc>
        <w:tc>
          <w:tcPr>
            <w:tcW w:w="538"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日均(t/d)</w:t>
            </w:r>
          </w:p>
        </w:tc>
        <w:tc>
          <w:tcPr>
            <w:tcW w:w="705"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年(t/a)</w:t>
            </w:r>
          </w:p>
        </w:tc>
        <w:tc>
          <w:tcPr>
            <w:tcW w:w="601"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736"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产生浓度(mg/L)</w:t>
            </w:r>
          </w:p>
        </w:tc>
        <w:tc>
          <w:tcPr>
            <w:tcW w:w="538"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产生量(t/a)</w:t>
            </w:r>
          </w:p>
        </w:tc>
        <w:tc>
          <w:tcPr>
            <w:tcW w:w="1097"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827"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排放浓度 (mg/L)*</w:t>
            </w:r>
          </w:p>
        </w:tc>
        <w:tc>
          <w:tcPr>
            <w:tcW w:w="524"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排放量(t/a)</w:t>
            </w:r>
          </w:p>
        </w:tc>
        <w:tc>
          <w:tcPr>
            <w:tcW w:w="736"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c>
          <w:tcPr>
            <w:tcW w:w="729" w:type="dxa"/>
            <w:vMerge w:val="continue"/>
            <w:vAlign w:val="center"/>
          </w:tcPr>
          <w:p>
            <w:pPr>
              <w:pStyle w:val="4"/>
              <w:spacing w:line="240" w:lineRule="exact"/>
              <w:ind w:firstLine="0"/>
              <w:jc w:val="center"/>
              <w:rPr>
                <w:rFonts w:ascii="Times New Roman" w:hAnsi="Times New Roman" w:cs="Times New Roman"/>
                <w:spacing w:val="0"/>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0"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净环水排水</w:t>
            </w:r>
          </w:p>
        </w:tc>
        <w:tc>
          <w:tcPr>
            <w:tcW w:w="480"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w:t>
            </w:r>
            <w:r>
              <w:rPr>
                <w:rFonts w:ascii="Times New Roman" w:hAnsi="Times New Roman" w:cs="Times New Roman"/>
                <w:spacing w:val="0"/>
                <w:sz w:val="18"/>
                <w:szCs w:val="18"/>
                <w:lang w:val="zh-CN"/>
              </w:rPr>
              <w:t>2</w:t>
            </w:r>
          </w:p>
        </w:tc>
        <w:tc>
          <w:tcPr>
            <w:tcW w:w="400"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间歇</w:t>
            </w:r>
          </w:p>
        </w:tc>
        <w:tc>
          <w:tcPr>
            <w:tcW w:w="721"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36.336</w:t>
            </w:r>
          </w:p>
        </w:tc>
        <w:tc>
          <w:tcPr>
            <w:tcW w:w="538"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32.8</w:t>
            </w:r>
          </w:p>
        </w:tc>
        <w:tc>
          <w:tcPr>
            <w:tcW w:w="705" w:type="dxa"/>
            <w:vAlign w:val="center"/>
          </w:tcPr>
          <w:p>
            <w:pPr>
              <w:pStyle w:val="4"/>
              <w:spacing w:line="240" w:lineRule="exact"/>
              <w:ind w:firstLine="0"/>
              <w:jc w:val="center"/>
              <w:rPr>
                <w:rFonts w:ascii="Times New Roman" w:eastAsiaTheme="minorEastAsia"/>
                <w:sz w:val="18"/>
                <w:szCs w:val="18"/>
              </w:rPr>
            </w:pPr>
            <w:r>
              <w:rPr>
                <w:rFonts w:hint="eastAsia" w:ascii="Times New Roman" w:eastAsiaTheme="minorEastAsia"/>
                <w:sz w:val="18"/>
                <w:szCs w:val="18"/>
              </w:rPr>
              <w:t>9841</w:t>
            </w:r>
          </w:p>
        </w:tc>
        <w:tc>
          <w:tcPr>
            <w:tcW w:w="601"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eastAsiaTheme="minorEastAsia"/>
                <w:spacing w:val="0"/>
                <w:sz w:val="18"/>
                <w:szCs w:val="18"/>
                <w:lang w:val="zh-CN"/>
              </w:rPr>
              <w:t>COD</w:t>
            </w:r>
          </w:p>
        </w:tc>
        <w:tc>
          <w:tcPr>
            <w:tcW w:w="736" w:type="dxa"/>
            <w:vAlign w:val="center"/>
          </w:tcPr>
          <w:p>
            <w:pPr>
              <w:spacing w:line="240" w:lineRule="exact"/>
              <w:jc w:val="center"/>
              <w:rPr>
                <w:rFonts w:eastAsia="宋体"/>
                <w:sz w:val="18"/>
                <w:szCs w:val="18"/>
              </w:rPr>
            </w:pPr>
            <w:r>
              <w:rPr>
                <w:rFonts w:eastAsia="宋体"/>
                <w:sz w:val="18"/>
                <w:szCs w:val="18"/>
              </w:rPr>
              <w:t>150</w:t>
            </w:r>
          </w:p>
        </w:tc>
        <w:tc>
          <w:tcPr>
            <w:tcW w:w="538" w:type="dxa"/>
            <w:vAlign w:val="center"/>
          </w:tcPr>
          <w:p>
            <w:pPr>
              <w:spacing w:line="240" w:lineRule="exact"/>
              <w:jc w:val="center"/>
              <w:rPr>
                <w:rFonts w:eastAsia="宋体"/>
                <w:sz w:val="18"/>
                <w:szCs w:val="18"/>
              </w:rPr>
            </w:pPr>
            <w:r>
              <w:rPr>
                <w:rFonts w:eastAsia="宋体"/>
                <w:sz w:val="18"/>
                <w:szCs w:val="18"/>
              </w:rPr>
              <w:t>1.48</w:t>
            </w:r>
          </w:p>
        </w:tc>
        <w:tc>
          <w:tcPr>
            <w:tcW w:w="1097"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作为</w:t>
            </w:r>
            <w:r>
              <w:rPr>
                <w:rFonts w:ascii="Times New Roman" w:hAnsi="Times New Roman" w:cs="Times New Roman"/>
                <w:spacing w:val="0"/>
                <w:sz w:val="18"/>
                <w:szCs w:val="18"/>
                <w:lang w:val="zh-CN"/>
              </w:rPr>
              <w:t>浊环水系统的补充水</w:t>
            </w:r>
            <w:r>
              <w:rPr>
                <w:rFonts w:hint="eastAsia" w:ascii="Times New Roman" w:hAnsi="Times New Roman" w:cs="Times New Roman"/>
                <w:spacing w:val="0"/>
                <w:sz w:val="18"/>
                <w:szCs w:val="18"/>
                <w:lang w:val="zh-CN"/>
              </w:rPr>
              <w:t>，</w:t>
            </w:r>
            <w:r>
              <w:rPr>
                <w:rFonts w:ascii="Times New Roman" w:hAnsi="Times New Roman" w:cs="Times New Roman"/>
                <w:spacing w:val="0"/>
                <w:sz w:val="18"/>
                <w:szCs w:val="18"/>
                <w:lang w:val="zh-CN"/>
              </w:rPr>
              <w:t>经浊环水系统</w:t>
            </w:r>
            <w:r>
              <w:rPr>
                <w:rFonts w:hint="eastAsia" w:ascii="Times New Roman" w:hAnsi="Times New Roman" w:cs="Times New Roman"/>
                <w:spacing w:val="0"/>
                <w:sz w:val="18"/>
                <w:szCs w:val="18"/>
                <w:lang w:val="zh-CN"/>
              </w:rPr>
              <w:t>(去氧化铁皮+隔油+沉淀+过滤)后</w:t>
            </w:r>
            <w:r>
              <w:rPr>
                <w:rFonts w:ascii="Times New Roman" w:hAnsi="Times New Roman" w:cs="Times New Roman"/>
                <w:spacing w:val="0"/>
                <w:sz w:val="18"/>
                <w:szCs w:val="18"/>
                <w:lang w:val="zh-CN"/>
              </w:rPr>
              <w:t>循环使用</w:t>
            </w:r>
          </w:p>
        </w:tc>
        <w:tc>
          <w:tcPr>
            <w:tcW w:w="827"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eastAsiaTheme="minorEastAsia"/>
                <w:spacing w:val="0"/>
                <w:sz w:val="18"/>
                <w:szCs w:val="18"/>
                <w:lang w:val="zh-CN"/>
              </w:rPr>
              <w:t>/</w:t>
            </w:r>
          </w:p>
        </w:tc>
        <w:tc>
          <w:tcPr>
            <w:tcW w:w="524"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eastAsiaTheme="minorEastAsia"/>
                <w:spacing w:val="0"/>
                <w:sz w:val="18"/>
                <w:szCs w:val="18"/>
                <w:lang w:val="zh-CN"/>
              </w:rPr>
              <w:t>0</w:t>
            </w:r>
          </w:p>
        </w:tc>
        <w:tc>
          <w:tcPr>
            <w:tcW w:w="736"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29"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作为</w:t>
            </w:r>
            <w:r>
              <w:rPr>
                <w:rFonts w:ascii="Times New Roman" w:hAnsi="Times New Roman" w:cs="Times New Roman"/>
                <w:spacing w:val="0"/>
                <w:sz w:val="18"/>
                <w:szCs w:val="18"/>
                <w:lang w:val="zh-CN"/>
              </w:rPr>
              <w:t>浊环水系统的补充水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80" w:type="dxa"/>
            <w:gridSpan w:val="3"/>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小计</w:t>
            </w:r>
          </w:p>
        </w:tc>
        <w:tc>
          <w:tcPr>
            <w:tcW w:w="721"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fldChar w:fldCharType="begin"/>
            </w:r>
            <w:r>
              <w:rPr>
                <w:rFonts w:ascii="Times New Roman" w:hAnsi="Times New Roman" w:cs="Times New Roman"/>
                <w:spacing w:val="0"/>
                <w:sz w:val="18"/>
                <w:szCs w:val="18"/>
                <w:lang w:val="zh-CN"/>
              </w:rPr>
              <w:instrText xml:space="preserve"> =SUM(ABOVE) </w:instrText>
            </w:r>
            <w:r>
              <w:rPr>
                <w:rFonts w:ascii="Times New Roman" w:hAnsi="Times New Roman" w:cs="Times New Roman"/>
                <w:spacing w:val="0"/>
                <w:sz w:val="18"/>
                <w:szCs w:val="18"/>
                <w:lang w:val="zh-CN"/>
              </w:rPr>
              <w:fldChar w:fldCharType="separate"/>
            </w:r>
            <w:r>
              <w:rPr>
                <w:rFonts w:ascii="Times New Roman" w:hAnsi="Times New Roman" w:cs="Times New Roman"/>
                <w:spacing w:val="0"/>
                <w:sz w:val="18"/>
                <w:szCs w:val="18"/>
                <w:lang w:val="zh-CN"/>
              </w:rPr>
              <w:t>36.336</w:t>
            </w:r>
            <w:r>
              <w:rPr>
                <w:rFonts w:ascii="Times New Roman" w:hAnsi="Times New Roman" w:cs="Times New Roman"/>
                <w:spacing w:val="0"/>
                <w:sz w:val="18"/>
                <w:szCs w:val="18"/>
                <w:lang w:val="zh-CN"/>
              </w:rPr>
              <w:fldChar w:fldCharType="end"/>
            </w:r>
          </w:p>
        </w:tc>
        <w:tc>
          <w:tcPr>
            <w:tcW w:w="538"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32.8</w:t>
            </w:r>
          </w:p>
        </w:tc>
        <w:tc>
          <w:tcPr>
            <w:tcW w:w="705"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9841</w:t>
            </w:r>
          </w:p>
        </w:tc>
        <w:tc>
          <w:tcPr>
            <w:tcW w:w="601"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36" w:type="dxa"/>
            <w:vAlign w:val="center"/>
          </w:tcPr>
          <w:p>
            <w:pPr>
              <w:spacing w:line="240" w:lineRule="exact"/>
              <w:jc w:val="center"/>
              <w:rPr>
                <w:rFonts w:eastAsia="宋体"/>
                <w:sz w:val="18"/>
                <w:szCs w:val="18"/>
              </w:rPr>
            </w:pPr>
            <w:r>
              <w:rPr>
                <w:rFonts w:hint="eastAsia" w:eastAsia="宋体"/>
                <w:sz w:val="18"/>
                <w:szCs w:val="18"/>
              </w:rPr>
              <w:t>/</w:t>
            </w:r>
          </w:p>
        </w:tc>
        <w:tc>
          <w:tcPr>
            <w:tcW w:w="538" w:type="dxa"/>
            <w:vAlign w:val="center"/>
          </w:tcPr>
          <w:p>
            <w:pPr>
              <w:spacing w:line="240" w:lineRule="exact"/>
              <w:jc w:val="center"/>
              <w:rPr>
                <w:rFonts w:eastAsia="宋体"/>
                <w:sz w:val="18"/>
                <w:szCs w:val="18"/>
              </w:rPr>
            </w:pPr>
            <w:r>
              <w:rPr>
                <w:rFonts w:eastAsia="宋体"/>
                <w:sz w:val="18"/>
                <w:szCs w:val="18"/>
              </w:rPr>
              <w:t>1.48</w:t>
            </w:r>
          </w:p>
        </w:tc>
        <w:tc>
          <w:tcPr>
            <w:tcW w:w="1097"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827"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524" w:type="dxa"/>
            <w:vAlign w:val="center"/>
          </w:tcPr>
          <w:p>
            <w:pPr>
              <w:pStyle w:val="4"/>
              <w:spacing w:line="24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0</w:t>
            </w:r>
          </w:p>
        </w:tc>
        <w:tc>
          <w:tcPr>
            <w:tcW w:w="736"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c>
          <w:tcPr>
            <w:tcW w:w="729" w:type="dxa"/>
            <w:vAlign w:val="center"/>
          </w:tcPr>
          <w:p>
            <w:pPr>
              <w:pStyle w:val="4"/>
              <w:spacing w:line="24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w:t>
            </w:r>
          </w:p>
        </w:tc>
      </w:tr>
    </w:tbl>
    <w:p>
      <w:pPr>
        <w:pStyle w:val="4"/>
        <w:spacing w:line="440" w:lineRule="exact"/>
        <w:rPr>
          <w:rFonts w:ascii="Times New Roman" w:hAnsi="Times New Roman" w:cs="Times New Roman"/>
          <w:spacing w:val="0"/>
        </w:rPr>
      </w:pPr>
      <w:r>
        <w:rPr>
          <w:rFonts w:ascii="Times New Roman" w:hAnsi="Times New Roman" w:cs="Times New Roman"/>
          <w:spacing w:val="0"/>
        </w:rPr>
        <w:t>根</w:t>
      </w:r>
      <w:r>
        <w:rPr>
          <w:rFonts w:hint="eastAsia" w:ascii="Times New Roman" w:hAnsi="Times New Roman" w:cs="Times New Roman"/>
          <w:spacing w:val="0"/>
        </w:rPr>
        <w:t>由表4-</w:t>
      </w:r>
      <w:r>
        <w:rPr>
          <w:rFonts w:ascii="Times New Roman" w:hAnsi="Times New Roman" w:cs="Times New Roman"/>
          <w:spacing w:val="0"/>
        </w:rPr>
        <w:t>27</w:t>
      </w:r>
      <w:r>
        <w:rPr>
          <w:rFonts w:hint="eastAsia" w:ascii="Times New Roman" w:hAnsi="Times New Roman" w:cs="Times New Roman"/>
          <w:spacing w:val="0"/>
        </w:rPr>
        <w:t>可知</w:t>
      </w:r>
      <w:r>
        <w:rPr>
          <w:rFonts w:ascii="Times New Roman" w:hAnsi="Times New Roman" w:cs="Times New Roman"/>
          <w:spacing w:val="0"/>
        </w:rPr>
        <w:t>，项目净环水排放水</w:t>
      </w:r>
      <w:r>
        <w:rPr>
          <w:rFonts w:hint="eastAsia" w:ascii="Times New Roman" w:hAnsi="Times New Roman" w:cs="Times New Roman"/>
          <w:spacing w:val="0"/>
        </w:rPr>
        <w:t>收集后</w:t>
      </w:r>
      <w:r>
        <w:rPr>
          <w:rFonts w:ascii="Times New Roman" w:hAnsi="Times New Roman" w:cs="Times New Roman"/>
          <w:spacing w:val="0"/>
        </w:rPr>
        <w:t>进入浊环水</w:t>
      </w:r>
      <w:r>
        <w:rPr>
          <w:rFonts w:hint="eastAsia" w:ascii="Times New Roman" w:hAnsi="Times New Roman" w:cs="Times New Roman"/>
          <w:spacing w:val="0"/>
        </w:rPr>
        <w:t>系统</w:t>
      </w:r>
      <w:r>
        <w:rPr>
          <w:rFonts w:ascii="Times New Roman" w:hAnsi="Times New Roman" w:cs="Times New Roman"/>
          <w:spacing w:val="0"/>
        </w:rPr>
        <w:t>，</w:t>
      </w:r>
      <w:r>
        <w:rPr>
          <w:rFonts w:hint="eastAsia" w:ascii="Times New Roman" w:hAnsi="Times New Roman" w:cs="Times New Roman"/>
          <w:spacing w:val="0"/>
        </w:rPr>
        <w:t>作为</w:t>
      </w:r>
      <w:r>
        <w:rPr>
          <w:rFonts w:ascii="Times New Roman" w:hAnsi="Times New Roman" w:cs="Times New Roman"/>
          <w:spacing w:val="0"/>
        </w:rPr>
        <w:t>浊环水系统的补充水。浊环水经隔油</w:t>
      </w:r>
      <w:r>
        <w:rPr>
          <w:rFonts w:hint="eastAsia" w:ascii="Times New Roman" w:hAnsi="Times New Roman" w:cs="Times New Roman"/>
          <w:spacing w:val="0"/>
        </w:rPr>
        <w:t>+沉淀+过滤+冷却</w:t>
      </w:r>
      <w:r>
        <w:rPr>
          <w:rFonts w:ascii="Times New Roman" w:hAnsi="Times New Roman" w:cs="Times New Roman"/>
          <w:spacing w:val="0"/>
        </w:rPr>
        <w:t>后循环使用，</w:t>
      </w:r>
      <w:r>
        <w:rPr>
          <w:rFonts w:hint="eastAsia" w:ascii="Times New Roman" w:hAnsi="Times New Roman" w:cs="Times New Roman"/>
          <w:spacing w:val="0"/>
        </w:rPr>
        <w:t>不</w:t>
      </w:r>
      <w:r>
        <w:rPr>
          <w:rFonts w:ascii="Times New Roman" w:hAnsi="Times New Roman" w:cs="Times New Roman"/>
          <w:spacing w:val="0"/>
        </w:rPr>
        <w:t>排放。</w:t>
      </w:r>
    </w:p>
    <w:p>
      <w:pPr>
        <w:pStyle w:val="5"/>
        <w:numPr>
          <w:ilvl w:val="2"/>
          <w:numId w:val="24"/>
        </w:numPr>
        <w:spacing w:line="360" w:lineRule="exact"/>
        <w:rPr>
          <w:rFonts w:ascii="Times New Roman"/>
        </w:rPr>
      </w:pPr>
      <w:r>
        <w:rPr>
          <w:rFonts w:ascii="Times New Roman"/>
        </w:rPr>
        <w:t>噪声</w:t>
      </w:r>
    </w:p>
    <w:p>
      <w:pPr>
        <w:pStyle w:val="712"/>
        <w:spacing w:line="480" w:lineRule="exact"/>
        <w:rPr>
          <w:rFonts w:ascii="Times New Roman" w:hAnsi="Times New Roman" w:cs="Times New Roman"/>
          <w:spacing w:val="0"/>
          <w:lang w:eastAsia="zh-CN"/>
        </w:rPr>
      </w:pPr>
      <w:r>
        <w:rPr>
          <w:rFonts w:ascii="Times New Roman" w:hAnsi="Times New Roman" w:cs="Times New Roman"/>
          <w:spacing w:val="0"/>
          <w:lang w:eastAsia="zh-CN"/>
        </w:rPr>
        <w:t>本项目实施</w:t>
      </w:r>
      <w:r>
        <w:rPr>
          <w:rFonts w:ascii="Times New Roman" w:hAnsi="Times New Roman" w:cs="Times New Roman"/>
          <w:spacing w:val="0"/>
        </w:rPr>
        <w:t>后企业</w:t>
      </w:r>
      <w:r>
        <w:rPr>
          <w:rFonts w:ascii="Times New Roman" w:hAnsi="Times New Roman" w:cs="Times New Roman"/>
          <w:spacing w:val="0"/>
          <w:lang w:eastAsia="zh-CN"/>
        </w:rPr>
        <w:t>新增</w:t>
      </w:r>
      <w:r>
        <w:rPr>
          <w:rFonts w:ascii="Times New Roman" w:hAnsi="Times New Roman" w:cs="Times New Roman"/>
          <w:spacing w:val="0"/>
        </w:rPr>
        <w:t>噪声源主要是</w:t>
      </w:r>
      <w:r>
        <w:rPr>
          <w:rFonts w:hint="eastAsia" w:ascii="Times New Roman" w:hAnsi="Times New Roman" w:cs="Times New Roman"/>
          <w:spacing w:val="0"/>
          <w:lang w:eastAsia="zh-CN"/>
        </w:rPr>
        <w:t>VD炉、连铸机</w:t>
      </w:r>
      <w:r>
        <w:rPr>
          <w:rFonts w:ascii="Times New Roman" w:hAnsi="Times New Roman" w:cs="Times New Roman"/>
          <w:spacing w:val="0"/>
        </w:rPr>
        <w:t>以及一些配套辅助机械设备产生的机械噪声等，</w:t>
      </w:r>
      <w:r>
        <w:rPr>
          <w:rFonts w:hint="eastAsia" w:ascii="Times New Roman" w:hAnsi="Times New Roman" w:cs="Times New Roman"/>
          <w:spacing w:val="0"/>
          <w:lang w:eastAsia="zh-CN"/>
        </w:rPr>
        <w:t>根据《污染源强核算技术指南 钢铁工业》</w:t>
      </w:r>
      <w:r>
        <w:rPr>
          <w:rFonts w:ascii="Times New Roman" w:hAnsi="Times New Roman" w:eastAsia="仿宋_GB2312" w:cs="Times New Roman"/>
          <w:spacing w:val="0"/>
          <w:sz w:val="28"/>
          <w:lang w:val="en-US" w:eastAsia="zh-CN"/>
        </w:rPr>
        <w:t>(</w:t>
      </w:r>
      <w:r>
        <w:rPr>
          <w:rFonts w:hint="eastAsia" w:ascii="Times New Roman" w:hAnsi="Times New Roman" w:cs="Times New Roman"/>
          <w:spacing w:val="0"/>
          <w:lang w:eastAsia="zh-CN"/>
        </w:rPr>
        <w:t>HJ885-2018</w:t>
      </w:r>
      <w:r>
        <w:rPr>
          <w:rFonts w:ascii="Times New Roman" w:hAnsi="Times New Roman" w:eastAsia="仿宋_GB2312" w:cs="Times New Roman"/>
          <w:spacing w:val="0"/>
          <w:sz w:val="28"/>
          <w:lang w:val="en-US" w:eastAsia="zh-CN"/>
        </w:rPr>
        <w:t>)</w:t>
      </w:r>
      <w:r>
        <w:rPr>
          <w:rFonts w:hint="eastAsia" w:ascii="Times New Roman" w:hAnsi="Times New Roman" w:cs="Times New Roman"/>
          <w:spacing w:val="0"/>
          <w:lang w:eastAsia="zh-CN"/>
        </w:rPr>
        <w:t>表G.1钢铁工业主要噪声源声压级一览表及表G.2典型降噪措施降噪效果一览表，项目</w:t>
      </w:r>
      <w:r>
        <w:rPr>
          <w:rFonts w:ascii="Times New Roman" w:hAnsi="Times New Roman" w:cs="Times New Roman"/>
          <w:spacing w:val="0"/>
        </w:rPr>
        <w:t>主要声源源强</w:t>
      </w:r>
      <w:r>
        <w:rPr>
          <w:rFonts w:hint="eastAsia" w:ascii="Times New Roman" w:hAnsi="Times New Roman" w:cs="Times New Roman"/>
          <w:spacing w:val="0"/>
          <w:lang w:eastAsia="zh-CN"/>
        </w:rPr>
        <w:t>及降噪效果</w:t>
      </w:r>
      <w:r>
        <w:rPr>
          <w:rFonts w:ascii="Times New Roman" w:hAnsi="Times New Roman" w:cs="Times New Roman"/>
          <w:spacing w:val="0"/>
        </w:rPr>
        <w:t>见表</w:t>
      </w:r>
      <w:r>
        <w:rPr>
          <w:rFonts w:ascii="Times New Roman" w:hAnsi="Times New Roman" w:cs="Times New Roman"/>
          <w:spacing w:val="0"/>
          <w:lang w:eastAsia="zh-CN"/>
        </w:rPr>
        <w:t>4</w:t>
      </w:r>
      <w:r>
        <w:rPr>
          <w:rFonts w:ascii="Times New Roman" w:hAnsi="Times New Roman" w:cs="Times New Roman"/>
          <w:spacing w:val="0"/>
        </w:rPr>
        <w:t>-</w:t>
      </w:r>
      <w:r>
        <w:rPr>
          <w:rFonts w:ascii="Times New Roman" w:hAnsi="Times New Roman" w:cs="Times New Roman"/>
          <w:spacing w:val="0"/>
          <w:lang w:eastAsia="zh-CN"/>
        </w:rPr>
        <w:t>13</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rPr>
        <w:t>项目主要声源源强</w:t>
      </w:r>
      <w:r>
        <w:rPr>
          <w:rFonts w:hint="eastAsia" w:ascii="Times New Roman" w:hAnsi="Times New Roman"/>
          <w:lang w:eastAsia="zh-CN"/>
        </w:rPr>
        <w:t xml:space="preserve">   </w:t>
      </w:r>
      <w:r>
        <w:rPr>
          <w:rFonts w:ascii="Times New Roman" w:hAnsi="Times New Roman"/>
        </w:rPr>
        <w:t>单位：dB</w:t>
      </w:r>
    </w:p>
    <w:tbl>
      <w:tblPr>
        <w:tblStyle w:val="88"/>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376"/>
        <w:gridCol w:w="687"/>
        <w:gridCol w:w="861"/>
        <w:gridCol w:w="807"/>
        <w:gridCol w:w="1946"/>
        <w:gridCol w:w="633"/>
        <w:gridCol w:w="1029"/>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位置</w:t>
            </w:r>
          </w:p>
        </w:tc>
        <w:tc>
          <w:tcPr>
            <w:tcW w:w="1376"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噪声源名称</w:t>
            </w:r>
          </w:p>
        </w:tc>
        <w:tc>
          <w:tcPr>
            <w:tcW w:w="687"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运行台数</w:t>
            </w:r>
            <w:r>
              <w:rPr>
                <w:rFonts w:hint="eastAsia" w:ascii="Times New Roman" w:hAnsi="Times New Roman" w:cs="Times New Roman"/>
                <w:spacing w:val="0"/>
                <w:sz w:val="18"/>
                <w:szCs w:val="18"/>
                <w:lang w:val="zh-CN"/>
              </w:rPr>
              <w:t>(台)</w:t>
            </w:r>
          </w:p>
        </w:tc>
        <w:tc>
          <w:tcPr>
            <w:tcW w:w="861"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声源类别</w:t>
            </w:r>
          </w:p>
        </w:tc>
        <w:tc>
          <w:tcPr>
            <w:tcW w:w="807"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噪声源强</w:t>
            </w:r>
          </w:p>
        </w:tc>
        <w:tc>
          <w:tcPr>
            <w:tcW w:w="1946"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防治措施</w:t>
            </w: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削减效果</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室外噪声源强</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运行时间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炼钢</w:t>
            </w: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VD炉</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95-100</w:t>
            </w:r>
          </w:p>
        </w:tc>
        <w:tc>
          <w:tcPr>
            <w:tcW w:w="1946"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选用低噪声设备，减振基座，建筑隔声</w:t>
            </w: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77</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LF炉</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95-100</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77</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吹氧阀站</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若干</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偶发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100-105</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82</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各类风机</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若干</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90-95</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72</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239"/>
              <w:snapToGrid w:val="0"/>
              <w:spacing w:line="320" w:lineRule="exact"/>
              <w:jc w:val="center"/>
              <w:rPr>
                <w:rFonts w:eastAsiaTheme="minorEastAsia"/>
                <w:sz w:val="18"/>
                <w:szCs w:val="18"/>
              </w:rPr>
            </w:pPr>
            <w:r>
              <w:rPr>
                <w:rFonts w:hint="eastAsia" w:eastAsiaTheme="minorEastAsia"/>
                <w:sz w:val="18"/>
                <w:szCs w:val="18"/>
              </w:rPr>
              <w:t>泵类</w:t>
            </w:r>
          </w:p>
        </w:tc>
        <w:tc>
          <w:tcPr>
            <w:tcW w:w="687" w:type="dxa"/>
            <w:vAlign w:val="center"/>
          </w:tcPr>
          <w:p>
            <w:pPr>
              <w:spacing w:line="320" w:lineRule="exact"/>
              <w:jc w:val="center"/>
              <w:rPr>
                <w:rFonts w:eastAsiaTheme="minorEastAsia"/>
                <w:sz w:val="18"/>
                <w:szCs w:val="18"/>
              </w:rPr>
            </w:pPr>
            <w:r>
              <w:rPr>
                <w:rFonts w:eastAsiaTheme="minorEastAsia"/>
                <w:sz w:val="18"/>
                <w:szCs w:val="18"/>
              </w:rPr>
              <w:t>1</w:t>
            </w:r>
          </w:p>
        </w:tc>
        <w:tc>
          <w:tcPr>
            <w:tcW w:w="861" w:type="dxa"/>
            <w:vAlign w:val="center"/>
          </w:tcPr>
          <w:p>
            <w:pPr>
              <w:spacing w:line="320" w:lineRule="exact"/>
              <w:jc w:val="center"/>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eastAsiaTheme="minorEastAsia"/>
                <w:sz w:val="18"/>
                <w:szCs w:val="18"/>
              </w:rPr>
              <w:t>75-8</w:t>
            </w:r>
            <w:r>
              <w:rPr>
                <w:rFonts w:hint="eastAsia" w:eastAsiaTheme="minorEastAsia"/>
                <w:sz w:val="18"/>
                <w:szCs w:val="18"/>
              </w:rPr>
              <w:t>5</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60</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连铸</w:t>
            </w: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火焰清理机</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偶发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90-95</w:t>
            </w:r>
          </w:p>
        </w:tc>
        <w:tc>
          <w:tcPr>
            <w:tcW w:w="1946"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选用低噪声设备，减振基座，建筑隔声</w:t>
            </w: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72</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火焰切割机</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偶发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8</w:t>
            </w:r>
            <w:r>
              <w:rPr>
                <w:rFonts w:eastAsiaTheme="minorEastAsia"/>
                <w:sz w:val="18"/>
                <w:szCs w:val="18"/>
              </w:rPr>
              <w:t>5-</w:t>
            </w:r>
            <w:r>
              <w:rPr>
                <w:rFonts w:hint="eastAsia" w:eastAsiaTheme="minorEastAsia"/>
                <w:sz w:val="18"/>
                <w:szCs w:val="18"/>
              </w:rPr>
              <w:t>90</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67</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泵类</w:t>
            </w:r>
          </w:p>
        </w:tc>
        <w:tc>
          <w:tcPr>
            <w:tcW w:w="687" w:type="dxa"/>
            <w:vAlign w:val="center"/>
          </w:tcPr>
          <w:p>
            <w:pPr>
              <w:pStyle w:val="1045"/>
              <w:widowControl w:val="0"/>
              <w:spacing w:line="320" w:lineRule="exact"/>
              <w:rPr>
                <w:rFonts w:eastAsiaTheme="minorEastAsia"/>
                <w:sz w:val="18"/>
                <w:szCs w:val="18"/>
              </w:rPr>
            </w:pPr>
            <w:r>
              <w:rPr>
                <w:rFonts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eastAsiaTheme="minorEastAsia"/>
                <w:sz w:val="18"/>
                <w:szCs w:val="18"/>
              </w:rPr>
              <w:t>75-8</w:t>
            </w:r>
            <w:r>
              <w:rPr>
                <w:rFonts w:hint="eastAsia" w:eastAsiaTheme="minorEastAsia"/>
                <w:sz w:val="18"/>
                <w:szCs w:val="18"/>
              </w:rPr>
              <w:t>5</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60</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制氧</w:t>
            </w: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空压机</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100</w:t>
            </w:r>
            <w:r>
              <w:rPr>
                <w:rFonts w:eastAsiaTheme="minorEastAsia"/>
                <w:sz w:val="18"/>
                <w:szCs w:val="18"/>
              </w:rPr>
              <w:t>-</w:t>
            </w:r>
            <w:r>
              <w:rPr>
                <w:rFonts w:hint="eastAsia" w:eastAsiaTheme="minorEastAsia"/>
                <w:sz w:val="18"/>
                <w:szCs w:val="18"/>
              </w:rPr>
              <w:t>110</w:t>
            </w:r>
          </w:p>
        </w:tc>
        <w:tc>
          <w:tcPr>
            <w:tcW w:w="1946" w:type="dxa"/>
            <w:vMerge w:val="restart"/>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建筑隔声，选用低噪声设备，减振基座</w:t>
            </w: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85</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eastAsiaTheme="minorEastAsia"/>
                <w:sz w:val="18"/>
                <w:szCs w:val="18"/>
              </w:rPr>
              <w:t>循环水泵</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napToGrid w:val="0"/>
                <w:kern w:val="21"/>
                <w:sz w:val="18"/>
                <w:szCs w:val="18"/>
              </w:rPr>
            </w:pPr>
            <w:r>
              <w:rPr>
                <w:rFonts w:hint="eastAsia" w:eastAsiaTheme="minorEastAsia"/>
                <w:snapToGrid w:val="0"/>
                <w:kern w:val="21"/>
                <w:sz w:val="18"/>
                <w:szCs w:val="18"/>
              </w:rPr>
              <w:t>82</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62</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3"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1376" w:type="dxa"/>
            <w:vAlign w:val="center"/>
          </w:tcPr>
          <w:p>
            <w:pPr>
              <w:pStyle w:val="1045"/>
              <w:widowControl w:val="0"/>
              <w:spacing w:line="320" w:lineRule="exact"/>
              <w:rPr>
                <w:rFonts w:eastAsiaTheme="minorEastAsia"/>
                <w:sz w:val="18"/>
                <w:szCs w:val="18"/>
              </w:rPr>
            </w:pPr>
            <w:r>
              <w:rPr>
                <w:rFonts w:hint="eastAsia" w:eastAsiaTheme="minorEastAsia"/>
                <w:sz w:val="18"/>
                <w:szCs w:val="18"/>
              </w:rPr>
              <w:t>氮压机</w:t>
            </w:r>
          </w:p>
        </w:tc>
        <w:tc>
          <w:tcPr>
            <w:tcW w:w="687" w:type="dxa"/>
            <w:vAlign w:val="center"/>
          </w:tcPr>
          <w:p>
            <w:pPr>
              <w:pStyle w:val="1045"/>
              <w:widowControl w:val="0"/>
              <w:spacing w:line="320" w:lineRule="exact"/>
              <w:rPr>
                <w:rFonts w:eastAsiaTheme="minorEastAsia"/>
                <w:sz w:val="18"/>
                <w:szCs w:val="18"/>
              </w:rPr>
            </w:pPr>
            <w:r>
              <w:rPr>
                <w:rFonts w:hint="eastAsia" w:eastAsiaTheme="minorEastAsia"/>
                <w:sz w:val="18"/>
                <w:szCs w:val="18"/>
              </w:rPr>
              <w:t>1</w:t>
            </w:r>
          </w:p>
        </w:tc>
        <w:tc>
          <w:tcPr>
            <w:tcW w:w="861" w:type="dxa"/>
            <w:vAlign w:val="center"/>
          </w:tcPr>
          <w:p>
            <w:pPr>
              <w:pStyle w:val="1045"/>
              <w:widowControl w:val="0"/>
              <w:spacing w:line="320" w:lineRule="exact"/>
              <w:rPr>
                <w:rFonts w:eastAsiaTheme="minorEastAsia"/>
                <w:sz w:val="18"/>
                <w:szCs w:val="18"/>
              </w:rPr>
            </w:pPr>
            <w:r>
              <w:rPr>
                <w:rFonts w:hint="eastAsia" w:eastAsiaTheme="minorEastAsia"/>
                <w:sz w:val="18"/>
                <w:szCs w:val="18"/>
              </w:rPr>
              <w:t>频发</w:t>
            </w:r>
          </w:p>
        </w:tc>
        <w:tc>
          <w:tcPr>
            <w:tcW w:w="807" w:type="dxa"/>
            <w:vAlign w:val="center"/>
          </w:tcPr>
          <w:p>
            <w:pPr>
              <w:spacing w:line="320" w:lineRule="exact"/>
              <w:jc w:val="center"/>
              <w:rPr>
                <w:rFonts w:eastAsiaTheme="minorEastAsia"/>
                <w:sz w:val="18"/>
                <w:szCs w:val="18"/>
              </w:rPr>
            </w:pPr>
            <w:r>
              <w:rPr>
                <w:rFonts w:hint="eastAsia" w:eastAsiaTheme="minorEastAsia"/>
                <w:sz w:val="18"/>
                <w:szCs w:val="18"/>
              </w:rPr>
              <w:t>100</w:t>
            </w:r>
            <w:r>
              <w:rPr>
                <w:rFonts w:eastAsiaTheme="minorEastAsia"/>
                <w:sz w:val="18"/>
                <w:szCs w:val="18"/>
              </w:rPr>
              <w:t>-</w:t>
            </w:r>
            <w:r>
              <w:rPr>
                <w:rFonts w:hint="eastAsia" w:eastAsiaTheme="minorEastAsia"/>
                <w:sz w:val="18"/>
                <w:szCs w:val="18"/>
              </w:rPr>
              <w:t>115</w:t>
            </w:r>
          </w:p>
        </w:tc>
        <w:tc>
          <w:tcPr>
            <w:tcW w:w="1946" w:type="dxa"/>
            <w:vMerge w:val="continue"/>
            <w:vAlign w:val="center"/>
          </w:tcPr>
          <w:p>
            <w:pPr>
              <w:pStyle w:val="4"/>
              <w:spacing w:line="320" w:lineRule="exact"/>
              <w:ind w:firstLine="0"/>
              <w:jc w:val="center"/>
              <w:rPr>
                <w:rFonts w:ascii="Times New Roman" w:hAnsi="Times New Roman" w:cs="Times New Roman"/>
                <w:spacing w:val="0"/>
                <w:sz w:val="18"/>
                <w:szCs w:val="18"/>
                <w:lang w:val="zh-CN"/>
              </w:rPr>
            </w:pPr>
          </w:p>
        </w:tc>
        <w:tc>
          <w:tcPr>
            <w:tcW w:w="633"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-20</w:t>
            </w:r>
          </w:p>
        </w:tc>
        <w:tc>
          <w:tcPr>
            <w:tcW w:w="1029" w:type="dxa"/>
            <w:vAlign w:val="center"/>
          </w:tcPr>
          <w:p>
            <w:pPr>
              <w:pStyle w:val="4"/>
              <w:spacing w:line="320" w:lineRule="exact"/>
              <w:ind w:firstLine="0"/>
              <w:jc w:val="center"/>
              <w:rPr>
                <w:rFonts w:ascii="Times New Roman" w:hAnsi="Times New Roman" w:cs="Times New Roman"/>
                <w:spacing w:val="0"/>
                <w:sz w:val="18"/>
                <w:szCs w:val="18"/>
                <w:lang w:val="zh-CN"/>
              </w:rPr>
            </w:pPr>
            <w:r>
              <w:rPr>
                <w:rFonts w:hint="eastAsia" w:ascii="Times New Roman" w:hAnsi="Times New Roman" w:cs="Times New Roman"/>
                <w:spacing w:val="0"/>
                <w:sz w:val="18"/>
                <w:szCs w:val="18"/>
                <w:lang w:val="zh-CN"/>
              </w:rPr>
              <w:t>87</w:t>
            </w:r>
          </w:p>
        </w:tc>
        <w:tc>
          <w:tcPr>
            <w:tcW w:w="635" w:type="dxa"/>
            <w:vAlign w:val="center"/>
          </w:tcPr>
          <w:p>
            <w:pPr>
              <w:pStyle w:val="4"/>
              <w:spacing w:line="320" w:lineRule="exact"/>
              <w:ind w:firstLine="0"/>
              <w:jc w:val="center"/>
              <w:rPr>
                <w:rFonts w:ascii="Times New Roman" w:hAnsi="Times New Roman" w:cs="Times New Roman"/>
                <w:spacing w:val="0"/>
                <w:sz w:val="18"/>
                <w:szCs w:val="18"/>
                <w:lang w:val="zh-CN"/>
              </w:rPr>
            </w:pPr>
            <w:r>
              <w:rPr>
                <w:rFonts w:ascii="Times New Roman" w:hAnsi="Times New Roman" w:cs="Times New Roman"/>
                <w:spacing w:val="0"/>
                <w:sz w:val="18"/>
                <w:szCs w:val="18"/>
                <w:lang w:val="zh-CN"/>
              </w:rPr>
              <w:t>昼</w:t>
            </w:r>
            <w:r>
              <w:rPr>
                <w:rFonts w:hint="eastAsia" w:ascii="Times New Roman" w:hAnsi="Times New Roman" w:cs="Times New Roman"/>
                <w:spacing w:val="0"/>
                <w:sz w:val="18"/>
                <w:szCs w:val="18"/>
                <w:lang w:val="zh-CN"/>
              </w:rPr>
              <w:t>夜</w:t>
            </w:r>
          </w:p>
        </w:tc>
      </w:tr>
    </w:tbl>
    <w:p>
      <w:pPr>
        <w:pStyle w:val="5"/>
        <w:numPr>
          <w:ilvl w:val="2"/>
          <w:numId w:val="24"/>
        </w:numPr>
        <w:spacing w:line="360" w:lineRule="exact"/>
        <w:rPr>
          <w:rFonts w:ascii="Times New Roman"/>
        </w:rPr>
      </w:pPr>
      <w:r>
        <w:rPr>
          <w:rFonts w:ascii="Times New Roman"/>
        </w:rPr>
        <w:t>固体废物</w:t>
      </w:r>
    </w:p>
    <w:p>
      <w:pPr>
        <w:pStyle w:val="4"/>
        <w:spacing w:line="480" w:lineRule="exact"/>
        <w:rPr>
          <w:rFonts w:ascii="Times New Roman" w:hAnsi="Times New Roman" w:cs="Times New Roman" w:eastAsiaTheme="minorEastAsia"/>
          <w:spacing w:val="0"/>
          <w:szCs w:val="24"/>
        </w:rPr>
      </w:pPr>
      <w:bookmarkStart w:id="114" w:name="_Toc367887865"/>
      <w:bookmarkStart w:id="115" w:name="_Toc381697488"/>
      <w:bookmarkStart w:id="116" w:name="_Toc316561639"/>
      <w:bookmarkStart w:id="117" w:name="_Toc316511048"/>
      <w:r>
        <w:rPr>
          <w:rFonts w:ascii="Times New Roman" w:hAnsi="Times New Roman" w:cs="Times New Roman" w:eastAsiaTheme="minorEastAsia"/>
          <w:spacing w:val="0"/>
          <w:szCs w:val="24"/>
        </w:rPr>
        <w:t>项目生产过程副产物产生情况如下：</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1、二冷室冲下来的氧化铁皮S1</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本项目连铸过程中，钢坯表面产生的氧化铁皮层被压碎，粗块的氧化铁皮掉入铁皮沟被冷却水冲入沉淀池，定期收集</w:t>
      </w:r>
      <w:r>
        <w:rPr>
          <w:rFonts w:hint="eastAsia" w:ascii="Times New Roman" w:hAnsi="Times New Roman" w:cs="Times New Roman" w:eastAsiaTheme="minorEastAsia"/>
          <w:spacing w:val="0"/>
          <w:szCs w:val="24"/>
        </w:rPr>
        <w:t>。根据</w:t>
      </w:r>
      <w:r>
        <w:rPr>
          <w:rFonts w:ascii="Times New Roman" w:hAnsi="Times New Roman" w:cs="Times New Roman" w:eastAsiaTheme="minorEastAsia"/>
          <w:spacing w:val="0"/>
          <w:szCs w:val="24"/>
        </w:rPr>
        <w:t>物料平衡，氧化铁皮产生量约为产量的0.24%，项目产量为6万t/a的连铸坯，则项目氧化铁皮产生量约为150t/a。</w:t>
      </w:r>
    </w:p>
    <w:p>
      <w:pPr>
        <w:pStyle w:val="4"/>
        <w:spacing w:line="480" w:lineRule="exact"/>
        <w:ind w:firstLine="475" w:firstLineChars="196"/>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2、</w:t>
      </w:r>
      <w:r>
        <w:rPr>
          <w:rFonts w:hint="eastAsia" w:ascii="Times New Roman" w:hAnsi="Times New Roman" w:cs="Times New Roman" w:eastAsiaTheme="minorEastAsia"/>
          <w:spacing w:val="0"/>
          <w:szCs w:val="24"/>
        </w:rPr>
        <w:t>铸余</w:t>
      </w:r>
      <w:r>
        <w:rPr>
          <w:rFonts w:ascii="Times New Roman" w:hAnsi="Times New Roman" w:cs="Times New Roman" w:eastAsiaTheme="minorEastAsia"/>
          <w:spacing w:val="0"/>
          <w:szCs w:val="24"/>
        </w:rPr>
        <w:t>渣S2</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本项目</w:t>
      </w:r>
      <w:r>
        <w:rPr>
          <w:rFonts w:hint="eastAsia" w:ascii="Times New Roman" w:hAnsi="Times New Roman" w:cs="Times New Roman" w:eastAsiaTheme="minorEastAsia"/>
          <w:spacing w:val="0"/>
          <w:szCs w:val="24"/>
        </w:rPr>
        <w:t>连铸</w:t>
      </w:r>
      <w:r>
        <w:rPr>
          <w:rFonts w:ascii="Times New Roman" w:hAnsi="Times New Roman" w:cs="Times New Roman" w:eastAsiaTheme="minorEastAsia"/>
          <w:spacing w:val="0"/>
          <w:szCs w:val="24"/>
        </w:rPr>
        <w:t>过程中产生</w:t>
      </w:r>
      <w:r>
        <w:rPr>
          <w:rFonts w:hint="eastAsia" w:ascii="Times New Roman" w:hAnsi="Times New Roman" w:cs="Times New Roman" w:eastAsiaTheme="minorEastAsia"/>
          <w:spacing w:val="0"/>
          <w:szCs w:val="24"/>
        </w:rPr>
        <w:t>铸余渣</w:t>
      </w:r>
      <w:r>
        <w:rPr>
          <w:rFonts w:ascii="Times New Roman" w:hAnsi="Times New Roman" w:cs="Times New Roman" w:eastAsiaTheme="minorEastAsia"/>
          <w:spacing w:val="0"/>
          <w:szCs w:val="24"/>
        </w:rPr>
        <w:t>产生量约为产量的1.6%，则废</w:t>
      </w:r>
      <w:r>
        <w:rPr>
          <w:rFonts w:hint="eastAsia" w:ascii="Times New Roman" w:hAnsi="Times New Roman" w:cs="Times New Roman" w:eastAsiaTheme="minorEastAsia"/>
          <w:spacing w:val="0"/>
          <w:szCs w:val="24"/>
        </w:rPr>
        <w:t>铸余</w:t>
      </w:r>
      <w:r>
        <w:rPr>
          <w:rFonts w:ascii="Times New Roman" w:hAnsi="Times New Roman" w:cs="Times New Roman" w:eastAsiaTheme="minorEastAsia"/>
          <w:spacing w:val="0"/>
          <w:szCs w:val="24"/>
        </w:rPr>
        <w:t>渣产生量为1005t/a</w:t>
      </w:r>
      <w:r>
        <w:rPr>
          <w:rFonts w:hint="eastAsia" w:ascii="Times New Roman" w:hAnsi="Times New Roman" w:cs="Times New Roman" w:eastAsiaTheme="minorEastAsia"/>
          <w:spacing w:val="0"/>
          <w:szCs w:val="24"/>
        </w:rPr>
        <w:t>；模铸</w:t>
      </w:r>
      <w:r>
        <w:rPr>
          <w:rFonts w:ascii="Times New Roman" w:hAnsi="Times New Roman" w:cs="Times New Roman" w:eastAsiaTheme="minorEastAsia"/>
          <w:spacing w:val="0"/>
          <w:szCs w:val="24"/>
        </w:rPr>
        <w:t>过程中产生铸余渣</w:t>
      </w:r>
      <w:r>
        <w:rPr>
          <w:rFonts w:hint="eastAsia" w:ascii="Times New Roman" w:hAnsi="Times New Roman" w:cs="Times New Roman" w:eastAsiaTheme="minorEastAsia"/>
          <w:spacing w:val="0"/>
          <w:szCs w:val="24"/>
        </w:rPr>
        <w:t>1658t/a</w:t>
      </w:r>
      <w:r>
        <w:rPr>
          <w:rFonts w:ascii="Times New Roman" w:hAnsi="Times New Roman" w:cs="Times New Roman" w:eastAsiaTheme="minorEastAsia"/>
          <w:spacing w:val="0"/>
          <w:szCs w:val="24"/>
        </w:rPr>
        <w:t>，合计</w:t>
      </w:r>
      <w:r>
        <w:rPr>
          <w:rFonts w:hint="eastAsia" w:ascii="Times New Roman" w:hAnsi="Times New Roman" w:cs="Times New Roman" w:eastAsiaTheme="minorEastAsia"/>
          <w:spacing w:val="0"/>
          <w:szCs w:val="24"/>
        </w:rPr>
        <w:t>2663t/a</w:t>
      </w:r>
      <w:r>
        <w:rPr>
          <w:rFonts w:ascii="Times New Roman" w:hAnsi="Times New Roman" w:cs="Times New Roman" w:eastAsiaTheme="minorEastAsia"/>
          <w:spacing w:val="0"/>
          <w:szCs w:val="24"/>
        </w:rPr>
        <w:t>。</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3、不合格品</w:t>
      </w:r>
      <w:r>
        <w:rPr>
          <w:rFonts w:hint="eastAsia" w:ascii="Times New Roman" w:hAnsi="Times New Roman" w:cs="Times New Roman" w:eastAsiaTheme="minorEastAsia"/>
          <w:spacing w:val="0"/>
          <w:szCs w:val="24"/>
        </w:rPr>
        <w:t>、切头切尾</w:t>
      </w:r>
      <w:r>
        <w:rPr>
          <w:rFonts w:ascii="Times New Roman" w:hAnsi="Times New Roman" w:cs="Times New Roman" w:eastAsiaTheme="minorEastAsia"/>
          <w:spacing w:val="0"/>
          <w:szCs w:val="24"/>
        </w:rPr>
        <w:t>等废钢S3</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项目</w:t>
      </w:r>
      <w:r>
        <w:rPr>
          <w:rFonts w:hint="eastAsia" w:ascii="Times New Roman" w:hAnsi="Times New Roman" w:cs="Times New Roman" w:eastAsiaTheme="minorEastAsia"/>
          <w:spacing w:val="0"/>
          <w:szCs w:val="24"/>
        </w:rPr>
        <w:t>连铸</w:t>
      </w:r>
      <w:r>
        <w:rPr>
          <w:rFonts w:ascii="Times New Roman" w:hAnsi="Times New Roman" w:cs="Times New Roman" w:eastAsiaTheme="minorEastAsia"/>
          <w:spacing w:val="0"/>
          <w:szCs w:val="24"/>
        </w:rPr>
        <w:t>坯检验过程中产生不合格品，为产量的0.76%，约478t/a</w:t>
      </w:r>
      <w:r>
        <w:rPr>
          <w:rFonts w:hint="eastAsia" w:ascii="Times New Roman" w:hAnsi="Times New Roman" w:cs="Times New Roman" w:eastAsiaTheme="minorEastAsia"/>
          <w:spacing w:val="0"/>
          <w:szCs w:val="24"/>
        </w:rPr>
        <w:t>；连铸</w:t>
      </w:r>
      <w:r>
        <w:rPr>
          <w:rFonts w:ascii="Times New Roman" w:hAnsi="Times New Roman" w:cs="Times New Roman" w:eastAsiaTheme="minorEastAsia"/>
          <w:spacing w:val="0"/>
          <w:szCs w:val="24"/>
        </w:rPr>
        <w:t>、模铸过程中产生的</w:t>
      </w:r>
      <w:r>
        <w:rPr>
          <w:rFonts w:hint="eastAsia" w:ascii="Times New Roman" w:hAnsi="Times New Roman" w:cs="Times New Roman" w:eastAsiaTheme="minorEastAsia"/>
          <w:spacing w:val="0"/>
          <w:szCs w:val="24"/>
        </w:rPr>
        <w:t>损耗</w:t>
      </w:r>
      <w:r>
        <w:rPr>
          <w:rFonts w:ascii="Times New Roman" w:hAnsi="Times New Roman" w:cs="Times New Roman" w:eastAsiaTheme="minorEastAsia"/>
          <w:spacing w:val="0"/>
          <w:szCs w:val="24"/>
        </w:rPr>
        <w:t>废钢</w:t>
      </w:r>
      <w:r>
        <w:rPr>
          <w:rFonts w:hint="eastAsia" w:ascii="Times New Roman" w:hAnsi="Times New Roman" w:cs="Times New Roman" w:eastAsiaTheme="minorEastAsia"/>
          <w:spacing w:val="0"/>
          <w:szCs w:val="24"/>
        </w:rPr>
        <w:t>量</w:t>
      </w:r>
      <w:r>
        <w:rPr>
          <w:rFonts w:ascii="Times New Roman" w:hAnsi="Times New Roman" w:cs="Times New Roman" w:eastAsiaTheme="minorEastAsia"/>
          <w:spacing w:val="0"/>
          <w:szCs w:val="24"/>
        </w:rPr>
        <w:t>为1952.86</w:t>
      </w:r>
      <w:r>
        <w:rPr>
          <w:rFonts w:hint="eastAsia" w:ascii="Times New Roman" w:hAnsi="Times New Roman" w:cs="Times New Roman" w:eastAsiaTheme="minorEastAsia"/>
          <w:spacing w:val="0"/>
          <w:szCs w:val="24"/>
        </w:rPr>
        <w:t>t/a；切头切尾</w:t>
      </w:r>
      <w:r>
        <w:rPr>
          <w:rFonts w:ascii="Times New Roman" w:hAnsi="Times New Roman" w:cs="Times New Roman" w:eastAsiaTheme="minorEastAsia"/>
          <w:spacing w:val="0"/>
          <w:szCs w:val="24"/>
        </w:rPr>
        <w:t>产生废钢</w:t>
      </w:r>
      <w:r>
        <w:rPr>
          <w:rFonts w:hint="eastAsia" w:ascii="Times New Roman" w:hAnsi="Times New Roman" w:cs="Times New Roman" w:eastAsiaTheme="minorEastAsia"/>
          <w:spacing w:val="0"/>
          <w:szCs w:val="24"/>
        </w:rPr>
        <w:t>816t/a</w:t>
      </w:r>
      <w:r>
        <w:rPr>
          <w:rFonts w:ascii="Times New Roman" w:hAnsi="Times New Roman" w:cs="Times New Roman" w:eastAsiaTheme="minorEastAsia"/>
          <w:spacing w:val="0"/>
          <w:szCs w:val="24"/>
        </w:rPr>
        <w:t>，合计产生量3246.86</w:t>
      </w:r>
      <w:r>
        <w:rPr>
          <w:rFonts w:hint="eastAsia" w:ascii="Times New Roman" w:hAnsi="Times New Roman" w:cs="Times New Roman" w:eastAsiaTheme="minorEastAsia"/>
          <w:spacing w:val="0"/>
          <w:szCs w:val="24"/>
        </w:rPr>
        <w:t>t/a</w:t>
      </w:r>
      <w:r>
        <w:rPr>
          <w:rFonts w:ascii="Times New Roman" w:hAnsi="Times New Roman" w:cs="Times New Roman" w:eastAsiaTheme="minorEastAsia"/>
          <w:spacing w:val="0"/>
          <w:szCs w:val="24"/>
        </w:rPr>
        <w:t>。</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4、除尘灰S4</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项目连铸</w:t>
      </w:r>
      <w:r>
        <w:rPr>
          <w:rFonts w:hint="eastAsia" w:ascii="Times New Roman" w:hAnsi="Times New Roman" w:cs="Times New Roman" w:eastAsiaTheme="minorEastAsia"/>
          <w:spacing w:val="0"/>
          <w:szCs w:val="24"/>
        </w:rPr>
        <w:t>切割</w:t>
      </w:r>
      <w:r>
        <w:rPr>
          <w:rFonts w:ascii="Times New Roman" w:hAnsi="Times New Roman" w:cs="Times New Roman" w:eastAsiaTheme="minorEastAsia"/>
          <w:spacing w:val="0"/>
          <w:szCs w:val="24"/>
        </w:rPr>
        <w:t>过程中产生的粉尘经收集后由布袋除尘器除尘后排放，由工程分析可知，除尘灰产生量为11. 937t/a。</w:t>
      </w:r>
    </w:p>
    <w:p>
      <w:pPr>
        <w:pStyle w:val="4"/>
        <w:spacing w:line="480" w:lineRule="exact"/>
        <w:rPr>
          <w:rFonts w:ascii="Times New Roman" w:hAnsi="Times New Roman" w:cs="Times New Roman" w:eastAsiaTheme="minorEastAsia"/>
          <w:spacing w:val="0"/>
          <w:szCs w:val="24"/>
        </w:rPr>
      </w:pPr>
      <w:r>
        <w:rPr>
          <w:rFonts w:hint="eastAsia" w:ascii="Times New Roman" w:hAnsi="Times New Roman" w:cs="Times New Roman" w:eastAsiaTheme="minorEastAsia"/>
          <w:spacing w:val="0"/>
          <w:szCs w:val="24"/>
        </w:rPr>
        <w:t>项目</w:t>
      </w:r>
      <w:r>
        <w:rPr>
          <w:rFonts w:ascii="Times New Roman" w:hAnsi="Times New Roman" w:cs="Times New Roman" w:eastAsiaTheme="minorEastAsia"/>
          <w:spacing w:val="0"/>
          <w:szCs w:val="24"/>
        </w:rPr>
        <w:t>精炼炉产生的粉尘377.76</w:t>
      </w:r>
      <w:r>
        <w:rPr>
          <w:rFonts w:hint="eastAsia" w:ascii="Times New Roman" w:hAnsi="Times New Roman" w:cs="Times New Roman" w:eastAsiaTheme="minorEastAsia"/>
          <w:spacing w:val="0"/>
          <w:szCs w:val="24"/>
        </w:rPr>
        <w:t>t/a</w:t>
      </w:r>
      <w:r>
        <w:rPr>
          <w:rFonts w:ascii="Times New Roman" w:hAnsi="Times New Roman" w:cs="Times New Roman" w:eastAsiaTheme="minorEastAsia"/>
          <w:spacing w:val="0"/>
          <w:szCs w:val="24"/>
        </w:rPr>
        <w:t>，由于精炼废气与电炉废气一同处理，电炉烟尘为危险废物，因此精炼炉除尘灰亦为危险废物。</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5、废润滑油S5</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项目连铸机产生废机油、废润滑油</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浊环水系统隔油产生废油，产生量为3t/a。</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6、废耐火材料S6</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本项目连铸有废耐火材料产生，主要是钢包、中间包等日常修理和中修、大修拆除的耐火材料，产生量约150t/a，收集后外卖处置。</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7、废包装桶</w:t>
      </w:r>
      <w:r>
        <w:rPr>
          <w:rFonts w:hint="eastAsia" w:ascii="Times New Roman" w:hAnsi="Times New Roman" w:cs="Times New Roman" w:eastAsiaTheme="minorEastAsia"/>
          <w:spacing w:val="0"/>
          <w:szCs w:val="24"/>
        </w:rPr>
        <w:t>S7</w:t>
      </w:r>
    </w:p>
    <w:p>
      <w:pPr>
        <w:pStyle w:val="4"/>
        <w:spacing w:line="480" w:lineRule="exact"/>
        <w:rPr>
          <w:rFonts w:ascii="Times New Roman" w:hAnsi="Times New Roman" w:cs="Times New Roman" w:eastAsiaTheme="minorEastAsia"/>
          <w:spacing w:val="0"/>
          <w:szCs w:val="24"/>
        </w:rPr>
      </w:pPr>
      <w:r>
        <w:rPr>
          <w:rFonts w:ascii="Times New Roman" w:hAnsi="Times New Roman" w:cs="Times New Roman" w:eastAsiaTheme="minorEastAsia"/>
          <w:spacing w:val="0"/>
          <w:szCs w:val="24"/>
        </w:rPr>
        <w:t>项目使用润滑油3t/a，200kg/桶，则产生废润滑油包装桶15只，按5kg/只核算，产生废包装桶0.075t/a。</w:t>
      </w:r>
    </w:p>
    <w:p>
      <w:pPr>
        <w:spacing w:line="440" w:lineRule="exact"/>
        <w:ind w:firstLine="486" w:firstLineChars="200"/>
        <w:rPr>
          <w:rFonts w:eastAsia="宋体"/>
          <w:sz w:val="24"/>
          <w:szCs w:val="24"/>
          <w:lang w:val="zh-CN"/>
        </w:rPr>
      </w:pPr>
      <w:r>
        <w:rPr>
          <w:rFonts w:hint="eastAsia" w:eastAsiaTheme="minorEastAsia"/>
          <w:sz w:val="24"/>
          <w:szCs w:val="24"/>
        </w:rPr>
        <w:t>8、</w:t>
      </w:r>
      <w:r>
        <w:rPr>
          <w:rFonts w:hint="eastAsia" w:eastAsia="宋体"/>
          <w:sz w:val="24"/>
          <w:szCs w:val="24"/>
          <w:lang w:val="zh-CN"/>
        </w:rPr>
        <w:t>炉渣S8</w:t>
      </w:r>
    </w:p>
    <w:p>
      <w:pPr>
        <w:spacing w:line="440" w:lineRule="exact"/>
        <w:ind w:firstLine="486" w:firstLineChars="200"/>
        <w:rPr>
          <w:rFonts w:eastAsia="宋体"/>
          <w:sz w:val="24"/>
          <w:szCs w:val="24"/>
          <w:lang w:val="zh-CN"/>
        </w:rPr>
      </w:pPr>
      <w:r>
        <w:rPr>
          <w:rFonts w:hint="eastAsia" w:eastAsia="宋体"/>
          <w:sz w:val="24"/>
          <w:szCs w:val="24"/>
          <w:lang w:val="zh-CN"/>
        </w:rPr>
        <w:t>根据</w:t>
      </w:r>
      <w:r>
        <w:rPr>
          <w:rFonts w:eastAsia="宋体"/>
          <w:sz w:val="24"/>
          <w:szCs w:val="24"/>
          <w:lang w:val="zh-CN"/>
        </w:rPr>
        <w:t>物料平衡，项目</w:t>
      </w:r>
      <w:r>
        <w:rPr>
          <w:rFonts w:hint="eastAsia" w:eastAsia="宋体"/>
          <w:sz w:val="24"/>
          <w:szCs w:val="24"/>
          <w:lang w:val="zh-CN"/>
        </w:rPr>
        <w:t>精炼炉冶炼渣</w:t>
      </w:r>
      <w:r>
        <w:rPr>
          <w:rFonts w:eastAsia="宋体"/>
          <w:sz w:val="24"/>
          <w:szCs w:val="24"/>
          <w:lang w:val="zh-CN"/>
        </w:rPr>
        <w:t>产生量为4277.72</w:t>
      </w:r>
      <w:r>
        <w:rPr>
          <w:rFonts w:hint="eastAsia" w:eastAsia="宋体"/>
          <w:sz w:val="24"/>
          <w:szCs w:val="24"/>
          <w:lang w:val="zh-CN"/>
        </w:rPr>
        <w:t>t/a</w:t>
      </w:r>
      <w:r>
        <w:rPr>
          <w:rFonts w:eastAsia="宋体"/>
          <w:sz w:val="24"/>
          <w:szCs w:val="24"/>
          <w:lang w:val="zh-CN"/>
        </w:rPr>
        <w:t>。</w:t>
      </w:r>
    </w:p>
    <w:p>
      <w:pPr>
        <w:spacing w:line="440" w:lineRule="exact"/>
        <w:ind w:firstLine="486" w:firstLineChars="200"/>
        <w:rPr>
          <w:rFonts w:eastAsia="宋体"/>
          <w:sz w:val="24"/>
          <w:szCs w:val="24"/>
          <w:lang w:val="zh-CN"/>
        </w:rPr>
      </w:pPr>
      <w:r>
        <w:rPr>
          <w:rFonts w:hint="eastAsia" w:eastAsia="宋体"/>
          <w:sz w:val="24"/>
          <w:szCs w:val="24"/>
          <w:lang w:val="zh-CN"/>
        </w:rPr>
        <w:t>9、</w:t>
      </w:r>
      <w:r>
        <w:rPr>
          <w:rFonts w:eastAsia="宋体"/>
          <w:sz w:val="24"/>
          <w:szCs w:val="24"/>
          <w:lang w:val="zh-CN"/>
        </w:rPr>
        <w:t>废分子筛</w:t>
      </w:r>
      <w:r>
        <w:rPr>
          <w:rFonts w:hint="eastAsia" w:eastAsia="宋体"/>
          <w:sz w:val="24"/>
          <w:szCs w:val="24"/>
          <w:lang w:val="zh-CN"/>
        </w:rPr>
        <w:t>S</w:t>
      </w:r>
      <w:r>
        <w:rPr>
          <w:rFonts w:eastAsia="宋体"/>
          <w:sz w:val="24"/>
          <w:szCs w:val="24"/>
          <w:lang w:val="zh-CN"/>
        </w:rPr>
        <w:t>9</w:t>
      </w:r>
    </w:p>
    <w:p>
      <w:pPr>
        <w:spacing w:line="440" w:lineRule="exact"/>
        <w:ind w:firstLine="486" w:firstLineChars="200"/>
        <w:rPr>
          <w:rFonts w:eastAsia="宋体"/>
          <w:sz w:val="24"/>
          <w:szCs w:val="24"/>
          <w:lang w:val="zh-CN"/>
        </w:rPr>
      </w:pPr>
      <w:r>
        <w:rPr>
          <w:rFonts w:hint="eastAsia" w:eastAsia="宋体"/>
          <w:sz w:val="24"/>
          <w:szCs w:val="24"/>
          <w:lang w:val="zh-CN"/>
        </w:rPr>
        <w:t>项目</w:t>
      </w:r>
      <w:r>
        <w:rPr>
          <w:rFonts w:eastAsia="宋体"/>
          <w:sz w:val="24"/>
          <w:szCs w:val="24"/>
          <w:lang w:val="zh-CN"/>
        </w:rPr>
        <w:t>制氧设备产生废分子筛，</w:t>
      </w:r>
      <w:r>
        <w:rPr>
          <w:rFonts w:hint="eastAsia" w:eastAsia="宋体"/>
          <w:sz w:val="24"/>
          <w:szCs w:val="24"/>
          <w:lang w:val="zh-CN"/>
        </w:rPr>
        <w:t>年产生量</w:t>
      </w:r>
      <w:r>
        <w:rPr>
          <w:rFonts w:eastAsia="宋体"/>
          <w:sz w:val="24"/>
          <w:szCs w:val="24"/>
          <w:lang w:val="zh-CN"/>
        </w:rPr>
        <w:t>为</w:t>
      </w:r>
      <w:r>
        <w:rPr>
          <w:rFonts w:hint="eastAsia" w:eastAsia="宋体"/>
          <w:sz w:val="24"/>
          <w:szCs w:val="24"/>
          <w:lang w:val="zh-CN"/>
        </w:rPr>
        <w:t>0.1t/a</w:t>
      </w:r>
      <w:r>
        <w:rPr>
          <w:rFonts w:eastAsia="宋体"/>
          <w:sz w:val="24"/>
          <w:szCs w:val="24"/>
          <w:lang w:val="zh-CN"/>
        </w:rPr>
        <w:t>。</w:t>
      </w:r>
    </w:p>
    <w:p>
      <w:pPr>
        <w:spacing w:line="440" w:lineRule="exact"/>
        <w:ind w:firstLine="486" w:firstLineChars="200"/>
        <w:rPr>
          <w:rFonts w:eastAsia="宋体"/>
          <w:sz w:val="24"/>
          <w:szCs w:val="24"/>
          <w:lang w:val="zh-CN"/>
        </w:rPr>
      </w:pPr>
      <w:r>
        <w:rPr>
          <w:rFonts w:hint="eastAsia" w:eastAsia="宋体"/>
          <w:sz w:val="24"/>
          <w:szCs w:val="24"/>
          <w:lang w:val="zh-CN"/>
        </w:rPr>
        <w:t>10、</w:t>
      </w:r>
      <w:r>
        <w:rPr>
          <w:rFonts w:eastAsia="宋体"/>
          <w:sz w:val="24"/>
          <w:szCs w:val="24"/>
          <w:lang w:val="zh-CN"/>
        </w:rPr>
        <w:t>废布袋</w:t>
      </w:r>
      <w:r>
        <w:rPr>
          <w:rFonts w:hint="eastAsia" w:eastAsia="宋体"/>
          <w:sz w:val="24"/>
          <w:szCs w:val="24"/>
          <w:lang w:val="zh-CN"/>
        </w:rPr>
        <w:t>S10</w:t>
      </w:r>
    </w:p>
    <w:p>
      <w:pPr>
        <w:spacing w:line="440" w:lineRule="exact"/>
        <w:ind w:firstLine="486" w:firstLineChars="200"/>
        <w:rPr>
          <w:rFonts w:eastAsia="宋体"/>
          <w:sz w:val="24"/>
          <w:szCs w:val="24"/>
          <w:lang w:val="zh-CN"/>
        </w:rPr>
      </w:pPr>
      <w:r>
        <w:rPr>
          <w:rFonts w:eastAsia="宋体"/>
          <w:sz w:val="24"/>
          <w:szCs w:val="24"/>
          <w:lang w:val="zh-CN"/>
        </w:rPr>
        <w:t>本</w:t>
      </w:r>
      <w:r>
        <w:rPr>
          <w:rFonts w:hint="eastAsia" w:eastAsia="宋体"/>
          <w:sz w:val="24"/>
          <w:szCs w:val="24"/>
          <w:lang w:val="zh-CN"/>
        </w:rPr>
        <w:t>项目</w:t>
      </w:r>
      <w:r>
        <w:rPr>
          <w:rFonts w:eastAsia="宋体"/>
          <w:sz w:val="24"/>
          <w:szCs w:val="24"/>
          <w:lang w:val="zh-CN"/>
        </w:rPr>
        <w:t>实施后将对现有</w:t>
      </w:r>
      <w:r>
        <w:rPr>
          <w:rFonts w:hint="eastAsia" w:eastAsia="宋体"/>
          <w:sz w:val="24"/>
          <w:szCs w:val="24"/>
          <w:lang w:val="zh-CN"/>
        </w:rPr>
        <w:t>布袋</w:t>
      </w:r>
      <w:r>
        <w:rPr>
          <w:rFonts w:eastAsia="宋体"/>
          <w:sz w:val="24"/>
          <w:szCs w:val="24"/>
          <w:lang w:val="zh-CN"/>
        </w:rPr>
        <w:t>更换</w:t>
      </w:r>
      <w:r>
        <w:rPr>
          <w:rFonts w:hint="eastAsia" w:eastAsia="宋体"/>
          <w:sz w:val="24"/>
          <w:szCs w:val="24"/>
          <w:lang w:val="zh-CN"/>
        </w:rPr>
        <w:t>为覆膜滤料</w:t>
      </w:r>
      <w:r>
        <w:rPr>
          <w:rFonts w:eastAsia="宋体"/>
          <w:sz w:val="24"/>
          <w:szCs w:val="24"/>
          <w:lang w:val="zh-CN"/>
        </w:rPr>
        <w:t>袋式除尘器，以提高除尘效率</w:t>
      </w:r>
      <w:r>
        <w:rPr>
          <w:rFonts w:hint="eastAsia" w:eastAsia="宋体"/>
          <w:sz w:val="24"/>
          <w:szCs w:val="24"/>
          <w:lang w:val="zh-CN"/>
        </w:rPr>
        <w:t>，预计</w:t>
      </w:r>
      <w:r>
        <w:rPr>
          <w:rFonts w:eastAsia="宋体"/>
          <w:sz w:val="24"/>
          <w:szCs w:val="24"/>
          <w:lang w:val="zh-CN"/>
        </w:rPr>
        <w:t>产生量为</w:t>
      </w:r>
      <w:r>
        <w:rPr>
          <w:rFonts w:hint="eastAsia" w:eastAsia="宋体"/>
          <w:sz w:val="24"/>
          <w:szCs w:val="24"/>
          <w:lang w:val="zh-CN"/>
        </w:rPr>
        <w:t>11</w:t>
      </w:r>
      <w:r>
        <w:rPr>
          <w:rFonts w:eastAsia="宋体"/>
          <w:sz w:val="24"/>
          <w:szCs w:val="24"/>
          <w:lang w:val="zh-CN"/>
        </w:rPr>
        <w:t>t。</w:t>
      </w:r>
    </w:p>
    <w:p>
      <w:pPr>
        <w:pStyle w:val="4"/>
        <w:spacing w:line="440" w:lineRule="exact"/>
        <w:ind w:firstLine="520"/>
        <w:rPr>
          <w:rFonts w:ascii="Times New Roman" w:hAnsi="Times New Roman" w:cs="Times New Roman"/>
          <w:spacing w:val="0"/>
          <w:szCs w:val="24"/>
        </w:rPr>
      </w:pPr>
      <w:r>
        <w:rPr>
          <w:rFonts w:ascii="Times New Roman" w:hAnsi="Times New Roman" w:cs="Times New Roman"/>
          <w:spacing w:val="0"/>
          <w:szCs w:val="24"/>
        </w:rPr>
        <w:t>项目</w:t>
      </w:r>
      <w:r>
        <w:rPr>
          <w:rFonts w:hint="eastAsia" w:ascii="Times New Roman" w:hAnsi="Times New Roman" w:cs="Times New Roman"/>
          <w:spacing w:val="0"/>
          <w:szCs w:val="24"/>
        </w:rPr>
        <w:t>副产物</w:t>
      </w:r>
      <w:r>
        <w:rPr>
          <w:rFonts w:ascii="Times New Roman" w:hAnsi="Times New Roman" w:cs="Times New Roman"/>
          <w:spacing w:val="0"/>
          <w:szCs w:val="24"/>
        </w:rPr>
        <w:t>经固废鉴定、危险废物判别后，各固体废物分析结果汇总详见表4-14。</w:t>
      </w:r>
    </w:p>
    <w:p>
      <w:pPr>
        <w:pStyle w:val="313"/>
        <w:tabs>
          <w:tab w:val="clear" w:pos="3908"/>
        </w:tabs>
        <w:ind w:left="1122" w:hanging="561"/>
        <w:rPr>
          <w:rFonts w:ascii="Times New Roman" w:hAnsi="Times New Roman"/>
        </w:rPr>
      </w:pPr>
      <w:r>
        <w:rPr>
          <w:rFonts w:ascii="Times New Roman" w:hAnsi="Times New Roman"/>
        </w:rPr>
        <w:t>项目固体废物分析结果汇总表</w:t>
      </w:r>
    </w:p>
    <w:tbl>
      <w:tblPr>
        <w:tblStyle w:val="87"/>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181"/>
        <w:gridCol w:w="992"/>
        <w:gridCol w:w="693"/>
        <w:gridCol w:w="995"/>
        <w:gridCol w:w="887"/>
        <w:gridCol w:w="1373"/>
        <w:gridCol w:w="1043"/>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序号</w:t>
            </w:r>
          </w:p>
        </w:tc>
        <w:tc>
          <w:tcPr>
            <w:tcW w:w="1181"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固废名称</w:t>
            </w:r>
          </w:p>
        </w:tc>
        <w:tc>
          <w:tcPr>
            <w:tcW w:w="992"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产生工序</w:t>
            </w:r>
          </w:p>
        </w:tc>
        <w:tc>
          <w:tcPr>
            <w:tcW w:w="69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形态</w:t>
            </w:r>
          </w:p>
        </w:tc>
        <w:tc>
          <w:tcPr>
            <w:tcW w:w="995"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主要成分</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属性</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危废代码</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预测产生量(t/a)</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1</w:t>
            </w:r>
          </w:p>
        </w:tc>
        <w:tc>
          <w:tcPr>
            <w:tcW w:w="1181" w:type="dxa"/>
            <w:vAlign w:val="center"/>
          </w:tcPr>
          <w:p>
            <w:pPr>
              <w:spacing w:line="360" w:lineRule="exact"/>
              <w:jc w:val="center"/>
              <w:rPr>
                <w:rFonts w:eastAsiaTheme="minorEastAsia"/>
                <w:sz w:val="18"/>
                <w:szCs w:val="18"/>
              </w:rPr>
            </w:pPr>
            <w:r>
              <w:rPr>
                <w:rFonts w:eastAsiaTheme="minorEastAsia"/>
                <w:sz w:val="18"/>
                <w:szCs w:val="18"/>
              </w:rPr>
              <w:t>氧化铁皮S1</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二冷室</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sz w:val="18"/>
                <w:szCs w:val="18"/>
              </w:rPr>
              <w:t>铁及其氧化物</w:t>
            </w:r>
          </w:p>
        </w:tc>
        <w:tc>
          <w:tcPr>
            <w:tcW w:w="88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150</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2</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除尘灰S4-1</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连铸</w:t>
            </w:r>
            <w:r>
              <w:rPr>
                <w:rFonts w:ascii="Times New Roman" w:hAnsi="Times New Roman" w:eastAsiaTheme="minorEastAsia"/>
                <w:kern w:val="2"/>
                <w:sz w:val="18"/>
                <w:szCs w:val="18"/>
              </w:rPr>
              <w:t>布袋除尘</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sz w:val="18"/>
                <w:szCs w:val="18"/>
                <w:lang w:eastAsia="zh-CN"/>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sz w:val="18"/>
                <w:szCs w:val="18"/>
              </w:rPr>
              <w:t>铁及其氧化物</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11. 937</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除尘灰S4-2</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精炼炉</w:t>
            </w:r>
            <w:r>
              <w:rPr>
                <w:rFonts w:ascii="Times New Roman" w:hAnsi="Times New Roman" w:eastAsiaTheme="minorEastAsia"/>
                <w:kern w:val="2"/>
                <w:sz w:val="18"/>
                <w:szCs w:val="18"/>
                <w:lang w:eastAsia="zh-CN"/>
              </w:rPr>
              <w:t>除尘灰</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sz w:val="18"/>
                <w:szCs w:val="18"/>
              </w:rPr>
            </w:pPr>
            <w:r>
              <w:rPr>
                <w:rFonts w:hint="eastAsia" w:ascii="Times New Roman" w:hAnsi="Times New Roman" w:eastAsiaTheme="minorEastAsia"/>
                <w:sz w:val="18"/>
                <w:szCs w:val="18"/>
                <w:lang w:eastAsia="zh-CN"/>
              </w:rPr>
              <w:t>铁极其</w:t>
            </w:r>
            <w:r>
              <w:rPr>
                <w:rFonts w:ascii="Times New Roman" w:hAnsi="Times New Roman" w:eastAsiaTheme="minorEastAsia"/>
                <w:sz w:val="18"/>
                <w:szCs w:val="18"/>
                <w:lang w:eastAsia="zh-CN"/>
              </w:rPr>
              <w:t>化合物、铬</w:t>
            </w:r>
          </w:p>
        </w:tc>
        <w:tc>
          <w:tcPr>
            <w:tcW w:w="88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危险废物</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HW21</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(315-002-21)</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377.76</w:t>
            </w:r>
          </w:p>
        </w:tc>
        <w:tc>
          <w:tcPr>
            <w:tcW w:w="1156"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废润滑油</w:t>
            </w:r>
            <w:r>
              <w:rPr>
                <w:rFonts w:hint="eastAsia" w:eastAsiaTheme="minorEastAsia"/>
                <w:sz w:val="18"/>
                <w:szCs w:val="18"/>
              </w:rPr>
              <w:t>、</w:t>
            </w:r>
            <w:r>
              <w:rPr>
                <w:rFonts w:eastAsiaTheme="minorEastAsia"/>
                <w:sz w:val="18"/>
                <w:szCs w:val="18"/>
              </w:rPr>
              <w:t>废油S5</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设备检修</w:t>
            </w:r>
          </w:p>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浊水</w:t>
            </w:r>
            <w:r>
              <w:rPr>
                <w:rFonts w:ascii="Times New Roman" w:hAnsi="Times New Roman" w:eastAsiaTheme="minorEastAsia"/>
                <w:kern w:val="2"/>
                <w:sz w:val="18"/>
                <w:szCs w:val="18"/>
                <w:lang w:eastAsia="zh-CN"/>
              </w:rPr>
              <w:t>系统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液态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矿物</w:t>
            </w:r>
            <w:r>
              <w:rPr>
                <w:rFonts w:ascii="Times New Roman" w:hAnsi="Times New Roman" w:eastAsiaTheme="minorEastAsia"/>
                <w:kern w:val="2"/>
                <w:sz w:val="18"/>
                <w:szCs w:val="18"/>
              </w:rPr>
              <w:t>油</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HW08</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(900-217-08)</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3</w:t>
            </w:r>
          </w:p>
        </w:tc>
        <w:tc>
          <w:tcPr>
            <w:tcW w:w="1156"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5</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废包装桶S7</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原料使用</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含油包装桶</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HW49</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(900-041-49)</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0.075</w:t>
            </w:r>
          </w:p>
        </w:tc>
        <w:tc>
          <w:tcPr>
            <w:tcW w:w="1156"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6</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废耐火材料S6</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设备检修</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废耐火材料</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150</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7</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冶炼渣S8</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eastAsiaTheme="minorEastAsia"/>
                <w:sz w:val="18"/>
                <w:szCs w:val="18"/>
                <w:lang w:eastAsia="zh-CN"/>
              </w:rPr>
              <w:t>精炼</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铁及其氧化物</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4277.72</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w:t>
            </w:r>
            <w:r>
              <w:rPr>
                <w:rFonts w:hint="eastAsia" w:eastAsiaTheme="minorEastAsia"/>
                <w:sz w:val="18"/>
                <w:szCs w:val="18"/>
              </w:rPr>
              <w:t>由钢渣</w:t>
            </w:r>
            <w:r>
              <w:rPr>
                <w:rFonts w:eastAsiaTheme="minorEastAsia"/>
                <w:sz w:val="18"/>
                <w:szCs w:val="18"/>
              </w:rPr>
              <w:t>车间处理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8</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废分子筛S</w:t>
            </w:r>
            <w:r>
              <w:rPr>
                <w:rFonts w:eastAsiaTheme="minorEastAsia"/>
                <w:sz w:val="18"/>
                <w:szCs w:val="18"/>
              </w:rPr>
              <w:t>9</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eastAsiaTheme="minorEastAsia"/>
                <w:sz w:val="18"/>
                <w:szCs w:val="18"/>
                <w:lang w:eastAsia="zh-CN"/>
              </w:rPr>
              <w:t>制氧</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分子筛</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0.1</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收集暂存后外卖处置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9</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废</w:t>
            </w:r>
            <w:r>
              <w:rPr>
                <w:rFonts w:eastAsiaTheme="minorEastAsia"/>
                <w:sz w:val="18"/>
                <w:szCs w:val="18"/>
              </w:rPr>
              <w:t>布袋</w:t>
            </w:r>
            <w:r>
              <w:rPr>
                <w:rFonts w:hint="eastAsia" w:eastAsiaTheme="minorEastAsia"/>
                <w:sz w:val="18"/>
                <w:szCs w:val="18"/>
              </w:rPr>
              <w:t>S10</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lang w:eastAsia="zh-CN"/>
              </w:rPr>
            </w:pPr>
            <w:r>
              <w:rPr>
                <w:rFonts w:hint="eastAsia" w:eastAsiaTheme="minorEastAsia"/>
                <w:sz w:val="18"/>
                <w:szCs w:val="18"/>
                <w:lang w:eastAsia="zh-CN"/>
              </w:rPr>
              <w:t>布袋更换</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废布袋</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危险废物</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HW49</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(900-041-49)</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11</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收集暂存</w:t>
            </w:r>
            <w:r>
              <w:rPr>
                <w:rFonts w:eastAsiaTheme="minorEastAsia"/>
                <w:sz w:val="18"/>
                <w:szCs w:val="18"/>
              </w:rPr>
              <w:t>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合计</w:t>
            </w:r>
          </w:p>
        </w:tc>
        <w:tc>
          <w:tcPr>
            <w:tcW w:w="1181" w:type="dxa"/>
            <w:shd w:val="clear" w:color="auto" w:fill="auto"/>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工业固废</w:t>
            </w:r>
          </w:p>
        </w:tc>
        <w:tc>
          <w:tcPr>
            <w:tcW w:w="992"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eastAsiaTheme="minorEastAsia"/>
                <w:sz w:val="18"/>
                <w:szCs w:val="18"/>
              </w:rPr>
              <w:t>一般固废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eastAsiaTheme="minorEastAsia"/>
                <w:sz w:val="18"/>
                <w:szCs w:val="18"/>
              </w:rPr>
              <w:t>/</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rPr>
            </w:pPr>
            <w:r>
              <w:rPr>
                <w:rFonts w:hint="eastAsia" w:ascii="Times New Roman" w:eastAsiaTheme="minorEastAsia"/>
                <w:sz w:val="18"/>
                <w:szCs w:val="18"/>
              </w:rPr>
              <w:t>/</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4427.82</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181" w:type="dxa"/>
            <w:shd w:val="clear" w:color="auto" w:fill="auto"/>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工业固废</w:t>
            </w:r>
          </w:p>
        </w:tc>
        <w:tc>
          <w:tcPr>
            <w:tcW w:w="992"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eastAsiaTheme="minorEastAsia"/>
                <w:sz w:val="18"/>
                <w:szCs w:val="18"/>
              </w:rPr>
              <w:t>危险固废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eastAsiaTheme="minorEastAsia"/>
                <w:sz w:val="18"/>
                <w:szCs w:val="18"/>
              </w:rPr>
              <w:t>/</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rPr>
            </w:pPr>
            <w:r>
              <w:rPr>
                <w:rFonts w:hint="eastAsia" w:ascii="Times New Roman" w:eastAsiaTheme="minorEastAsia"/>
                <w:sz w:val="18"/>
                <w:szCs w:val="18"/>
              </w:rPr>
              <w:t>/</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391.835</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r>
    </w:tbl>
    <w:p>
      <w:pPr>
        <w:pStyle w:val="3"/>
        <w:numPr>
          <w:ilvl w:val="1"/>
          <w:numId w:val="24"/>
        </w:numPr>
        <w:rPr>
          <w:rFonts w:ascii="Times New Roman" w:hAnsi="Times New Roman"/>
        </w:rPr>
      </w:pPr>
      <w:bookmarkStart w:id="118" w:name="_Toc10637156"/>
      <w:r>
        <w:rPr>
          <w:rFonts w:ascii="Times New Roman" w:hAnsi="Times New Roman"/>
        </w:rPr>
        <w:t>污染源强汇总</w:t>
      </w:r>
      <w:bookmarkEnd w:id="114"/>
      <w:bookmarkEnd w:id="115"/>
      <w:bookmarkEnd w:id="116"/>
      <w:bookmarkEnd w:id="117"/>
      <w:bookmarkEnd w:id="118"/>
    </w:p>
    <w:p>
      <w:pPr>
        <w:pStyle w:val="712"/>
        <w:rPr>
          <w:rFonts w:ascii="Times New Roman" w:hAnsi="Times New Roman" w:cs="Times New Roman"/>
          <w:spacing w:val="0"/>
          <w:lang w:eastAsia="zh-CN"/>
        </w:rPr>
      </w:pPr>
      <w:r>
        <w:rPr>
          <w:rFonts w:ascii="Times New Roman" w:hAnsi="Times New Roman" w:cs="Times New Roman"/>
          <w:spacing w:val="0"/>
          <w:lang w:eastAsia="zh-CN"/>
        </w:rPr>
        <w:t>本项目主要污染物排放核算</w:t>
      </w:r>
      <w:r>
        <w:rPr>
          <w:rFonts w:ascii="Times New Roman" w:hAnsi="Times New Roman" w:cs="Times New Roman"/>
          <w:spacing w:val="0"/>
        </w:rPr>
        <w:t>见表</w:t>
      </w:r>
      <w:r>
        <w:rPr>
          <w:rFonts w:hint="eastAsia" w:ascii="Times New Roman" w:hAnsi="Times New Roman" w:cs="Times New Roman"/>
          <w:spacing w:val="0"/>
          <w:lang w:eastAsia="zh-CN"/>
        </w:rPr>
        <w:t>4-</w:t>
      </w:r>
      <w:r>
        <w:rPr>
          <w:rFonts w:ascii="Times New Roman" w:hAnsi="Times New Roman" w:cs="Times New Roman"/>
          <w:spacing w:val="0"/>
          <w:lang w:eastAsia="zh-CN"/>
        </w:rPr>
        <w:t>15</w:t>
      </w:r>
      <w:r>
        <w:rPr>
          <w:rFonts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rPr>
        <w:t>本项目</w:t>
      </w:r>
      <w:r>
        <w:rPr>
          <w:rFonts w:hint="eastAsia" w:ascii="Times New Roman" w:hAnsi="Times New Roman"/>
          <w:lang w:eastAsia="zh-CN"/>
        </w:rPr>
        <w:t>新增</w:t>
      </w:r>
      <w:r>
        <w:rPr>
          <w:rFonts w:ascii="Times New Roman" w:hAnsi="Times New Roman"/>
          <w:lang w:eastAsia="zh-CN"/>
        </w:rPr>
        <w:t>主要</w:t>
      </w:r>
      <w:r>
        <w:rPr>
          <w:rFonts w:ascii="Times New Roman" w:hAnsi="Times New Roman"/>
        </w:rPr>
        <w:t>污染源</w:t>
      </w:r>
      <w:r>
        <w:rPr>
          <w:rFonts w:ascii="Times New Roman" w:hAnsi="Times New Roman"/>
          <w:lang w:eastAsia="zh-CN"/>
        </w:rPr>
        <w:t>物排放核算表  单位：t/a</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261"/>
        <w:gridCol w:w="1561"/>
        <w:gridCol w:w="1552"/>
        <w:gridCol w:w="1676"/>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tcMar>
              <w:left w:w="0" w:type="dxa"/>
              <w:right w:w="0" w:type="dxa"/>
            </w:tcMar>
            <w:vAlign w:val="center"/>
          </w:tcPr>
          <w:p>
            <w:pPr>
              <w:spacing w:line="360" w:lineRule="exact"/>
              <w:jc w:val="center"/>
              <w:rPr>
                <w:rFonts w:eastAsia="宋体"/>
                <w:sz w:val="21"/>
                <w:szCs w:val="21"/>
              </w:rPr>
            </w:pPr>
            <w:r>
              <w:rPr>
                <w:rFonts w:eastAsia="宋体"/>
                <w:sz w:val="21"/>
                <w:szCs w:val="21"/>
              </w:rPr>
              <w:t>污染类别</w:t>
            </w:r>
          </w:p>
        </w:tc>
        <w:tc>
          <w:tcPr>
            <w:tcW w:w="1261" w:type="dxa"/>
            <w:vAlign w:val="center"/>
          </w:tcPr>
          <w:p>
            <w:pPr>
              <w:spacing w:line="360" w:lineRule="exact"/>
              <w:jc w:val="center"/>
              <w:rPr>
                <w:rFonts w:eastAsia="宋体"/>
                <w:sz w:val="21"/>
                <w:szCs w:val="21"/>
              </w:rPr>
            </w:pPr>
            <w:r>
              <w:rPr>
                <w:rFonts w:eastAsia="宋体"/>
                <w:sz w:val="21"/>
                <w:szCs w:val="21"/>
              </w:rPr>
              <w:t>污染源</w:t>
            </w:r>
          </w:p>
        </w:tc>
        <w:tc>
          <w:tcPr>
            <w:tcW w:w="1561" w:type="dxa"/>
            <w:vAlign w:val="center"/>
          </w:tcPr>
          <w:p>
            <w:pPr>
              <w:spacing w:line="360" w:lineRule="exact"/>
              <w:jc w:val="center"/>
              <w:rPr>
                <w:rFonts w:eastAsia="宋体"/>
                <w:sz w:val="21"/>
                <w:szCs w:val="21"/>
              </w:rPr>
            </w:pPr>
            <w:r>
              <w:rPr>
                <w:rFonts w:eastAsia="宋体"/>
                <w:sz w:val="21"/>
                <w:szCs w:val="21"/>
              </w:rPr>
              <w:t>污染因子</w:t>
            </w:r>
          </w:p>
        </w:tc>
        <w:tc>
          <w:tcPr>
            <w:tcW w:w="1552" w:type="dxa"/>
            <w:vAlign w:val="center"/>
          </w:tcPr>
          <w:p>
            <w:pPr>
              <w:spacing w:line="360" w:lineRule="exact"/>
              <w:jc w:val="center"/>
              <w:rPr>
                <w:rFonts w:eastAsia="宋体"/>
                <w:sz w:val="21"/>
                <w:szCs w:val="21"/>
              </w:rPr>
            </w:pPr>
            <w:r>
              <w:rPr>
                <w:rFonts w:eastAsia="宋体"/>
                <w:sz w:val="21"/>
                <w:szCs w:val="21"/>
              </w:rPr>
              <w:t>产生量</w:t>
            </w:r>
          </w:p>
        </w:tc>
        <w:tc>
          <w:tcPr>
            <w:tcW w:w="1676" w:type="dxa"/>
            <w:vAlign w:val="center"/>
          </w:tcPr>
          <w:p>
            <w:pPr>
              <w:spacing w:line="360" w:lineRule="exact"/>
              <w:jc w:val="center"/>
              <w:rPr>
                <w:rFonts w:eastAsia="宋体"/>
                <w:sz w:val="21"/>
                <w:szCs w:val="21"/>
              </w:rPr>
            </w:pPr>
            <w:r>
              <w:rPr>
                <w:rFonts w:eastAsia="宋体"/>
                <w:sz w:val="21"/>
                <w:szCs w:val="21"/>
              </w:rPr>
              <w:t>削减量</w:t>
            </w:r>
          </w:p>
        </w:tc>
        <w:tc>
          <w:tcPr>
            <w:tcW w:w="1720" w:type="dxa"/>
            <w:vAlign w:val="center"/>
          </w:tcPr>
          <w:p>
            <w:pPr>
              <w:spacing w:line="360" w:lineRule="exact"/>
              <w:jc w:val="center"/>
              <w:rPr>
                <w:rFonts w:eastAsia="宋体"/>
                <w:sz w:val="21"/>
                <w:szCs w:val="21"/>
              </w:rPr>
            </w:pPr>
            <w:r>
              <w:rPr>
                <w:rFonts w:eastAsia="宋体"/>
                <w:sz w:val="21"/>
                <w:szCs w:val="21"/>
              </w:rPr>
              <w:t>排环境量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997" w:type="dxa"/>
            <w:vMerge w:val="restart"/>
            <w:tcMar>
              <w:left w:w="0" w:type="dxa"/>
              <w:right w:w="0" w:type="dxa"/>
            </w:tcMar>
            <w:vAlign w:val="center"/>
          </w:tcPr>
          <w:p>
            <w:pPr>
              <w:spacing w:line="360" w:lineRule="exact"/>
              <w:jc w:val="center"/>
              <w:rPr>
                <w:rFonts w:eastAsia="宋体"/>
                <w:sz w:val="21"/>
                <w:szCs w:val="21"/>
              </w:rPr>
            </w:pPr>
            <w:r>
              <w:rPr>
                <w:rFonts w:eastAsia="宋体"/>
                <w:sz w:val="21"/>
                <w:szCs w:val="21"/>
              </w:rPr>
              <w:t>废气</w:t>
            </w:r>
          </w:p>
        </w:tc>
        <w:tc>
          <w:tcPr>
            <w:tcW w:w="1261" w:type="dxa"/>
            <w:vAlign w:val="center"/>
          </w:tcPr>
          <w:p>
            <w:pPr>
              <w:spacing w:line="360" w:lineRule="exact"/>
              <w:jc w:val="center"/>
              <w:rPr>
                <w:rFonts w:eastAsia="宋体"/>
                <w:sz w:val="21"/>
                <w:szCs w:val="21"/>
              </w:rPr>
            </w:pPr>
            <w:r>
              <w:rPr>
                <w:rFonts w:eastAsia="宋体"/>
                <w:sz w:val="21"/>
                <w:szCs w:val="21"/>
              </w:rPr>
              <w:t>生产废气</w:t>
            </w:r>
          </w:p>
        </w:tc>
        <w:tc>
          <w:tcPr>
            <w:tcW w:w="1561" w:type="dxa"/>
            <w:shd w:val="clear" w:color="auto" w:fill="auto"/>
            <w:vAlign w:val="center"/>
          </w:tcPr>
          <w:p>
            <w:pPr>
              <w:spacing w:line="360" w:lineRule="exact"/>
              <w:jc w:val="center"/>
              <w:rPr>
                <w:rFonts w:eastAsiaTheme="minorEastAsia"/>
                <w:sz w:val="21"/>
                <w:szCs w:val="21"/>
              </w:rPr>
            </w:pPr>
            <w:r>
              <w:rPr>
                <w:rFonts w:eastAsiaTheme="minorEastAsia"/>
                <w:sz w:val="21"/>
                <w:szCs w:val="21"/>
              </w:rPr>
              <w:t>颗粒物</w:t>
            </w:r>
          </w:p>
        </w:tc>
        <w:tc>
          <w:tcPr>
            <w:tcW w:w="1552" w:type="dxa"/>
            <w:shd w:val="clear" w:color="auto" w:fill="auto"/>
            <w:vAlign w:val="center"/>
          </w:tcPr>
          <w:p>
            <w:pPr>
              <w:spacing w:line="360" w:lineRule="exact"/>
              <w:jc w:val="center"/>
              <w:rPr>
                <w:rFonts w:eastAsia="宋体"/>
                <w:sz w:val="21"/>
                <w:szCs w:val="21"/>
              </w:rPr>
            </w:pPr>
            <w:r>
              <w:rPr>
                <w:sz w:val="21"/>
                <w:szCs w:val="21"/>
              </w:rPr>
              <w:t>401.908</w:t>
            </w:r>
          </w:p>
        </w:tc>
        <w:tc>
          <w:tcPr>
            <w:tcW w:w="1676" w:type="dxa"/>
            <w:shd w:val="clear" w:color="auto" w:fill="auto"/>
            <w:vAlign w:val="center"/>
          </w:tcPr>
          <w:p>
            <w:pPr>
              <w:spacing w:line="360" w:lineRule="exact"/>
              <w:jc w:val="center"/>
              <w:rPr>
                <w:rFonts w:eastAsia="宋体"/>
                <w:sz w:val="21"/>
                <w:szCs w:val="21"/>
              </w:rPr>
            </w:pPr>
            <w:r>
              <w:rPr>
                <w:sz w:val="21"/>
                <w:szCs w:val="21"/>
              </w:rPr>
              <w:t>389.697</w:t>
            </w:r>
          </w:p>
        </w:tc>
        <w:tc>
          <w:tcPr>
            <w:tcW w:w="1720" w:type="dxa"/>
            <w:shd w:val="clear" w:color="auto" w:fill="auto"/>
            <w:vAlign w:val="center"/>
          </w:tcPr>
          <w:p>
            <w:pPr>
              <w:spacing w:line="360" w:lineRule="exact"/>
              <w:jc w:val="center"/>
              <w:rPr>
                <w:rFonts w:eastAsia="宋体"/>
                <w:sz w:val="21"/>
                <w:szCs w:val="21"/>
              </w:rPr>
            </w:pPr>
            <w:r>
              <w:rPr>
                <w:sz w:val="21"/>
                <w:szCs w:val="21"/>
                <w:lang w:val="zh-CN"/>
              </w:rPr>
              <w:t>12.211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continue"/>
            <w:vAlign w:val="center"/>
          </w:tcPr>
          <w:p>
            <w:pPr>
              <w:spacing w:line="360" w:lineRule="exact"/>
              <w:jc w:val="center"/>
              <w:rPr>
                <w:rFonts w:eastAsia="宋体"/>
                <w:sz w:val="21"/>
                <w:szCs w:val="21"/>
              </w:rPr>
            </w:pPr>
          </w:p>
        </w:tc>
        <w:tc>
          <w:tcPr>
            <w:tcW w:w="1261" w:type="dxa"/>
            <w:vMerge w:val="restart"/>
            <w:vAlign w:val="center"/>
          </w:tcPr>
          <w:p>
            <w:pPr>
              <w:spacing w:line="360" w:lineRule="exact"/>
              <w:jc w:val="center"/>
              <w:rPr>
                <w:rFonts w:eastAsia="宋体"/>
                <w:sz w:val="21"/>
                <w:szCs w:val="21"/>
              </w:rPr>
            </w:pPr>
            <w:r>
              <w:rPr>
                <w:rFonts w:eastAsia="宋体"/>
                <w:sz w:val="21"/>
                <w:szCs w:val="21"/>
              </w:rPr>
              <w:t>天然气燃烧废气</w:t>
            </w:r>
          </w:p>
        </w:tc>
        <w:tc>
          <w:tcPr>
            <w:tcW w:w="1561" w:type="dxa"/>
            <w:shd w:val="clear" w:color="auto" w:fill="auto"/>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烟尘</w:t>
            </w:r>
          </w:p>
        </w:tc>
        <w:tc>
          <w:tcPr>
            <w:tcW w:w="1552" w:type="dxa"/>
            <w:shd w:val="clear" w:color="auto" w:fill="auto"/>
            <w:vAlign w:val="center"/>
          </w:tcPr>
          <w:p>
            <w:pPr>
              <w:spacing w:line="360" w:lineRule="exact"/>
              <w:jc w:val="center"/>
              <w:rPr>
                <w:rFonts w:eastAsia="宋体"/>
                <w:sz w:val="21"/>
                <w:szCs w:val="21"/>
              </w:rPr>
            </w:pPr>
            <w:r>
              <w:rPr>
                <w:rFonts w:eastAsiaTheme="minorEastAsia"/>
                <w:sz w:val="21"/>
                <w:szCs w:val="21"/>
              </w:rPr>
              <w:t>0.145</w:t>
            </w:r>
          </w:p>
        </w:tc>
        <w:tc>
          <w:tcPr>
            <w:tcW w:w="1676" w:type="dxa"/>
            <w:shd w:val="clear" w:color="auto" w:fill="auto"/>
            <w:vAlign w:val="center"/>
          </w:tcPr>
          <w:p>
            <w:pPr>
              <w:spacing w:line="360" w:lineRule="exact"/>
              <w:jc w:val="center"/>
              <w:rPr>
                <w:rFonts w:eastAsia="宋体"/>
                <w:sz w:val="21"/>
                <w:szCs w:val="21"/>
              </w:rPr>
            </w:pPr>
            <w:r>
              <w:rPr>
                <w:sz w:val="21"/>
                <w:szCs w:val="21"/>
              </w:rPr>
              <w:t>0</w:t>
            </w:r>
          </w:p>
        </w:tc>
        <w:tc>
          <w:tcPr>
            <w:tcW w:w="1720" w:type="dxa"/>
            <w:shd w:val="clear" w:color="auto" w:fill="auto"/>
            <w:vAlign w:val="center"/>
          </w:tcPr>
          <w:p>
            <w:pPr>
              <w:spacing w:line="360" w:lineRule="exact"/>
              <w:jc w:val="center"/>
              <w:rPr>
                <w:rFonts w:eastAsia="宋体"/>
                <w:sz w:val="21"/>
                <w:szCs w:val="21"/>
              </w:rPr>
            </w:pPr>
            <w:r>
              <w:rPr>
                <w:rFonts w:eastAsiaTheme="minorEastAsia"/>
                <w:sz w:val="21"/>
                <w:szCs w:val="21"/>
              </w:rPr>
              <w:t>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continue"/>
            <w:vAlign w:val="center"/>
          </w:tcPr>
          <w:p>
            <w:pPr>
              <w:spacing w:line="360" w:lineRule="exact"/>
              <w:jc w:val="center"/>
              <w:rPr>
                <w:rFonts w:eastAsia="宋体"/>
                <w:sz w:val="21"/>
                <w:szCs w:val="21"/>
              </w:rPr>
            </w:pPr>
          </w:p>
        </w:tc>
        <w:tc>
          <w:tcPr>
            <w:tcW w:w="1261" w:type="dxa"/>
            <w:vMerge w:val="continue"/>
            <w:vAlign w:val="center"/>
          </w:tcPr>
          <w:p>
            <w:pPr>
              <w:spacing w:line="360" w:lineRule="exact"/>
              <w:jc w:val="center"/>
              <w:rPr>
                <w:rFonts w:eastAsia="宋体"/>
                <w:sz w:val="21"/>
                <w:szCs w:val="21"/>
              </w:rPr>
            </w:pPr>
          </w:p>
        </w:tc>
        <w:tc>
          <w:tcPr>
            <w:tcW w:w="1561" w:type="dxa"/>
            <w:shd w:val="clear" w:color="auto" w:fill="auto"/>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SO</w:t>
            </w:r>
            <w:r>
              <w:rPr>
                <w:rFonts w:ascii="Times New Roman" w:hAnsi="Times New Roman" w:cs="Times New Roman"/>
                <w:spacing w:val="0"/>
                <w:sz w:val="21"/>
                <w:szCs w:val="21"/>
                <w:vertAlign w:val="subscript"/>
                <w:lang w:val="zh-CN"/>
              </w:rPr>
              <w:t>2</w:t>
            </w:r>
          </w:p>
        </w:tc>
        <w:tc>
          <w:tcPr>
            <w:tcW w:w="1552" w:type="dxa"/>
            <w:shd w:val="clear" w:color="auto" w:fill="auto"/>
            <w:vAlign w:val="center"/>
          </w:tcPr>
          <w:p>
            <w:pPr>
              <w:spacing w:line="360" w:lineRule="exact"/>
              <w:jc w:val="center"/>
              <w:rPr>
                <w:rFonts w:eastAsia="宋体"/>
                <w:sz w:val="21"/>
                <w:szCs w:val="21"/>
              </w:rPr>
            </w:pPr>
            <w:r>
              <w:rPr>
                <w:rFonts w:eastAsiaTheme="minorEastAsia"/>
                <w:sz w:val="21"/>
                <w:szCs w:val="21"/>
              </w:rPr>
              <w:t>0.061</w:t>
            </w:r>
          </w:p>
        </w:tc>
        <w:tc>
          <w:tcPr>
            <w:tcW w:w="1676" w:type="dxa"/>
            <w:shd w:val="clear" w:color="auto" w:fill="auto"/>
            <w:vAlign w:val="center"/>
          </w:tcPr>
          <w:p>
            <w:pPr>
              <w:spacing w:line="360" w:lineRule="exact"/>
              <w:jc w:val="center"/>
              <w:rPr>
                <w:rFonts w:eastAsia="宋体"/>
                <w:sz w:val="21"/>
                <w:szCs w:val="21"/>
              </w:rPr>
            </w:pPr>
            <w:r>
              <w:rPr>
                <w:sz w:val="21"/>
                <w:szCs w:val="21"/>
              </w:rPr>
              <w:t>0</w:t>
            </w:r>
          </w:p>
        </w:tc>
        <w:tc>
          <w:tcPr>
            <w:tcW w:w="1720" w:type="dxa"/>
            <w:shd w:val="clear" w:color="auto" w:fill="auto"/>
            <w:vAlign w:val="center"/>
          </w:tcPr>
          <w:p>
            <w:pPr>
              <w:spacing w:line="360" w:lineRule="exact"/>
              <w:jc w:val="center"/>
              <w:rPr>
                <w:rFonts w:eastAsia="宋体"/>
                <w:sz w:val="21"/>
                <w:szCs w:val="21"/>
              </w:rPr>
            </w:pPr>
            <w:r>
              <w:rPr>
                <w:rFonts w:eastAsiaTheme="minorEastAsia"/>
                <w:sz w:val="21"/>
                <w:szCs w:val="21"/>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continue"/>
            <w:vAlign w:val="center"/>
          </w:tcPr>
          <w:p>
            <w:pPr>
              <w:spacing w:line="360" w:lineRule="exact"/>
              <w:jc w:val="center"/>
              <w:rPr>
                <w:rFonts w:eastAsia="宋体"/>
                <w:sz w:val="21"/>
                <w:szCs w:val="21"/>
              </w:rPr>
            </w:pPr>
          </w:p>
        </w:tc>
        <w:tc>
          <w:tcPr>
            <w:tcW w:w="1261" w:type="dxa"/>
            <w:vMerge w:val="continue"/>
            <w:vAlign w:val="center"/>
          </w:tcPr>
          <w:p>
            <w:pPr>
              <w:spacing w:line="360" w:lineRule="exact"/>
              <w:jc w:val="center"/>
              <w:rPr>
                <w:rFonts w:eastAsia="宋体"/>
                <w:sz w:val="21"/>
                <w:szCs w:val="21"/>
              </w:rPr>
            </w:pPr>
          </w:p>
        </w:tc>
        <w:tc>
          <w:tcPr>
            <w:tcW w:w="1561" w:type="dxa"/>
            <w:shd w:val="clear" w:color="auto" w:fill="auto"/>
            <w:vAlign w:val="center"/>
          </w:tcPr>
          <w:p>
            <w:pPr>
              <w:pStyle w:val="4"/>
              <w:spacing w:line="360" w:lineRule="exact"/>
              <w:ind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NO</w:t>
            </w:r>
            <w:r>
              <w:rPr>
                <w:rFonts w:ascii="Times New Roman" w:hAnsi="Times New Roman" w:cs="Times New Roman"/>
                <w:spacing w:val="0"/>
                <w:sz w:val="21"/>
                <w:szCs w:val="21"/>
                <w:vertAlign w:val="subscript"/>
                <w:lang w:val="zh-CN"/>
              </w:rPr>
              <w:t>x</w:t>
            </w:r>
          </w:p>
        </w:tc>
        <w:tc>
          <w:tcPr>
            <w:tcW w:w="1552" w:type="dxa"/>
            <w:shd w:val="clear" w:color="auto" w:fill="auto"/>
            <w:vAlign w:val="center"/>
          </w:tcPr>
          <w:p>
            <w:pPr>
              <w:spacing w:line="360" w:lineRule="exact"/>
              <w:jc w:val="center"/>
              <w:rPr>
                <w:rFonts w:eastAsia="宋体"/>
                <w:sz w:val="21"/>
                <w:szCs w:val="21"/>
              </w:rPr>
            </w:pPr>
            <w:r>
              <w:rPr>
                <w:rFonts w:eastAsiaTheme="minorEastAsia"/>
                <w:sz w:val="21"/>
                <w:szCs w:val="21"/>
              </w:rPr>
              <w:t>0.381</w:t>
            </w:r>
          </w:p>
        </w:tc>
        <w:tc>
          <w:tcPr>
            <w:tcW w:w="1676" w:type="dxa"/>
            <w:shd w:val="clear" w:color="auto" w:fill="auto"/>
            <w:vAlign w:val="center"/>
          </w:tcPr>
          <w:p>
            <w:pPr>
              <w:spacing w:line="360" w:lineRule="exact"/>
              <w:jc w:val="center"/>
              <w:rPr>
                <w:rFonts w:eastAsia="宋体"/>
                <w:sz w:val="21"/>
                <w:szCs w:val="21"/>
              </w:rPr>
            </w:pPr>
            <w:r>
              <w:rPr>
                <w:sz w:val="21"/>
                <w:szCs w:val="21"/>
              </w:rPr>
              <w:t>0</w:t>
            </w:r>
          </w:p>
        </w:tc>
        <w:tc>
          <w:tcPr>
            <w:tcW w:w="1720" w:type="dxa"/>
            <w:shd w:val="clear" w:color="auto" w:fill="auto"/>
            <w:vAlign w:val="center"/>
          </w:tcPr>
          <w:p>
            <w:pPr>
              <w:spacing w:line="360" w:lineRule="exact"/>
              <w:jc w:val="center"/>
              <w:rPr>
                <w:rFonts w:eastAsia="宋体"/>
                <w:sz w:val="21"/>
                <w:szCs w:val="21"/>
              </w:rPr>
            </w:pPr>
            <w:r>
              <w:rPr>
                <w:rFonts w:eastAsiaTheme="minorEastAsia"/>
                <w:sz w:val="21"/>
                <w:szCs w:val="21"/>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997" w:type="dxa"/>
            <w:vMerge w:val="restart"/>
            <w:vAlign w:val="center"/>
          </w:tcPr>
          <w:p>
            <w:pPr>
              <w:spacing w:line="360" w:lineRule="exact"/>
              <w:jc w:val="center"/>
              <w:rPr>
                <w:rFonts w:eastAsia="宋体"/>
                <w:sz w:val="21"/>
                <w:szCs w:val="21"/>
              </w:rPr>
            </w:pPr>
            <w:r>
              <w:rPr>
                <w:rFonts w:eastAsia="宋体"/>
                <w:sz w:val="21"/>
                <w:szCs w:val="21"/>
              </w:rPr>
              <w:t>废水</w:t>
            </w:r>
          </w:p>
        </w:tc>
        <w:tc>
          <w:tcPr>
            <w:tcW w:w="1261" w:type="dxa"/>
            <w:vMerge w:val="restart"/>
            <w:tcMar>
              <w:left w:w="0" w:type="dxa"/>
              <w:right w:w="0" w:type="dxa"/>
            </w:tcMar>
            <w:vAlign w:val="center"/>
          </w:tcPr>
          <w:p>
            <w:pPr>
              <w:spacing w:line="360" w:lineRule="exact"/>
              <w:jc w:val="center"/>
              <w:rPr>
                <w:rFonts w:eastAsia="宋体"/>
                <w:sz w:val="21"/>
                <w:szCs w:val="21"/>
              </w:rPr>
            </w:pPr>
            <w:r>
              <w:rPr>
                <w:rFonts w:eastAsia="宋体"/>
                <w:sz w:val="21"/>
                <w:szCs w:val="21"/>
              </w:rPr>
              <w:t>综合废水</w:t>
            </w:r>
          </w:p>
          <w:p>
            <w:pPr>
              <w:spacing w:line="360" w:lineRule="exact"/>
              <w:jc w:val="center"/>
              <w:rPr>
                <w:rFonts w:eastAsia="宋体"/>
                <w:sz w:val="21"/>
                <w:szCs w:val="21"/>
              </w:rPr>
            </w:pPr>
            <w:r>
              <w:rPr>
                <w:rFonts w:eastAsia="宋体"/>
                <w:sz w:val="21"/>
                <w:szCs w:val="21"/>
              </w:rPr>
              <w:t>（合计）</w:t>
            </w:r>
          </w:p>
        </w:tc>
        <w:tc>
          <w:tcPr>
            <w:tcW w:w="1561" w:type="dxa"/>
            <w:vAlign w:val="center"/>
          </w:tcPr>
          <w:p>
            <w:pPr>
              <w:spacing w:line="360" w:lineRule="exact"/>
              <w:jc w:val="center"/>
              <w:rPr>
                <w:rFonts w:eastAsiaTheme="minorEastAsia"/>
                <w:sz w:val="21"/>
                <w:szCs w:val="21"/>
                <w:lang w:val="zh-CN"/>
              </w:rPr>
            </w:pPr>
            <w:r>
              <w:rPr>
                <w:rFonts w:eastAsiaTheme="minorEastAsia"/>
                <w:sz w:val="21"/>
                <w:szCs w:val="21"/>
                <w:lang w:val="zh-CN"/>
              </w:rPr>
              <w:t>废水量</w:t>
            </w:r>
          </w:p>
        </w:tc>
        <w:tc>
          <w:tcPr>
            <w:tcW w:w="1552" w:type="dxa"/>
            <w:vAlign w:val="center"/>
          </w:tcPr>
          <w:p>
            <w:pPr>
              <w:widowControl/>
              <w:spacing w:line="360" w:lineRule="exact"/>
              <w:jc w:val="center"/>
              <w:rPr>
                <w:rFonts w:eastAsiaTheme="minorEastAsia"/>
                <w:sz w:val="21"/>
                <w:szCs w:val="21"/>
                <w:lang w:val="zh-CN"/>
              </w:rPr>
            </w:pPr>
            <w:r>
              <w:rPr>
                <w:rFonts w:eastAsia="宋体"/>
                <w:sz w:val="21"/>
                <w:szCs w:val="21"/>
              </w:rPr>
              <w:t>32.8</w:t>
            </w:r>
            <w:r>
              <w:rPr>
                <w:rFonts w:eastAsia="宋体"/>
                <w:sz w:val="21"/>
                <w:szCs w:val="21"/>
                <w:lang w:eastAsia="en-US"/>
              </w:rPr>
              <w:t>t/d（</w:t>
            </w:r>
            <w:r>
              <w:rPr>
                <w:rFonts w:eastAsia="宋体"/>
                <w:sz w:val="21"/>
                <w:szCs w:val="21"/>
              </w:rPr>
              <w:t>9841t/</w:t>
            </w:r>
            <w:r>
              <w:rPr>
                <w:rFonts w:eastAsia="宋体"/>
                <w:sz w:val="21"/>
                <w:szCs w:val="21"/>
                <w:lang w:eastAsia="en-US"/>
              </w:rPr>
              <w:t>a）</w:t>
            </w:r>
          </w:p>
        </w:tc>
        <w:tc>
          <w:tcPr>
            <w:tcW w:w="1676" w:type="dxa"/>
            <w:vAlign w:val="center"/>
          </w:tcPr>
          <w:p>
            <w:pPr>
              <w:spacing w:line="360" w:lineRule="exact"/>
              <w:jc w:val="center"/>
              <w:rPr>
                <w:rFonts w:eastAsia="宋体"/>
                <w:sz w:val="21"/>
                <w:szCs w:val="21"/>
                <w:lang w:eastAsia="en-US"/>
              </w:rPr>
            </w:pPr>
            <w:r>
              <w:rPr>
                <w:rFonts w:eastAsia="宋体"/>
                <w:sz w:val="21"/>
                <w:szCs w:val="21"/>
              </w:rPr>
              <w:t>32.8</w:t>
            </w:r>
            <w:r>
              <w:rPr>
                <w:rFonts w:eastAsia="宋体"/>
                <w:sz w:val="21"/>
                <w:szCs w:val="21"/>
                <w:lang w:eastAsia="en-US"/>
              </w:rPr>
              <w:t>t/d</w:t>
            </w:r>
          </w:p>
          <w:p>
            <w:pPr>
              <w:spacing w:line="360" w:lineRule="exact"/>
              <w:jc w:val="center"/>
              <w:rPr>
                <w:rFonts w:eastAsiaTheme="minorEastAsia"/>
                <w:sz w:val="21"/>
                <w:szCs w:val="21"/>
                <w:lang w:val="zh-CN"/>
              </w:rPr>
            </w:pPr>
            <w:r>
              <w:rPr>
                <w:rFonts w:eastAsia="宋体"/>
                <w:sz w:val="21"/>
                <w:szCs w:val="21"/>
                <w:lang w:eastAsia="en-US"/>
              </w:rPr>
              <w:t>（</w:t>
            </w:r>
            <w:r>
              <w:rPr>
                <w:rFonts w:eastAsia="宋体"/>
                <w:sz w:val="21"/>
                <w:szCs w:val="21"/>
              </w:rPr>
              <w:t>9841t/</w:t>
            </w:r>
            <w:r>
              <w:rPr>
                <w:rFonts w:eastAsia="宋体"/>
                <w:sz w:val="21"/>
                <w:szCs w:val="21"/>
                <w:lang w:eastAsia="en-US"/>
              </w:rPr>
              <w:t>a）</w:t>
            </w:r>
          </w:p>
        </w:tc>
        <w:tc>
          <w:tcPr>
            <w:tcW w:w="1720" w:type="dxa"/>
            <w:vAlign w:val="center"/>
          </w:tcPr>
          <w:p>
            <w:pPr>
              <w:widowControl/>
              <w:spacing w:line="360" w:lineRule="exact"/>
              <w:jc w:val="center"/>
              <w:rPr>
                <w:rFonts w:eastAsiaTheme="minorEastAsia"/>
                <w:sz w:val="21"/>
                <w:szCs w:val="21"/>
                <w:lang w:val="zh-CN"/>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continue"/>
            <w:vAlign w:val="center"/>
          </w:tcPr>
          <w:p>
            <w:pPr>
              <w:spacing w:line="360" w:lineRule="exact"/>
              <w:jc w:val="center"/>
              <w:rPr>
                <w:rFonts w:eastAsia="宋体"/>
                <w:sz w:val="21"/>
                <w:szCs w:val="21"/>
              </w:rPr>
            </w:pPr>
          </w:p>
        </w:tc>
        <w:tc>
          <w:tcPr>
            <w:tcW w:w="1261" w:type="dxa"/>
            <w:vMerge w:val="continue"/>
            <w:vAlign w:val="center"/>
          </w:tcPr>
          <w:p>
            <w:pPr>
              <w:spacing w:line="360" w:lineRule="exact"/>
              <w:jc w:val="center"/>
              <w:rPr>
                <w:rFonts w:eastAsia="宋体"/>
                <w:sz w:val="21"/>
                <w:szCs w:val="21"/>
              </w:rPr>
            </w:pPr>
          </w:p>
        </w:tc>
        <w:tc>
          <w:tcPr>
            <w:tcW w:w="1561" w:type="dxa"/>
            <w:vAlign w:val="center"/>
          </w:tcPr>
          <w:p>
            <w:pPr>
              <w:spacing w:line="360" w:lineRule="exact"/>
              <w:jc w:val="center"/>
              <w:rPr>
                <w:rFonts w:eastAsiaTheme="minorEastAsia"/>
                <w:sz w:val="21"/>
                <w:szCs w:val="21"/>
                <w:lang w:val="zh-CN"/>
              </w:rPr>
            </w:pPr>
            <w:r>
              <w:rPr>
                <w:rFonts w:eastAsiaTheme="minorEastAsia"/>
                <w:sz w:val="21"/>
                <w:szCs w:val="21"/>
                <w:lang w:val="zh-CN"/>
              </w:rPr>
              <w:t>COD</w:t>
            </w:r>
            <w:r>
              <w:rPr>
                <w:rFonts w:eastAsiaTheme="minorEastAsia"/>
                <w:sz w:val="21"/>
                <w:szCs w:val="21"/>
                <w:vertAlign w:val="subscript"/>
                <w:lang w:val="zh-CN"/>
              </w:rPr>
              <w:t>Cr</w:t>
            </w:r>
          </w:p>
        </w:tc>
        <w:tc>
          <w:tcPr>
            <w:tcW w:w="1552" w:type="dxa"/>
            <w:vAlign w:val="center"/>
          </w:tcPr>
          <w:p>
            <w:pPr>
              <w:spacing w:line="360" w:lineRule="exact"/>
              <w:jc w:val="center"/>
              <w:rPr>
                <w:rFonts w:eastAsiaTheme="minorEastAsia"/>
                <w:sz w:val="21"/>
                <w:szCs w:val="21"/>
                <w:lang w:val="zh-CN"/>
              </w:rPr>
            </w:pPr>
            <w:r>
              <w:rPr>
                <w:rFonts w:eastAsia="宋体"/>
                <w:sz w:val="21"/>
                <w:szCs w:val="21"/>
              </w:rPr>
              <w:t>0.74</w:t>
            </w:r>
          </w:p>
        </w:tc>
        <w:tc>
          <w:tcPr>
            <w:tcW w:w="1676" w:type="dxa"/>
            <w:vAlign w:val="center"/>
          </w:tcPr>
          <w:p>
            <w:pPr>
              <w:spacing w:line="360" w:lineRule="exact"/>
              <w:jc w:val="center"/>
              <w:rPr>
                <w:rFonts w:eastAsiaTheme="minorEastAsia"/>
                <w:sz w:val="21"/>
                <w:szCs w:val="21"/>
                <w:lang w:val="zh-CN"/>
              </w:rPr>
            </w:pPr>
            <w:r>
              <w:rPr>
                <w:rFonts w:eastAsiaTheme="minorEastAsia"/>
                <w:sz w:val="21"/>
                <w:szCs w:val="21"/>
                <w:lang w:val="zh-CN"/>
              </w:rPr>
              <w:t>0.74</w:t>
            </w:r>
          </w:p>
        </w:tc>
        <w:tc>
          <w:tcPr>
            <w:tcW w:w="1720" w:type="dxa"/>
            <w:vAlign w:val="center"/>
          </w:tcPr>
          <w:p>
            <w:pPr>
              <w:spacing w:line="360" w:lineRule="exact"/>
              <w:jc w:val="center"/>
              <w:rPr>
                <w:rFonts w:eastAsia="宋体"/>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restart"/>
            <w:vAlign w:val="center"/>
          </w:tcPr>
          <w:p>
            <w:pPr>
              <w:spacing w:line="360" w:lineRule="exact"/>
              <w:jc w:val="center"/>
              <w:rPr>
                <w:rFonts w:eastAsia="宋体"/>
                <w:sz w:val="21"/>
                <w:szCs w:val="21"/>
              </w:rPr>
            </w:pPr>
            <w:r>
              <w:rPr>
                <w:rFonts w:eastAsia="宋体"/>
                <w:sz w:val="21"/>
                <w:szCs w:val="21"/>
              </w:rPr>
              <w:t>固废</w:t>
            </w:r>
          </w:p>
        </w:tc>
        <w:tc>
          <w:tcPr>
            <w:tcW w:w="2822" w:type="dxa"/>
            <w:gridSpan w:val="2"/>
            <w:vAlign w:val="center"/>
          </w:tcPr>
          <w:p>
            <w:pPr>
              <w:spacing w:line="360" w:lineRule="exact"/>
              <w:jc w:val="center"/>
              <w:rPr>
                <w:rFonts w:eastAsia="宋体"/>
                <w:sz w:val="21"/>
                <w:szCs w:val="21"/>
              </w:rPr>
            </w:pPr>
            <w:r>
              <w:rPr>
                <w:rFonts w:eastAsia="宋体"/>
                <w:sz w:val="21"/>
                <w:szCs w:val="21"/>
              </w:rPr>
              <w:t>一般固废</w:t>
            </w:r>
          </w:p>
        </w:tc>
        <w:tc>
          <w:tcPr>
            <w:tcW w:w="1552" w:type="dxa"/>
            <w:vAlign w:val="center"/>
          </w:tcPr>
          <w:p>
            <w:pPr>
              <w:spacing w:line="360" w:lineRule="exact"/>
              <w:jc w:val="center"/>
              <w:rPr>
                <w:rFonts w:eastAsia="宋体"/>
                <w:sz w:val="21"/>
                <w:szCs w:val="21"/>
              </w:rPr>
            </w:pPr>
            <w:r>
              <w:rPr>
                <w:rFonts w:eastAsiaTheme="minorEastAsia"/>
                <w:sz w:val="21"/>
                <w:szCs w:val="21"/>
              </w:rPr>
              <w:t>4427.82</w:t>
            </w:r>
          </w:p>
        </w:tc>
        <w:tc>
          <w:tcPr>
            <w:tcW w:w="1676" w:type="dxa"/>
            <w:vAlign w:val="center"/>
          </w:tcPr>
          <w:p>
            <w:pPr>
              <w:spacing w:line="360" w:lineRule="exact"/>
              <w:jc w:val="center"/>
              <w:rPr>
                <w:rFonts w:eastAsia="宋体"/>
                <w:sz w:val="21"/>
                <w:szCs w:val="21"/>
              </w:rPr>
            </w:pPr>
            <w:r>
              <w:rPr>
                <w:rFonts w:eastAsiaTheme="minorEastAsia"/>
                <w:sz w:val="21"/>
                <w:szCs w:val="21"/>
              </w:rPr>
              <w:t>4427.82</w:t>
            </w:r>
          </w:p>
        </w:tc>
        <w:tc>
          <w:tcPr>
            <w:tcW w:w="1720" w:type="dxa"/>
            <w:vAlign w:val="center"/>
          </w:tcPr>
          <w:p>
            <w:pPr>
              <w:spacing w:line="360" w:lineRule="exact"/>
              <w:jc w:val="center"/>
              <w:rPr>
                <w:rFonts w:eastAsia="宋体"/>
                <w:sz w:val="21"/>
                <w:szCs w:val="21"/>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Merge w:val="continue"/>
            <w:vAlign w:val="center"/>
          </w:tcPr>
          <w:p>
            <w:pPr>
              <w:spacing w:line="360" w:lineRule="exact"/>
              <w:jc w:val="center"/>
              <w:rPr>
                <w:rFonts w:eastAsia="宋体"/>
                <w:sz w:val="21"/>
                <w:szCs w:val="21"/>
              </w:rPr>
            </w:pPr>
          </w:p>
        </w:tc>
        <w:tc>
          <w:tcPr>
            <w:tcW w:w="2822" w:type="dxa"/>
            <w:gridSpan w:val="2"/>
            <w:vAlign w:val="center"/>
          </w:tcPr>
          <w:p>
            <w:pPr>
              <w:spacing w:line="360" w:lineRule="exact"/>
              <w:jc w:val="center"/>
              <w:rPr>
                <w:rFonts w:eastAsia="宋体"/>
                <w:sz w:val="21"/>
                <w:szCs w:val="21"/>
              </w:rPr>
            </w:pPr>
            <w:r>
              <w:rPr>
                <w:rFonts w:eastAsia="宋体"/>
                <w:sz w:val="21"/>
                <w:szCs w:val="21"/>
              </w:rPr>
              <w:t>危险废物</w:t>
            </w:r>
          </w:p>
        </w:tc>
        <w:tc>
          <w:tcPr>
            <w:tcW w:w="1552" w:type="dxa"/>
            <w:vAlign w:val="center"/>
          </w:tcPr>
          <w:p>
            <w:pPr>
              <w:spacing w:line="360" w:lineRule="exact"/>
              <w:jc w:val="center"/>
              <w:rPr>
                <w:rFonts w:eastAsia="宋体"/>
                <w:sz w:val="21"/>
                <w:szCs w:val="21"/>
              </w:rPr>
            </w:pPr>
            <w:r>
              <w:rPr>
                <w:rFonts w:eastAsiaTheme="minorEastAsia"/>
                <w:sz w:val="21"/>
                <w:szCs w:val="21"/>
              </w:rPr>
              <w:t>391.835</w:t>
            </w:r>
          </w:p>
        </w:tc>
        <w:tc>
          <w:tcPr>
            <w:tcW w:w="1676" w:type="dxa"/>
            <w:vAlign w:val="center"/>
          </w:tcPr>
          <w:p>
            <w:pPr>
              <w:spacing w:line="360" w:lineRule="exact"/>
              <w:jc w:val="center"/>
              <w:rPr>
                <w:rFonts w:eastAsia="宋体"/>
                <w:sz w:val="21"/>
                <w:szCs w:val="21"/>
              </w:rPr>
            </w:pPr>
            <w:r>
              <w:rPr>
                <w:rFonts w:eastAsiaTheme="minorEastAsia"/>
                <w:sz w:val="21"/>
                <w:szCs w:val="21"/>
              </w:rPr>
              <w:t>391.835</w:t>
            </w:r>
          </w:p>
        </w:tc>
        <w:tc>
          <w:tcPr>
            <w:tcW w:w="1720" w:type="dxa"/>
            <w:vAlign w:val="center"/>
          </w:tcPr>
          <w:p>
            <w:pPr>
              <w:spacing w:line="360" w:lineRule="exact"/>
              <w:jc w:val="center"/>
              <w:rPr>
                <w:rFonts w:eastAsia="宋体"/>
                <w:sz w:val="21"/>
                <w:szCs w:val="21"/>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997" w:type="dxa"/>
            <w:vAlign w:val="center"/>
          </w:tcPr>
          <w:p>
            <w:pPr>
              <w:spacing w:line="360" w:lineRule="exact"/>
              <w:jc w:val="center"/>
              <w:rPr>
                <w:rFonts w:eastAsia="宋体"/>
                <w:sz w:val="21"/>
                <w:szCs w:val="21"/>
              </w:rPr>
            </w:pPr>
            <w:r>
              <w:rPr>
                <w:rFonts w:eastAsia="宋体"/>
                <w:kern w:val="0"/>
                <w:sz w:val="21"/>
                <w:szCs w:val="21"/>
                <w:lang w:val="zh-CN" w:eastAsia="zh-CN"/>
              </w:rPr>
              <w:t>噪声</w:t>
            </w:r>
          </w:p>
        </w:tc>
        <w:tc>
          <w:tcPr>
            <w:tcW w:w="7770" w:type="dxa"/>
            <w:gridSpan w:val="5"/>
            <w:vAlign w:val="center"/>
          </w:tcPr>
          <w:p>
            <w:pPr>
              <w:spacing w:line="360" w:lineRule="exact"/>
              <w:jc w:val="center"/>
              <w:rPr>
                <w:rFonts w:eastAsia="宋体"/>
                <w:sz w:val="21"/>
                <w:szCs w:val="21"/>
              </w:rPr>
            </w:pPr>
            <w:r>
              <w:rPr>
                <w:rFonts w:eastAsia="宋体"/>
                <w:kern w:val="0"/>
                <w:sz w:val="21"/>
                <w:szCs w:val="21"/>
                <w:lang w:val="zh-CN" w:eastAsia="zh-CN"/>
              </w:rPr>
              <w:t>噪声由各类生产、动力设备运行时所产生</w:t>
            </w:r>
          </w:p>
        </w:tc>
      </w:tr>
      <w:bookmarkEnd w:id="87"/>
      <w:bookmarkEnd w:id="88"/>
    </w:tbl>
    <w:p>
      <w:pPr>
        <w:pStyle w:val="3"/>
        <w:numPr>
          <w:ilvl w:val="1"/>
          <w:numId w:val="24"/>
        </w:numPr>
        <w:rPr>
          <w:rFonts w:ascii="Times New Roman" w:hAnsi="Times New Roman"/>
          <w:lang w:eastAsia="zh-CN"/>
        </w:rPr>
      </w:pPr>
      <w:bookmarkStart w:id="119" w:name="_Toc10637157"/>
      <w:bookmarkStart w:id="120" w:name="_Toc137629576"/>
      <w:bookmarkStart w:id="121" w:name="_Toc152324629"/>
      <w:bookmarkStart w:id="122" w:name="_Toc294462582"/>
      <w:bookmarkStart w:id="123" w:name="_Toc372370233"/>
      <w:bookmarkStart w:id="124" w:name="_Toc479663180"/>
      <w:r>
        <w:rPr>
          <w:rFonts w:ascii="Times New Roman" w:hAnsi="Times New Roman"/>
          <w:lang w:eastAsia="zh-CN"/>
        </w:rPr>
        <w:t>非正常排放</w:t>
      </w:r>
      <w:bookmarkEnd w:id="119"/>
    </w:p>
    <w:p>
      <w:pPr>
        <w:pStyle w:val="4"/>
        <w:rPr>
          <w:rFonts w:ascii="Times New Roman" w:hAnsi="Times New Roman" w:cs="Times New Roman"/>
          <w:spacing w:val="0"/>
          <w:lang w:val="zh-CN"/>
        </w:rPr>
      </w:pPr>
      <w:r>
        <w:rPr>
          <w:rFonts w:hint="eastAsia" w:ascii="Times New Roman" w:hAnsi="Times New Roman"/>
          <w:spacing w:val="0"/>
        </w:rPr>
        <w:t>本环评</w:t>
      </w:r>
      <w:r>
        <w:rPr>
          <w:rFonts w:ascii="Times New Roman" w:hAnsi="Times New Roman"/>
          <w:spacing w:val="0"/>
        </w:rPr>
        <w:t>非正常工况</w:t>
      </w:r>
      <w:r>
        <w:rPr>
          <w:rFonts w:hint="eastAsia" w:ascii="Times New Roman" w:hAnsi="Times New Roman"/>
          <w:spacing w:val="0"/>
        </w:rPr>
        <w:t>主要考虑废</w:t>
      </w:r>
      <w:r>
        <w:rPr>
          <w:rFonts w:ascii="Times New Roman" w:hAnsi="Times New Roman"/>
          <w:spacing w:val="0"/>
        </w:rPr>
        <w:t>气</w:t>
      </w:r>
      <w:r>
        <w:rPr>
          <w:rFonts w:hint="eastAsia" w:ascii="Times New Roman" w:hAnsi="Times New Roman"/>
          <w:spacing w:val="0"/>
        </w:rPr>
        <w:t>处理装置</w:t>
      </w:r>
      <w:r>
        <w:rPr>
          <w:rFonts w:ascii="Times New Roman" w:hAnsi="Times New Roman"/>
          <w:spacing w:val="0"/>
        </w:rPr>
        <w:t>失效的事故性排放</w:t>
      </w:r>
      <w:r>
        <w:rPr>
          <w:rFonts w:hint="eastAsia" w:ascii="Times New Roman" w:hAnsi="Times New Roman"/>
          <w:spacing w:val="0"/>
        </w:rPr>
        <w:t>。</w:t>
      </w:r>
      <w:r>
        <w:rPr>
          <w:rFonts w:ascii="Times New Roman" w:hAnsi="Times New Roman"/>
          <w:spacing w:val="0"/>
        </w:rPr>
        <w:t>根据同类型项目的运行情况调查，事故性排放主要</w:t>
      </w:r>
      <w:r>
        <w:rPr>
          <w:rFonts w:hint="eastAsia" w:ascii="Times New Roman" w:hAnsi="Times New Roman"/>
          <w:spacing w:val="0"/>
        </w:rPr>
        <w:t>为布袋除尘器发生故障引起的相应治理效率的降低。为了保守计算非正常工况的影响，事故工况为布袋除尘器效率为</w:t>
      </w:r>
      <w:r>
        <w:rPr>
          <w:rFonts w:ascii="Times New Roman" w:hAnsi="Times New Roman"/>
          <w:spacing w:val="0"/>
        </w:rPr>
        <w:t>8</w:t>
      </w:r>
      <w:r>
        <w:rPr>
          <w:rFonts w:hint="eastAsia" w:ascii="Times New Roman" w:hAnsi="Times New Roman"/>
          <w:spacing w:val="0"/>
        </w:rPr>
        <w:t>0%计</w:t>
      </w:r>
      <w:r>
        <w:rPr>
          <w:rFonts w:ascii="Times New Roman" w:hAnsi="Times New Roman" w:cs="Times New Roman"/>
          <w:spacing w:val="0"/>
          <w:lang w:val="zh-CN"/>
        </w:rPr>
        <w:t>，此时非正常排放的污染源强详见表4-16。</w:t>
      </w:r>
    </w:p>
    <w:p>
      <w:pPr>
        <w:pStyle w:val="313"/>
        <w:tabs>
          <w:tab w:val="clear" w:pos="3908"/>
        </w:tabs>
        <w:ind w:left="1122" w:hanging="561"/>
        <w:rPr>
          <w:rFonts w:ascii="Times New Roman" w:hAnsi="Times New Roman"/>
        </w:rPr>
      </w:pPr>
      <w:r>
        <w:rPr>
          <w:rFonts w:hint="eastAsia" w:ascii="Times New Roman" w:hAnsi="Times New Roman"/>
          <w:lang w:eastAsia="zh-CN"/>
        </w:rPr>
        <w:t>项目</w:t>
      </w:r>
      <w:r>
        <w:rPr>
          <w:rFonts w:ascii="Times New Roman" w:hAnsi="Times New Roman"/>
          <w:lang w:eastAsia="zh-CN"/>
        </w:rPr>
        <w:t>非正常排放污染源强</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1463"/>
        <w:gridCol w:w="1122"/>
        <w:gridCol w:w="1152"/>
        <w:gridCol w:w="1170"/>
        <w:gridCol w:w="1050"/>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序号</w:t>
            </w:r>
          </w:p>
        </w:tc>
        <w:tc>
          <w:tcPr>
            <w:tcW w:w="1463" w:type="dxa"/>
            <w:vMerge w:val="restart"/>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废气名称</w:t>
            </w:r>
          </w:p>
        </w:tc>
        <w:tc>
          <w:tcPr>
            <w:tcW w:w="1122" w:type="dxa"/>
            <w:vMerge w:val="restart"/>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污染物</w:t>
            </w:r>
          </w:p>
        </w:tc>
        <w:tc>
          <w:tcPr>
            <w:tcW w:w="3372" w:type="dxa"/>
            <w:gridSpan w:val="3"/>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非正常工况排放源强</w:t>
            </w:r>
          </w:p>
        </w:tc>
        <w:tc>
          <w:tcPr>
            <w:tcW w:w="1682" w:type="dxa"/>
            <w:vMerge w:val="restart"/>
            <w:vAlign w:val="center"/>
          </w:tcPr>
          <w:p>
            <w:pPr>
              <w:pStyle w:val="4"/>
              <w:tabs>
                <w:tab w:val="left" w:pos="336"/>
              </w:tabs>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排气筒编号/高m/内径m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p>
        </w:tc>
        <w:tc>
          <w:tcPr>
            <w:tcW w:w="1463" w:type="dxa"/>
            <w:vMerge w:val="continue"/>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p>
        </w:tc>
        <w:tc>
          <w:tcPr>
            <w:tcW w:w="1122" w:type="dxa"/>
            <w:vMerge w:val="continue"/>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p>
        </w:tc>
        <w:tc>
          <w:tcPr>
            <w:tcW w:w="1152"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排放速率</w:t>
            </w:r>
            <w:r>
              <w:rPr>
                <w:rFonts w:ascii="Times New Roman" w:hAnsi="Times New Roman" w:cs="Times New Roman"/>
                <w:spacing w:val="0"/>
                <w:sz w:val="21"/>
                <w:szCs w:val="21"/>
                <w:lang w:val="zh-CN"/>
              </w:rPr>
              <w:t>(kg/h)</w:t>
            </w:r>
          </w:p>
        </w:tc>
        <w:tc>
          <w:tcPr>
            <w:tcW w:w="1170"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废气</w:t>
            </w:r>
            <w:r>
              <w:rPr>
                <w:rFonts w:hint="eastAsia" w:ascii="Times New Roman" w:hAnsi="Times New Roman" w:cs="Times New Roman"/>
                <w:spacing w:val="0"/>
                <w:sz w:val="21"/>
                <w:szCs w:val="21"/>
                <w:lang w:val="zh-CN"/>
              </w:rPr>
              <w:t>排放</w:t>
            </w:r>
            <w:r>
              <w:rPr>
                <w:rFonts w:ascii="Times New Roman" w:hAnsi="Times New Roman" w:cs="Times New Roman"/>
                <w:spacing w:val="0"/>
                <w:sz w:val="21"/>
                <w:szCs w:val="21"/>
                <w:lang w:val="zh-CN"/>
              </w:rPr>
              <w:t>量(Nm</w:t>
            </w:r>
            <w:r>
              <w:rPr>
                <w:rFonts w:ascii="Times New Roman" w:hAnsi="Times New Roman" w:cs="Times New Roman"/>
                <w:spacing w:val="0"/>
                <w:sz w:val="21"/>
                <w:szCs w:val="21"/>
                <w:vertAlign w:val="superscript"/>
                <w:lang w:val="zh-CN"/>
              </w:rPr>
              <w:t>3</w:t>
            </w:r>
            <w:r>
              <w:rPr>
                <w:rFonts w:ascii="Times New Roman" w:hAnsi="Times New Roman" w:cs="Times New Roman"/>
                <w:spacing w:val="0"/>
                <w:sz w:val="21"/>
                <w:szCs w:val="21"/>
                <w:lang w:val="zh-CN"/>
              </w:rPr>
              <w:t>/h)</w:t>
            </w:r>
          </w:p>
        </w:tc>
        <w:tc>
          <w:tcPr>
            <w:tcW w:w="1050"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排放</w:t>
            </w:r>
            <w:r>
              <w:rPr>
                <w:rFonts w:ascii="Times New Roman" w:hAnsi="Times New Roman" w:cs="Times New Roman"/>
                <w:spacing w:val="0"/>
                <w:sz w:val="21"/>
                <w:szCs w:val="21"/>
                <w:lang w:val="zh-CN"/>
              </w:rPr>
              <w:t>浓度(mg/m</w:t>
            </w:r>
            <w:r>
              <w:rPr>
                <w:rFonts w:ascii="Times New Roman" w:hAnsi="Times New Roman" w:cs="Times New Roman"/>
                <w:spacing w:val="0"/>
                <w:sz w:val="21"/>
                <w:szCs w:val="21"/>
                <w:vertAlign w:val="superscript"/>
                <w:lang w:val="zh-CN"/>
              </w:rPr>
              <w:t>3</w:t>
            </w:r>
            <w:r>
              <w:rPr>
                <w:rFonts w:ascii="Times New Roman" w:hAnsi="Times New Roman" w:cs="Times New Roman"/>
                <w:spacing w:val="0"/>
                <w:sz w:val="21"/>
                <w:szCs w:val="21"/>
                <w:lang w:val="zh-CN"/>
              </w:rPr>
              <w:t>)</w:t>
            </w:r>
          </w:p>
        </w:tc>
        <w:tc>
          <w:tcPr>
            <w:tcW w:w="1682" w:type="dxa"/>
            <w:vMerge w:val="continue"/>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1</w:t>
            </w:r>
          </w:p>
        </w:tc>
        <w:tc>
          <w:tcPr>
            <w:tcW w:w="1463" w:type="dxa"/>
            <w:vAlign w:val="center"/>
          </w:tcPr>
          <w:p>
            <w:pPr>
              <w:pStyle w:val="4"/>
              <w:spacing w:line="360" w:lineRule="exact"/>
              <w:ind w:left="-141" w:leftChars="-50" w:right="-141" w:rightChars="-50" w:firstLine="0"/>
              <w:jc w:val="center"/>
              <w:rPr>
                <w:rFonts w:hint="eastAsia"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D</w:t>
            </w:r>
            <w:r>
              <w:rPr>
                <w:rFonts w:ascii="Times New Roman" w:hAnsi="Times New Roman" w:cs="Times New Roman"/>
                <w:spacing w:val="0"/>
                <w:sz w:val="21"/>
                <w:szCs w:val="21"/>
                <w:lang w:val="zh-CN"/>
              </w:rPr>
              <w:t>A001</w:t>
            </w:r>
            <w:r>
              <w:rPr>
                <w:rFonts w:hint="eastAsia" w:ascii="Times New Roman" w:hAnsi="Times New Roman" w:cs="Times New Roman"/>
                <w:spacing w:val="0"/>
                <w:sz w:val="21"/>
                <w:szCs w:val="21"/>
                <w:lang w:val="zh-CN"/>
              </w:rPr>
              <w:t>排气筒</w:t>
            </w:r>
          </w:p>
        </w:tc>
        <w:tc>
          <w:tcPr>
            <w:tcW w:w="1122"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颗粒物</w:t>
            </w:r>
          </w:p>
        </w:tc>
        <w:tc>
          <w:tcPr>
            <w:tcW w:w="1152" w:type="dxa"/>
            <w:vAlign w:val="center"/>
          </w:tcPr>
          <w:p>
            <w:pPr>
              <w:pStyle w:val="4"/>
              <w:spacing w:line="360" w:lineRule="exact"/>
              <w:ind w:left="-141" w:leftChars="-50" w:right="-141" w:rightChars="-50" w:firstLine="0"/>
              <w:jc w:val="center"/>
              <w:rPr>
                <w:rFonts w:ascii="Times New Roman" w:hAnsi="Times New Roman" w:cs="Times New Roman" w:eastAsiaTheme="minorEastAsia"/>
                <w:sz w:val="21"/>
                <w:szCs w:val="21"/>
                <w:lang w:val="zh-CN"/>
              </w:rPr>
            </w:pPr>
            <w:r>
              <w:rPr>
                <w:rFonts w:ascii="Times New Roman" w:hAnsi="Times New Roman" w:cs="Times New Roman" w:eastAsiaTheme="minorEastAsia"/>
                <w:sz w:val="21"/>
                <w:szCs w:val="21"/>
                <w:lang w:val="zh-CN"/>
              </w:rPr>
              <w:fldChar w:fldCharType="begin"/>
            </w:r>
            <w:r>
              <w:rPr>
                <w:rFonts w:ascii="Times New Roman" w:hAnsi="Times New Roman" w:cs="Times New Roman" w:eastAsiaTheme="minorEastAsia"/>
                <w:sz w:val="21"/>
                <w:szCs w:val="21"/>
                <w:lang w:val="zh-CN"/>
              </w:rPr>
              <w:instrText xml:space="preserve"> =SUM(ABOVE) </w:instrText>
            </w:r>
            <w:r>
              <w:rPr>
                <w:rFonts w:ascii="Times New Roman" w:hAnsi="Times New Roman" w:cs="Times New Roman" w:eastAsiaTheme="minorEastAsia"/>
                <w:sz w:val="21"/>
                <w:szCs w:val="21"/>
                <w:lang w:val="zh-CN"/>
              </w:rPr>
              <w:fldChar w:fldCharType="separate"/>
            </w:r>
            <w:r>
              <w:rPr>
                <w:rFonts w:ascii="Times New Roman" w:hAnsi="Times New Roman" w:cs="Times New Roman" w:eastAsiaTheme="minorEastAsia"/>
                <w:sz w:val="21"/>
                <w:szCs w:val="21"/>
                <w:lang w:val="zh-CN"/>
              </w:rPr>
              <w:t>19.37</w:t>
            </w:r>
            <w:r>
              <w:rPr>
                <w:rFonts w:ascii="Times New Roman" w:hAnsi="Times New Roman" w:cs="Times New Roman" w:eastAsiaTheme="minorEastAsia"/>
                <w:sz w:val="21"/>
                <w:szCs w:val="21"/>
                <w:lang w:val="zh-CN"/>
              </w:rPr>
              <w:fldChar w:fldCharType="end"/>
            </w:r>
          </w:p>
        </w:tc>
        <w:tc>
          <w:tcPr>
            <w:tcW w:w="1170"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816449</w:t>
            </w:r>
          </w:p>
        </w:tc>
        <w:tc>
          <w:tcPr>
            <w:tcW w:w="1050"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ascii="Times New Roman" w:hAnsi="Times New Roman" w:cs="Times New Roman"/>
                <w:spacing w:val="0"/>
                <w:sz w:val="21"/>
                <w:szCs w:val="21"/>
                <w:lang w:val="zh-CN"/>
              </w:rPr>
              <w:t>24</w:t>
            </w:r>
          </w:p>
        </w:tc>
        <w:tc>
          <w:tcPr>
            <w:tcW w:w="1682" w:type="dxa"/>
            <w:vAlign w:val="center"/>
          </w:tcPr>
          <w:p>
            <w:pPr>
              <w:pStyle w:val="4"/>
              <w:spacing w:line="360" w:lineRule="exact"/>
              <w:ind w:left="-141" w:leftChars="-50" w:right="-141" w:rightChars="-50" w:firstLine="0"/>
              <w:jc w:val="center"/>
              <w:rPr>
                <w:rFonts w:ascii="Times New Roman" w:hAnsi="Times New Roman" w:cs="Times New Roman"/>
                <w:spacing w:val="0"/>
                <w:sz w:val="21"/>
                <w:szCs w:val="21"/>
                <w:lang w:val="zh-CN"/>
              </w:rPr>
            </w:pPr>
            <w:r>
              <w:rPr>
                <w:rFonts w:hint="eastAsia" w:ascii="Times New Roman" w:hAnsi="Times New Roman" w:cs="Times New Roman"/>
                <w:spacing w:val="0"/>
                <w:sz w:val="21"/>
                <w:szCs w:val="21"/>
                <w:lang w:val="zh-CN"/>
              </w:rPr>
              <w:t>DA001/30/7</w:t>
            </w:r>
          </w:p>
        </w:tc>
      </w:tr>
    </w:tbl>
    <w:p>
      <w:pPr>
        <w:pStyle w:val="3"/>
        <w:numPr>
          <w:ilvl w:val="1"/>
          <w:numId w:val="24"/>
        </w:numPr>
        <w:rPr>
          <w:rFonts w:ascii="Times New Roman" w:hAnsi="Times New Roman"/>
        </w:rPr>
      </w:pPr>
      <w:bookmarkStart w:id="125" w:name="_Toc10637158"/>
      <w:r>
        <w:rPr>
          <w:rFonts w:ascii="Times New Roman" w:hAnsi="Times New Roman"/>
        </w:rPr>
        <w:t>总量控制</w:t>
      </w:r>
      <w:bookmarkEnd w:id="125"/>
    </w:p>
    <w:p>
      <w:pPr>
        <w:pStyle w:val="1055"/>
        <w:spacing w:line="480" w:lineRule="exact"/>
        <w:ind w:firstLine="486" w:firstLineChars="200"/>
        <w:rPr>
          <w:rFonts w:ascii="Times New Roman" w:hAnsi="Times New Roman" w:cs="Times New Roman"/>
          <w:lang w:eastAsia="zh-CN"/>
        </w:rPr>
      </w:pPr>
      <w:r>
        <w:rPr>
          <w:rFonts w:ascii="Times New Roman" w:hAnsi="Times New Roman" w:cs="Times New Roman"/>
          <w:lang w:eastAsia="zh-CN"/>
        </w:rPr>
        <w:t>根据《建设项目主要污染物排放总量指标审核及管理暂行办法》(环发</w:t>
      </w:r>
      <w:r>
        <w:rPr>
          <w:rFonts w:hint="eastAsia" w:ascii="Times New Roman" w:hAnsi="Times New Roman" w:cs="Times New Roman"/>
          <w:lang w:eastAsia="zh-CN"/>
        </w:rPr>
        <w:t>[</w:t>
      </w:r>
      <w:r>
        <w:rPr>
          <w:rFonts w:ascii="Times New Roman" w:hAnsi="Times New Roman" w:cs="Times New Roman"/>
          <w:lang w:eastAsia="zh-CN"/>
        </w:rPr>
        <w:t>2014]197号)，现阶段包括化学需氧量、氨氮、二氧化硫、</w:t>
      </w:r>
      <w:r>
        <w:rPr>
          <w:rFonts w:ascii="Times New Roman" w:hAnsi="Times New Roman" w:cs="Times New Roman"/>
        </w:rPr>
        <w:t>NOx</w:t>
      </w:r>
      <w:r>
        <w:rPr>
          <w:rFonts w:ascii="Times New Roman" w:hAnsi="Times New Roman" w:cs="Times New Roman"/>
          <w:lang w:eastAsia="zh-CN"/>
        </w:rPr>
        <w:t>、烟粉尘、挥发性有机物（VOCs）、五类重点重金属（铬、镉、铅、汞、砷）。</w:t>
      </w:r>
    </w:p>
    <w:p>
      <w:pPr>
        <w:pStyle w:val="4"/>
        <w:spacing w:line="480" w:lineRule="exact"/>
        <w:ind w:firstLine="486" w:firstLineChars="200"/>
        <w:rPr>
          <w:rFonts w:ascii="Times New Roman" w:hAnsi="Times New Roman" w:cs="Times New Roman"/>
          <w:spacing w:val="0"/>
        </w:rPr>
      </w:pPr>
      <w:r>
        <w:rPr>
          <w:rFonts w:ascii="Times New Roman" w:hAnsi="Times New Roman" w:cs="Times New Roman"/>
          <w:spacing w:val="0"/>
        </w:rPr>
        <w:t>本项目纳入总量控制指标的主要是</w:t>
      </w:r>
      <w:r>
        <w:rPr>
          <w:rFonts w:hint="eastAsia" w:ascii="Times New Roman" w:hAnsi="Times New Roman" w:cs="Times New Roman"/>
          <w:spacing w:val="0"/>
        </w:rPr>
        <w:t>SO</w:t>
      </w:r>
      <w:r>
        <w:rPr>
          <w:rFonts w:hint="eastAsia" w:ascii="Times New Roman" w:hAnsi="Times New Roman" w:cs="Times New Roman"/>
          <w:spacing w:val="0"/>
          <w:vertAlign w:val="subscript"/>
        </w:rPr>
        <w:t>2</w:t>
      </w:r>
      <w:r>
        <w:rPr>
          <w:rFonts w:hint="eastAsia" w:ascii="Times New Roman" w:hAnsi="Times New Roman" w:cs="Times New Roman"/>
          <w:spacing w:val="0"/>
        </w:rPr>
        <w:t>、NO</w:t>
      </w:r>
      <w:r>
        <w:rPr>
          <w:rFonts w:hint="eastAsia" w:ascii="Times New Roman" w:hAnsi="Times New Roman" w:cs="Times New Roman"/>
          <w:spacing w:val="0"/>
          <w:vertAlign w:val="subscript"/>
        </w:rPr>
        <w:t>X</w:t>
      </w:r>
      <w:r>
        <w:rPr>
          <w:rFonts w:hint="eastAsia" w:ascii="Times New Roman" w:hAnsi="Times New Roman" w:cs="Times New Roman"/>
          <w:spacing w:val="0"/>
        </w:rPr>
        <w:t>、烟粉尘。</w:t>
      </w:r>
    </w:p>
    <w:p>
      <w:pPr>
        <w:pStyle w:val="712"/>
        <w:spacing w:line="480" w:lineRule="exact"/>
        <w:rPr>
          <w:rFonts w:ascii="Times New Roman" w:hAnsi="Times New Roman" w:cs="Times New Roman"/>
          <w:spacing w:val="0"/>
          <w:lang w:eastAsia="zh-CN"/>
        </w:rPr>
      </w:pPr>
      <w:r>
        <w:rPr>
          <w:rFonts w:ascii="Times New Roman" w:hAnsi="Times New Roman" w:cs="Times New Roman"/>
          <w:spacing w:val="0"/>
        </w:rPr>
        <w:t>根据工程分析，项目实施前后</w:t>
      </w:r>
      <w:r>
        <w:rPr>
          <w:rFonts w:hint="eastAsia" w:ascii="Times New Roman" w:hAnsi="Times New Roman" w:cs="Times New Roman"/>
          <w:spacing w:val="0"/>
          <w:lang w:eastAsia="zh-CN"/>
        </w:rPr>
        <w:t>主要污染物排放量</w:t>
      </w:r>
      <w:r>
        <w:rPr>
          <w:rFonts w:ascii="Times New Roman" w:hAnsi="Times New Roman" w:cs="Times New Roman"/>
          <w:spacing w:val="0"/>
        </w:rPr>
        <w:t>变化情况见表4-</w:t>
      </w:r>
      <w:r>
        <w:rPr>
          <w:rFonts w:ascii="Times New Roman" w:hAnsi="Times New Roman" w:cs="Times New Roman"/>
          <w:spacing w:val="0"/>
          <w:lang w:eastAsia="zh-CN"/>
        </w:rPr>
        <w:t>17。</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项目实施后企业主要污染物排放量变化情况  单位:t/a</w:t>
      </w:r>
    </w:p>
    <w:tbl>
      <w:tblPr>
        <w:tblStyle w:val="87"/>
        <w:tblW w:w="86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1201"/>
        <w:gridCol w:w="1065"/>
        <w:gridCol w:w="1170"/>
        <w:gridCol w:w="1132"/>
        <w:gridCol w:w="1003"/>
        <w:gridCol w:w="887"/>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243" w:type="dxa"/>
            <w:gridSpan w:val="2"/>
            <w:vAlign w:val="center"/>
          </w:tcPr>
          <w:p>
            <w:pPr>
              <w:adjustRightInd w:val="0"/>
              <w:snapToGrid w:val="0"/>
              <w:spacing w:line="300" w:lineRule="exact"/>
              <w:jc w:val="center"/>
              <w:rPr>
                <w:rFonts w:eastAsia="宋体"/>
                <w:sz w:val="21"/>
                <w:szCs w:val="21"/>
              </w:rPr>
            </w:pPr>
            <w:r>
              <w:rPr>
                <w:rFonts w:eastAsia="宋体"/>
                <w:sz w:val="21"/>
                <w:szCs w:val="21"/>
              </w:rPr>
              <w:t>污染物名称</w:t>
            </w:r>
          </w:p>
        </w:tc>
        <w:tc>
          <w:tcPr>
            <w:tcW w:w="1065"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现状达产</w:t>
            </w:r>
            <w:r>
              <w:rPr>
                <w:rFonts w:eastAsia="宋体"/>
                <w:kern w:val="0"/>
                <w:sz w:val="21"/>
                <w:szCs w:val="21"/>
              </w:rPr>
              <w:t>排放量</w:t>
            </w:r>
          </w:p>
        </w:tc>
        <w:tc>
          <w:tcPr>
            <w:tcW w:w="1170"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排污许可证载明量</w:t>
            </w:r>
          </w:p>
        </w:tc>
        <w:tc>
          <w:tcPr>
            <w:tcW w:w="1132" w:type="dxa"/>
            <w:vAlign w:val="center"/>
          </w:tcPr>
          <w:p>
            <w:pPr>
              <w:adjustRightInd w:val="0"/>
              <w:snapToGrid w:val="0"/>
              <w:spacing w:line="300" w:lineRule="exact"/>
              <w:jc w:val="center"/>
              <w:rPr>
                <w:rFonts w:eastAsia="宋体"/>
                <w:sz w:val="21"/>
                <w:szCs w:val="21"/>
              </w:rPr>
            </w:pPr>
            <w:r>
              <w:rPr>
                <w:rFonts w:eastAsia="宋体"/>
                <w:sz w:val="21"/>
                <w:szCs w:val="21"/>
              </w:rPr>
              <w:t>建设项目排放量</w:t>
            </w:r>
            <w:r>
              <w:rPr>
                <w:rFonts w:hint="eastAsia" w:eastAsia="宋体"/>
                <w:sz w:val="21"/>
                <w:szCs w:val="21"/>
              </w:rPr>
              <w:t>*</w:t>
            </w:r>
          </w:p>
        </w:tc>
        <w:tc>
          <w:tcPr>
            <w:tcW w:w="1003" w:type="dxa"/>
            <w:vAlign w:val="center"/>
          </w:tcPr>
          <w:p>
            <w:pPr>
              <w:widowControl/>
              <w:snapToGrid w:val="0"/>
              <w:spacing w:line="300" w:lineRule="exact"/>
              <w:jc w:val="center"/>
              <w:rPr>
                <w:rFonts w:eastAsia="宋体"/>
                <w:kern w:val="0"/>
                <w:sz w:val="21"/>
                <w:szCs w:val="21"/>
              </w:rPr>
            </w:pPr>
            <w:r>
              <w:rPr>
                <w:rFonts w:eastAsia="宋体"/>
                <w:kern w:val="0"/>
                <w:sz w:val="21"/>
                <w:szCs w:val="21"/>
              </w:rPr>
              <w:t>以新带老削减量</w:t>
            </w:r>
          </w:p>
        </w:tc>
        <w:tc>
          <w:tcPr>
            <w:tcW w:w="887" w:type="dxa"/>
            <w:vAlign w:val="center"/>
          </w:tcPr>
          <w:p>
            <w:pPr>
              <w:widowControl/>
              <w:snapToGrid w:val="0"/>
              <w:spacing w:line="300" w:lineRule="exact"/>
              <w:jc w:val="center"/>
              <w:rPr>
                <w:rFonts w:eastAsia="宋体"/>
                <w:kern w:val="0"/>
                <w:sz w:val="21"/>
                <w:szCs w:val="21"/>
              </w:rPr>
            </w:pPr>
            <w:r>
              <w:rPr>
                <w:rFonts w:eastAsia="宋体"/>
                <w:kern w:val="0"/>
                <w:sz w:val="21"/>
                <w:szCs w:val="21"/>
              </w:rPr>
              <w:t>总环境排放量</w:t>
            </w:r>
          </w:p>
        </w:tc>
        <w:tc>
          <w:tcPr>
            <w:tcW w:w="1143" w:type="dxa"/>
            <w:vAlign w:val="center"/>
          </w:tcPr>
          <w:p>
            <w:pPr>
              <w:widowControl/>
              <w:snapToGrid w:val="0"/>
              <w:spacing w:line="300" w:lineRule="exact"/>
              <w:jc w:val="center"/>
              <w:rPr>
                <w:rFonts w:eastAsia="宋体"/>
                <w:kern w:val="0"/>
                <w:sz w:val="21"/>
                <w:szCs w:val="21"/>
              </w:rPr>
            </w:pPr>
            <w:r>
              <w:rPr>
                <w:rFonts w:eastAsia="宋体"/>
                <w:kern w:val="0"/>
                <w:sz w:val="21"/>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adjustRightInd w:val="0"/>
              <w:snapToGrid w:val="0"/>
              <w:spacing w:line="300" w:lineRule="exact"/>
              <w:jc w:val="center"/>
              <w:rPr>
                <w:rFonts w:eastAsia="宋体"/>
                <w:sz w:val="21"/>
                <w:szCs w:val="21"/>
              </w:rPr>
            </w:pPr>
            <w:r>
              <w:rPr>
                <w:rFonts w:hint="eastAsia" w:eastAsia="宋体"/>
                <w:sz w:val="21"/>
                <w:szCs w:val="21"/>
              </w:rPr>
              <w:t>废气</w:t>
            </w:r>
          </w:p>
        </w:tc>
        <w:tc>
          <w:tcPr>
            <w:tcW w:w="1201" w:type="dxa"/>
            <w:vAlign w:val="center"/>
          </w:tcPr>
          <w:p>
            <w:pPr>
              <w:spacing w:line="300" w:lineRule="exact"/>
              <w:jc w:val="center"/>
              <w:rPr>
                <w:rFonts w:eastAsia="宋体"/>
                <w:sz w:val="21"/>
                <w:szCs w:val="21"/>
              </w:rPr>
            </w:pPr>
            <w:r>
              <w:rPr>
                <w:rFonts w:hint="eastAsia" w:eastAsia="宋体"/>
                <w:sz w:val="21"/>
                <w:szCs w:val="21"/>
              </w:rPr>
              <w:t>烟</w:t>
            </w:r>
            <w:r>
              <w:rPr>
                <w:rFonts w:eastAsia="宋体"/>
                <w:sz w:val="21"/>
                <w:szCs w:val="21"/>
              </w:rPr>
              <w:t>、</w:t>
            </w:r>
            <w:r>
              <w:rPr>
                <w:rFonts w:hint="eastAsia" w:eastAsia="宋体"/>
                <w:sz w:val="21"/>
                <w:szCs w:val="21"/>
              </w:rPr>
              <w:t>粉尘</w:t>
            </w:r>
          </w:p>
        </w:tc>
        <w:tc>
          <w:tcPr>
            <w:tcW w:w="1065" w:type="dxa"/>
            <w:vAlign w:val="center"/>
          </w:tcPr>
          <w:p>
            <w:pPr>
              <w:widowControl/>
              <w:snapToGrid w:val="0"/>
              <w:spacing w:line="300" w:lineRule="exact"/>
              <w:jc w:val="center"/>
              <w:rPr>
                <w:rFonts w:eastAsia="宋体"/>
                <w:kern w:val="0"/>
                <w:sz w:val="21"/>
                <w:szCs w:val="21"/>
              </w:rPr>
            </w:pPr>
            <w:r>
              <w:rPr>
                <w:rFonts w:eastAsia="宋体"/>
                <w:kern w:val="0"/>
                <w:sz w:val="21"/>
                <w:szCs w:val="21"/>
              </w:rPr>
              <w:t>39.326</w:t>
            </w:r>
          </w:p>
        </w:tc>
        <w:tc>
          <w:tcPr>
            <w:tcW w:w="1170"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39.4576</w:t>
            </w:r>
          </w:p>
        </w:tc>
        <w:tc>
          <w:tcPr>
            <w:tcW w:w="1132" w:type="dxa"/>
            <w:vAlign w:val="center"/>
          </w:tcPr>
          <w:p>
            <w:pPr>
              <w:spacing w:line="300" w:lineRule="exact"/>
              <w:jc w:val="center"/>
              <w:rPr>
                <w:rFonts w:eastAsia="宋体"/>
                <w:sz w:val="21"/>
                <w:szCs w:val="21"/>
              </w:rPr>
            </w:pPr>
            <w:r>
              <w:rPr>
                <w:rFonts w:eastAsia="宋体"/>
                <w:sz w:val="21"/>
                <w:szCs w:val="21"/>
              </w:rPr>
              <w:t>13.476</w:t>
            </w:r>
          </w:p>
        </w:tc>
        <w:tc>
          <w:tcPr>
            <w:tcW w:w="1003" w:type="dxa"/>
            <w:vAlign w:val="center"/>
          </w:tcPr>
          <w:p>
            <w:pPr>
              <w:widowControl/>
              <w:snapToGrid w:val="0"/>
              <w:spacing w:line="300" w:lineRule="exact"/>
              <w:jc w:val="center"/>
              <w:rPr>
                <w:rFonts w:eastAsia="宋体"/>
                <w:kern w:val="0"/>
                <w:sz w:val="21"/>
                <w:szCs w:val="21"/>
              </w:rPr>
            </w:pPr>
            <w:r>
              <w:rPr>
                <w:rFonts w:eastAsia="宋体"/>
                <w:kern w:val="0"/>
                <w:sz w:val="21"/>
                <w:szCs w:val="21"/>
              </w:rPr>
              <w:t>16.219</w:t>
            </w:r>
          </w:p>
        </w:tc>
        <w:tc>
          <w:tcPr>
            <w:tcW w:w="887" w:type="dxa"/>
            <w:shd w:val="clear" w:color="auto" w:fill="auto"/>
            <w:vAlign w:val="center"/>
          </w:tcPr>
          <w:p>
            <w:pPr>
              <w:spacing w:line="300" w:lineRule="exact"/>
              <w:jc w:val="center"/>
              <w:rPr>
                <w:rFonts w:eastAsia="宋体"/>
                <w:sz w:val="21"/>
                <w:szCs w:val="21"/>
              </w:rPr>
            </w:pPr>
            <w:r>
              <w:rPr>
                <w:sz w:val="21"/>
                <w:szCs w:val="21"/>
              </w:rPr>
              <w:t>36.583</w:t>
            </w:r>
          </w:p>
        </w:tc>
        <w:tc>
          <w:tcPr>
            <w:tcW w:w="1143" w:type="dxa"/>
            <w:shd w:val="clear" w:color="auto" w:fill="auto"/>
            <w:vAlign w:val="center"/>
          </w:tcPr>
          <w:p>
            <w:pPr>
              <w:spacing w:line="300" w:lineRule="exact"/>
              <w:jc w:val="center"/>
              <w:rPr>
                <w:rFonts w:eastAsia="宋体"/>
                <w:sz w:val="21"/>
                <w:szCs w:val="21"/>
              </w:rPr>
            </w:pPr>
            <w:r>
              <w:rPr>
                <w:sz w:val="21"/>
                <w:szCs w:val="21"/>
              </w:rPr>
              <w:t>-2.8746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adjustRightInd w:val="0"/>
              <w:snapToGrid w:val="0"/>
              <w:spacing w:line="300" w:lineRule="exact"/>
              <w:jc w:val="center"/>
              <w:rPr>
                <w:rFonts w:eastAsia="宋体"/>
                <w:sz w:val="21"/>
                <w:szCs w:val="21"/>
              </w:rPr>
            </w:pPr>
          </w:p>
        </w:tc>
        <w:tc>
          <w:tcPr>
            <w:tcW w:w="1201" w:type="dxa"/>
            <w:vAlign w:val="center"/>
          </w:tcPr>
          <w:p>
            <w:pPr>
              <w:spacing w:line="300" w:lineRule="exact"/>
              <w:jc w:val="center"/>
              <w:rPr>
                <w:rFonts w:eastAsia="宋体"/>
                <w:sz w:val="21"/>
                <w:szCs w:val="21"/>
              </w:rPr>
            </w:pPr>
            <w:r>
              <w:rPr>
                <w:rFonts w:eastAsia="宋体"/>
                <w:sz w:val="21"/>
                <w:szCs w:val="21"/>
              </w:rPr>
              <w:t>SO</w:t>
            </w:r>
            <w:r>
              <w:rPr>
                <w:rFonts w:eastAsia="宋体"/>
                <w:sz w:val="21"/>
                <w:szCs w:val="21"/>
                <w:vertAlign w:val="subscript"/>
              </w:rPr>
              <w:t>2</w:t>
            </w:r>
          </w:p>
        </w:tc>
        <w:tc>
          <w:tcPr>
            <w:tcW w:w="1065"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15.59</w:t>
            </w:r>
          </w:p>
        </w:tc>
        <w:tc>
          <w:tcPr>
            <w:tcW w:w="1170"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2</w:t>
            </w:r>
            <w:r>
              <w:rPr>
                <w:rFonts w:eastAsia="宋体"/>
                <w:kern w:val="0"/>
                <w:sz w:val="21"/>
                <w:szCs w:val="21"/>
              </w:rPr>
              <w:t>3.861</w:t>
            </w:r>
          </w:p>
        </w:tc>
        <w:tc>
          <w:tcPr>
            <w:tcW w:w="1132" w:type="dxa"/>
            <w:shd w:val="clear" w:color="auto" w:fill="auto"/>
            <w:vAlign w:val="center"/>
          </w:tcPr>
          <w:p>
            <w:pPr>
              <w:spacing w:line="300" w:lineRule="exact"/>
              <w:jc w:val="center"/>
              <w:rPr>
                <w:rFonts w:eastAsia="宋体"/>
                <w:sz w:val="21"/>
                <w:szCs w:val="21"/>
              </w:rPr>
            </w:pPr>
            <w:r>
              <w:rPr>
                <w:sz w:val="21"/>
                <w:szCs w:val="21"/>
              </w:rPr>
              <w:t>0.198</w:t>
            </w:r>
          </w:p>
        </w:tc>
        <w:tc>
          <w:tcPr>
            <w:tcW w:w="1003"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0</w:t>
            </w:r>
          </w:p>
        </w:tc>
        <w:tc>
          <w:tcPr>
            <w:tcW w:w="887" w:type="dxa"/>
            <w:shd w:val="clear" w:color="auto" w:fill="auto"/>
            <w:vAlign w:val="center"/>
          </w:tcPr>
          <w:p>
            <w:pPr>
              <w:spacing w:line="300" w:lineRule="exact"/>
              <w:jc w:val="center"/>
              <w:rPr>
                <w:rFonts w:eastAsia="宋体"/>
                <w:sz w:val="21"/>
                <w:szCs w:val="21"/>
              </w:rPr>
            </w:pPr>
            <w:r>
              <w:rPr>
                <w:sz w:val="21"/>
                <w:szCs w:val="21"/>
              </w:rPr>
              <w:t>15.788</w:t>
            </w:r>
          </w:p>
        </w:tc>
        <w:tc>
          <w:tcPr>
            <w:tcW w:w="1143" w:type="dxa"/>
            <w:shd w:val="clear" w:color="auto" w:fill="auto"/>
            <w:vAlign w:val="center"/>
          </w:tcPr>
          <w:p>
            <w:pPr>
              <w:spacing w:line="300" w:lineRule="exact"/>
              <w:jc w:val="center"/>
              <w:rPr>
                <w:sz w:val="21"/>
                <w:szCs w:val="21"/>
              </w:rPr>
            </w:pPr>
            <w:r>
              <w:rPr>
                <w:sz w:val="21"/>
                <w:szCs w:val="21"/>
              </w:rPr>
              <w:t>-8.073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adjustRightInd w:val="0"/>
              <w:snapToGrid w:val="0"/>
              <w:spacing w:line="300" w:lineRule="exact"/>
              <w:jc w:val="center"/>
              <w:rPr>
                <w:rFonts w:eastAsia="宋体"/>
                <w:sz w:val="21"/>
                <w:szCs w:val="21"/>
              </w:rPr>
            </w:pPr>
          </w:p>
        </w:tc>
        <w:tc>
          <w:tcPr>
            <w:tcW w:w="1201" w:type="dxa"/>
            <w:vAlign w:val="center"/>
          </w:tcPr>
          <w:p>
            <w:pPr>
              <w:spacing w:line="300" w:lineRule="exact"/>
              <w:jc w:val="center"/>
              <w:rPr>
                <w:rFonts w:eastAsia="宋体"/>
                <w:sz w:val="21"/>
                <w:szCs w:val="21"/>
              </w:rPr>
            </w:pPr>
            <w:r>
              <w:rPr>
                <w:rFonts w:eastAsia="宋体"/>
                <w:sz w:val="21"/>
                <w:szCs w:val="21"/>
              </w:rPr>
              <w:t>NOx</w:t>
            </w:r>
          </w:p>
        </w:tc>
        <w:tc>
          <w:tcPr>
            <w:tcW w:w="1065"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10.532</w:t>
            </w:r>
          </w:p>
        </w:tc>
        <w:tc>
          <w:tcPr>
            <w:tcW w:w="1170" w:type="dxa"/>
            <w:vAlign w:val="center"/>
          </w:tcPr>
          <w:p>
            <w:pPr>
              <w:widowControl/>
              <w:snapToGrid w:val="0"/>
              <w:spacing w:line="300" w:lineRule="exact"/>
              <w:jc w:val="center"/>
              <w:rPr>
                <w:rFonts w:eastAsia="宋体"/>
                <w:kern w:val="0"/>
                <w:sz w:val="21"/>
                <w:szCs w:val="21"/>
              </w:rPr>
            </w:pPr>
            <w:r>
              <w:rPr>
                <w:rFonts w:hint="eastAsia" w:eastAsia="宋体"/>
                <w:kern w:val="0"/>
                <w:sz w:val="21"/>
                <w:szCs w:val="21"/>
              </w:rPr>
              <w:t>47.835</w:t>
            </w:r>
          </w:p>
        </w:tc>
        <w:tc>
          <w:tcPr>
            <w:tcW w:w="1132" w:type="dxa"/>
            <w:shd w:val="clear" w:color="auto" w:fill="auto"/>
            <w:vAlign w:val="center"/>
          </w:tcPr>
          <w:p>
            <w:pPr>
              <w:spacing w:line="300" w:lineRule="exact"/>
              <w:jc w:val="center"/>
              <w:rPr>
                <w:rFonts w:eastAsia="宋体"/>
                <w:sz w:val="21"/>
                <w:szCs w:val="21"/>
              </w:rPr>
            </w:pPr>
            <w:r>
              <w:rPr>
                <w:sz w:val="21"/>
                <w:szCs w:val="21"/>
              </w:rPr>
              <w:t>0.874</w:t>
            </w:r>
          </w:p>
        </w:tc>
        <w:tc>
          <w:tcPr>
            <w:tcW w:w="1003" w:type="dxa"/>
            <w:vAlign w:val="center"/>
          </w:tcPr>
          <w:p>
            <w:pPr>
              <w:widowControl/>
              <w:snapToGrid w:val="0"/>
              <w:spacing w:line="300" w:lineRule="exact"/>
              <w:jc w:val="center"/>
              <w:rPr>
                <w:rFonts w:eastAsia="宋体"/>
                <w:kern w:val="0"/>
                <w:sz w:val="21"/>
                <w:szCs w:val="21"/>
              </w:rPr>
            </w:pPr>
            <w:r>
              <w:rPr>
                <w:rFonts w:eastAsia="宋体"/>
                <w:kern w:val="0"/>
                <w:sz w:val="21"/>
                <w:szCs w:val="21"/>
              </w:rPr>
              <w:t>0.97</w:t>
            </w:r>
          </w:p>
        </w:tc>
        <w:tc>
          <w:tcPr>
            <w:tcW w:w="887" w:type="dxa"/>
            <w:shd w:val="clear" w:color="auto" w:fill="auto"/>
            <w:vAlign w:val="center"/>
          </w:tcPr>
          <w:p>
            <w:pPr>
              <w:spacing w:line="300" w:lineRule="exact"/>
              <w:jc w:val="center"/>
              <w:rPr>
                <w:rFonts w:eastAsia="宋体"/>
                <w:sz w:val="21"/>
                <w:szCs w:val="21"/>
              </w:rPr>
            </w:pPr>
            <w:r>
              <w:rPr>
                <w:sz w:val="21"/>
                <w:szCs w:val="21"/>
              </w:rPr>
              <w:t>10.436</w:t>
            </w:r>
          </w:p>
        </w:tc>
        <w:tc>
          <w:tcPr>
            <w:tcW w:w="1143" w:type="dxa"/>
            <w:shd w:val="clear" w:color="auto" w:fill="auto"/>
            <w:vAlign w:val="center"/>
          </w:tcPr>
          <w:p>
            <w:pPr>
              <w:spacing w:line="300" w:lineRule="exact"/>
              <w:jc w:val="center"/>
              <w:rPr>
                <w:b/>
                <w:sz w:val="21"/>
                <w:szCs w:val="21"/>
              </w:rPr>
            </w:pPr>
            <w:r>
              <w:rPr>
                <w:sz w:val="21"/>
                <w:szCs w:val="21"/>
              </w:rPr>
              <w:t>-37.399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adjustRightInd w:val="0"/>
              <w:spacing w:line="300" w:lineRule="exact"/>
              <w:jc w:val="center"/>
              <w:rPr>
                <w:rFonts w:eastAsia="宋体"/>
                <w:sz w:val="21"/>
                <w:szCs w:val="21"/>
              </w:rPr>
            </w:pPr>
            <w:r>
              <w:rPr>
                <w:rFonts w:eastAsia="宋体"/>
                <w:sz w:val="21"/>
                <w:szCs w:val="21"/>
              </w:rPr>
              <w:t>废水</w:t>
            </w:r>
          </w:p>
        </w:tc>
        <w:tc>
          <w:tcPr>
            <w:tcW w:w="1201" w:type="dxa"/>
            <w:vAlign w:val="center"/>
          </w:tcPr>
          <w:p>
            <w:pPr>
              <w:spacing w:line="300" w:lineRule="exact"/>
              <w:jc w:val="center"/>
              <w:rPr>
                <w:rFonts w:eastAsia="宋体"/>
                <w:sz w:val="21"/>
                <w:szCs w:val="21"/>
              </w:rPr>
            </w:pPr>
            <w:r>
              <w:rPr>
                <w:rFonts w:eastAsia="宋体"/>
                <w:sz w:val="21"/>
                <w:szCs w:val="21"/>
              </w:rPr>
              <w:t>废水量</w:t>
            </w:r>
          </w:p>
        </w:tc>
        <w:tc>
          <w:tcPr>
            <w:tcW w:w="1065" w:type="dxa"/>
            <w:vAlign w:val="center"/>
          </w:tcPr>
          <w:p>
            <w:pPr>
              <w:spacing w:line="300" w:lineRule="exact"/>
              <w:jc w:val="center"/>
              <w:rPr>
                <w:rFonts w:eastAsia="宋体"/>
                <w:sz w:val="21"/>
                <w:szCs w:val="21"/>
              </w:rPr>
            </w:pPr>
            <w:r>
              <w:rPr>
                <w:rFonts w:eastAsia="宋体"/>
                <w:sz w:val="21"/>
                <w:szCs w:val="21"/>
              </w:rPr>
              <w:t>47915</w:t>
            </w:r>
          </w:p>
        </w:tc>
        <w:tc>
          <w:tcPr>
            <w:tcW w:w="1170" w:type="dxa"/>
            <w:vAlign w:val="center"/>
          </w:tcPr>
          <w:p>
            <w:pPr>
              <w:spacing w:line="300" w:lineRule="exact"/>
              <w:jc w:val="center"/>
              <w:rPr>
                <w:rFonts w:eastAsia="宋体"/>
                <w:sz w:val="21"/>
                <w:szCs w:val="21"/>
              </w:rPr>
            </w:pPr>
            <w:r>
              <w:rPr>
                <w:rFonts w:hint="eastAsia" w:eastAsia="宋体"/>
                <w:sz w:val="21"/>
                <w:szCs w:val="21"/>
              </w:rPr>
              <w:t>/</w:t>
            </w:r>
          </w:p>
        </w:tc>
        <w:tc>
          <w:tcPr>
            <w:tcW w:w="1132" w:type="dxa"/>
            <w:vAlign w:val="center"/>
          </w:tcPr>
          <w:p>
            <w:pPr>
              <w:spacing w:line="300" w:lineRule="exact"/>
              <w:jc w:val="center"/>
              <w:rPr>
                <w:rFonts w:eastAsia="宋体"/>
                <w:sz w:val="21"/>
                <w:szCs w:val="21"/>
              </w:rPr>
            </w:pPr>
            <w:r>
              <w:rPr>
                <w:rFonts w:eastAsia="宋体"/>
                <w:sz w:val="21"/>
                <w:szCs w:val="21"/>
              </w:rPr>
              <w:t>0</w:t>
            </w:r>
          </w:p>
        </w:tc>
        <w:tc>
          <w:tcPr>
            <w:tcW w:w="1003" w:type="dxa"/>
            <w:vAlign w:val="center"/>
          </w:tcPr>
          <w:p>
            <w:pPr>
              <w:spacing w:line="300" w:lineRule="exact"/>
              <w:jc w:val="center"/>
              <w:rPr>
                <w:rFonts w:eastAsia="宋体"/>
                <w:sz w:val="21"/>
                <w:szCs w:val="21"/>
              </w:rPr>
            </w:pPr>
            <w:r>
              <w:rPr>
                <w:rFonts w:hint="eastAsia" w:eastAsia="宋体"/>
                <w:sz w:val="21"/>
                <w:szCs w:val="21"/>
              </w:rPr>
              <w:t>0</w:t>
            </w:r>
          </w:p>
        </w:tc>
        <w:tc>
          <w:tcPr>
            <w:tcW w:w="887" w:type="dxa"/>
            <w:shd w:val="clear" w:color="auto" w:fill="auto"/>
            <w:vAlign w:val="center"/>
          </w:tcPr>
          <w:p>
            <w:pPr>
              <w:spacing w:line="300" w:lineRule="exact"/>
              <w:jc w:val="center"/>
              <w:rPr>
                <w:rFonts w:eastAsia="宋体"/>
                <w:sz w:val="21"/>
                <w:szCs w:val="21"/>
              </w:rPr>
            </w:pPr>
            <w:r>
              <w:rPr>
                <w:sz w:val="21"/>
                <w:szCs w:val="21"/>
              </w:rPr>
              <w:t>47915</w:t>
            </w:r>
          </w:p>
        </w:tc>
        <w:tc>
          <w:tcPr>
            <w:tcW w:w="1143" w:type="dxa"/>
            <w:shd w:val="clear" w:color="auto" w:fill="auto"/>
            <w:vAlign w:val="center"/>
          </w:tcPr>
          <w:p>
            <w:pPr>
              <w:spacing w:line="30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adjustRightInd w:val="0"/>
              <w:snapToGrid w:val="0"/>
              <w:spacing w:line="300" w:lineRule="exact"/>
              <w:jc w:val="center"/>
              <w:rPr>
                <w:rFonts w:eastAsia="宋体"/>
                <w:sz w:val="21"/>
                <w:szCs w:val="21"/>
              </w:rPr>
            </w:pPr>
          </w:p>
        </w:tc>
        <w:tc>
          <w:tcPr>
            <w:tcW w:w="1201" w:type="dxa"/>
            <w:vAlign w:val="center"/>
          </w:tcPr>
          <w:p>
            <w:pPr>
              <w:spacing w:line="300" w:lineRule="exact"/>
              <w:jc w:val="center"/>
              <w:rPr>
                <w:rFonts w:eastAsiaTheme="minorEastAsia"/>
                <w:sz w:val="21"/>
                <w:szCs w:val="21"/>
                <w:lang w:val="zh-CN"/>
              </w:rPr>
            </w:pPr>
            <w:r>
              <w:rPr>
                <w:rFonts w:eastAsiaTheme="minorEastAsia"/>
                <w:sz w:val="21"/>
                <w:szCs w:val="21"/>
                <w:lang w:val="zh-CN"/>
              </w:rPr>
              <w:t>COD</w:t>
            </w:r>
            <w:r>
              <w:rPr>
                <w:rFonts w:eastAsiaTheme="minorEastAsia"/>
                <w:sz w:val="21"/>
                <w:szCs w:val="21"/>
                <w:vertAlign w:val="subscript"/>
                <w:lang w:val="zh-CN"/>
              </w:rPr>
              <w:t>Cr</w:t>
            </w:r>
          </w:p>
        </w:tc>
        <w:tc>
          <w:tcPr>
            <w:tcW w:w="1065" w:type="dxa"/>
            <w:vAlign w:val="center"/>
          </w:tcPr>
          <w:p>
            <w:pPr>
              <w:spacing w:line="300" w:lineRule="exact"/>
              <w:jc w:val="center"/>
              <w:rPr>
                <w:rFonts w:eastAsia="宋体"/>
                <w:sz w:val="21"/>
                <w:szCs w:val="21"/>
              </w:rPr>
            </w:pPr>
            <w:r>
              <w:rPr>
                <w:rFonts w:hint="eastAsia" w:eastAsia="宋体"/>
                <w:sz w:val="21"/>
                <w:szCs w:val="21"/>
              </w:rPr>
              <w:t>2.64</w:t>
            </w:r>
          </w:p>
        </w:tc>
        <w:tc>
          <w:tcPr>
            <w:tcW w:w="1170" w:type="dxa"/>
            <w:vAlign w:val="center"/>
          </w:tcPr>
          <w:p>
            <w:pPr>
              <w:spacing w:line="300" w:lineRule="exact"/>
              <w:jc w:val="center"/>
              <w:rPr>
                <w:rFonts w:eastAsia="宋体"/>
                <w:sz w:val="21"/>
                <w:szCs w:val="21"/>
              </w:rPr>
            </w:pPr>
            <w:r>
              <w:rPr>
                <w:rFonts w:hint="eastAsia" w:eastAsia="宋体"/>
                <w:sz w:val="21"/>
                <w:szCs w:val="21"/>
              </w:rPr>
              <w:t>5.152</w:t>
            </w:r>
          </w:p>
        </w:tc>
        <w:tc>
          <w:tcPr>
            <w:tcW w:w="1132" w:type="dxa"/>
            <w:vAlign w:val="center"/>
          </w:tcPr>
          <w:p>
            <w:pPr>
              <w:spacing w:line="300" w:lineRule="exact"/>
              <w:jc w:val="center"/>
              <w:rPr>
                <w:rFonts w:eastAsia="宋体"/>
                <w:sz w:val="21"/>
                <w:szCs w:val="21"/>
              </w:rPr>
            </w:pPr>
            <w:r>
              <w:rPr>
                <w:sz w:val="21"/>
                <w:szCs w:val="21"/>
              </w:rPr>
              <w:t>0</w:t>
            </w:r>
          </w:p>
        </w:tc>
        <w:tc>
          <w:tcPr>
            <w:tcW w:w="1003" w:type="dxa"/>
            <w:vAlign w:val="center"/>
          </w:tcPr>
          <w:p>
            <w:pPr>
              <w:spacing w:line="300" w:lineRule="exact"/>
              <w:jc w:val="center"/>
              <w:rPr>
                <w:rFonts w:eastAsia="宋体"/>
                <w:sz w:val="21"/>
                <w:szCs w:val="21"/>
              </w:rPr>
            </w:pPr>
            <w:r>
              <w:rPr>
                <w:rFonts w:hint="eastAsia" w:eastAsia="宋体"/>
                <w:sz w:val="21"/>
                <w:szCs w:val="21"/>
              </w:rPr>
              <w:t>0</w:t>
            </w:r>
          </w:p>
        </w:tc>
        <w:tc>
          <w:tcPr>
            <w:tcW w:w="887" w:type="dxa"/>
            <w:shd w:val="clear" w:color="auto" w:fill="auto"/>
            <w:vAlign w:val="center"/>
          </w:tcPr>
          <w:p>
            <w:pPr>
              <w:spacing w:line="300" w:lineRule="exact"/>
              <w:jc w:val="center"/>
              <w:rPr>
                <w:rFonts w:eastAsia="宋体"/>
                <w:sz w:val="21"/>
                <w:szCs w:val="21"/>
              </w:rPr>
            </w:pPr>
            <w:r>
              <w:rPr>
                <w:sz w:val="21"/>
                <w:szCs w:val="21"/>
              </w:rPr>
              <w:t>2.64</w:t>
            </w:r>
          </w:p>
        </w:tc>
        <w:tc>
          <w:tcPr>
            <w:tcW w:w="1143" w:type="dxa"/>
            <w:shd w:val="clear" w:color="auto" w:fill="auto"/>
            <w:vAlign w:val="center"/>
          </w:tcPr>
          <w:p>
            <w:pPr>
              <w:spacing w:line="300" w:lineRule="exact"/>
              <w:jc w:val="center"/>
              <w:rPr>
                <w:b/>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spacing w:line="300" w:lineRule="exact"/>
              <w:jc w:val="center"/>
              <w:rPr>
                <w:rFonts w:eastAsia="宋体"/>
                <w:sz w:val="21"/>
                <w:szCs w:val="21"/>
              </w:rPr>
            </w:pPr>
          </w:p>
        </w:tc>
        <w:tc>
          <w:tcPr>
            <w:tcW w:w="1201" w:type="dxa"/>
            <w:vAlign w:val="center"/>
          </w:tcPr>
          <w:p>
            <w:pPr>
              <w:spacing w:line="300" w:lineRule="exact"/>
              <w:jc w:val="center"/>
              <w:rPr>
                <w:rFonts w:eastAsiaTheme="minorEastAsia"/>
                <w:sz w:val="21"/>
                <w:szCs w:val="21"/>
                <w:lang w:val="zh-CN"/>
              </w:rPr>
            </w:pPr>
            <w:r>
              <w:rPr>
                <w:rFonts w:eastAsiaTheme="minorEastAsia"/>
                <w:sz w:val="21"/>
                <w:szCs w:val="21"/>
                <w:lang w:val="zh-CN"/>
              </w:rPr>
              <w:t>NH</w:t>
            </w:r>
            <w:r>
              <w:rPr>
                <w:rFonts w:eastAsiaTheme="minorEastAsia"/>
                <w:sz w:val="21"/>
                <w:szCs w:val="21"/>
                <w:vertAlign w:val="subscript"/>
                <w:lang w:val="zh-CN"/>
              </w:rPr>
              <w:t>3</w:t>
            </w:r>
            <w:r>
              <w:rPr>
                <w:rFonts w:eastAsiaTheme="minorEastAsia"/>
                <w:sz w:val="21"/>
                <w:szCs w:val="21"/>
                <w:lang w:val="zh-CN"/>
              </w:rPr>
              <w:t>-N</w:t>
            </w:r>
          </w:p>
        </w:tc>
        <w:tc>
          <w:tcPr>
            <w:tcW w:w="1065" w:type="dxa"/>
            <w:vAlign w:val="center"/>
          </w:tcPr>
          <w:p>
            <w:pPr>
              <w:spacing w:line="300" w:lineRule="exact"/>
              <w:jc w:val="center"/>
              <w:rPr>
                <w:rFonts w:eastAsia="宋体"/>
                <w:sz w:val="21"/>
                <w:szCs w:val="21"/>
              </w:rPr>
            </w:pPr>
            <w:r>
              <w:rPr>
                <w:rFonts w:hint="eastAsia" w:eastAsia="宋体"/>
                <w:sz w:val="21"/>
                <w:szCs w:val="21"/>
              </w:rPr>
              <w:t>0.26</w:t>
            </w:r>
            <w:r>
              <w:rPr>
                <w:rFonts w:eastAsia="宋体"/>
                <w:sz w:val="21"/>
                <w:szCs w:val="21"/>
              </w:rPr>
              <w:t>4</w:t>
            </w:r>
          </w:p>
        </w:tc>
        <w:tc>
          <w:tcPr>
            <w:tcW w:w="1170" w:type="dxa"/>
            <w:vAlign w:val="center"/>
          </w:tcPr>
          <w:p>
            <w:pPr>
              <w:spacing w:line="300" w:lineRule="exact"/>
              <w:jc w:val="center"/>
              <w:rPr>
                <w:rFonts w:eastAsia="宋体"/>
                <w:sz w:val="21"/>
                <w:szCs w:val="21"/>
              </w:rPr>
            </w:pPr>
            <w:r>
              <w:rPr>
                <w:rFonts w:hint="eastAsia" w:eastAsia="宋体"/>
                <w:sz w:val="21"/>
                <w:szCs w:val="21"/>
              </w:rPr>
              <w:t>0.515</w:t>
            </w:r>
          </w:p>
        </w:tc>
        <w:tc>
          <w:tcPr>
            <w:tcW w:w="1132" w:type="dxa"/>
            <w:vAlign w:val="center"/>
          </w:tcPr>
          <w:p>
            <w:pPr>
              <w:spacing w:line="300" w:lineRule="exact"/>
              <w:jc w:val="center"/>
              <w:rPr>
                <w:rFonts w:eastAsia="宋体"/>
                <w:sz w:val="21"/>
                <w:szCs w:val="21"/>
              </w:rPr>
            </w:pPr>
            <w:r>
              <w:rPr>
                <w:sz w:val="21"/>
                <w:szCs w:val="21"/>
              </w:rPr>
              <w:t>0</w:t>
            </w:r>
          </w:p>
        </w:tc>
        <w:tc>
          <w:tcPr>
            <w:tcW w:w="1003" w:type="dxa"/>
            <w:vAlign w:val="center"/>
          </w:tcPr>
          <w:p>
            <w:pPr>
              <w:spacing w:line="300" w:lineRule="exact"/>
              <w:jc w:val="center"/>
              <w:rPr>
                <w:rFonts w:eastAsia="宋体"/>
                <w:sz w:val="21"/>
                <w:szCs w:val="21"/>
              </w:rPr>
            </w:pPr>
            <w:r>
              <w:rPr>
                <w:rFonts w:hint="eastAsia" w:eastAsia="宋体"/>
                <w:sz w:val="21"/>
                <w:szCs w:val="21"/>
              </w:rPr>
              <w:t>0</w:t>
            </w:r>
          </w:p>
        </w:tc>
        <w:tc>
          <w:tcPr>
            <w:tcW w:w="887" w:type="dxa"/>
            <w:shd w:val="clear" w:color="auto" w:fill="auto"/>
            <w:vAlign w:val="center"/>
          </w:tcPr>
          <w:p>
            <w:pPr>
              <w:spacing w:line="300" w:lineRule="exact"/>
              <w:jc w:val="center"/>
              <w:rPr>
                <w:rFonts w:eastAsia="宋体"/>
                <w:sz w:val="21"/>
                <w:szCs w:val="21"/>
              </w:rPr>
            </w:pPr>
            <w:r>
              <w:rPr>
                <w:sz w:val="21"/>
                <w:szCs w:val="21"/>
              </w:rPr>
              <w:t>0.264</w:t>
            </w:r>
          </w:p>
        </w:tc>
        <w:tc>
          <w:tcPr>
            <w:tcW w:w="1143" w:type="dxa"/>
            <w:shd w:val="clear" w:color="auto" w:fill="auto"/>
            <w:vAlign w:val="center"/>
          </w:tcPr>
          <w:p>
            <w:pPr>
              <w:spacing w:line="300" w:lineRule="exact"/>
              <w:jc w:val="center"/>
              <w:rPr>
                <w:b/>
                <w:sz w:val="21"/>
                <w:szCs w:val="21"/>
              </w:rPr>
            </w:pP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adjustRightInd w:val="0"/>
              <w:snapToGrid w:val="0"/>
              <w:spacing w:line="300" w:lineRule="exact"/>
              <w:jc w:val="center"/>
              <w:rPr>
                <w:rFonts w:eastAsia="宋体"/>
                <w:sz w:val="21"/>
                <w:szCs w:val="21"/>
              </w:rPr>
            </w:pPr>
            <w:r>
              <w:rPr>
                <w:rFonts w:eastAsia="宋体"/>
                <w:sz w:val="21"/>
                <w:szCs w:val="21"/>
              </w:rPr>
              <w:t>固废</w:t>
            </w:r>
          </w:p>
        </w:tc>
        <w:tc>
          <w:tcPr>
            <w:tcW w:w="1201" w:type="dxa"/>
            <w:vAlign w:val="center"/>
          </w:tcPr>
          <w:p>
            <w:pPr>
              <w:snapToGrid w:val="0"/>
              <w:spacing w:line="300" w:lineRule="exact"/>
              <w:jc w:val="center"/>
              <w:rPr>
                <w:rFonts w:eastAsia="宋体"/>
                <w:sz w:val="21"/>
                <w:szCs w:val="21"/>
              </w:rPr>
            </w:pPr>
            <w:r>
              <w:rPr>
                <w:rFonts w:eastAsia="宋体"/>
                <w:sz w:val="21"/>
                <w:szCs w:val="21"/>
              </w:rPr>
              <w:t>一般固废</w:t>
            </w:r>
          </w:p>
        </w:tc>
        <w:tc>
          <w:tcPr>
            <w:tcW w:w="1065" w:type="dxa"/>
            <w:vAlign w:val="center"/>
          </w:tcPr>
          <w:p>
            <w:pPr>
              <w:spacing w:line="300" w:lineRule="exact"/>
              <w:jc w:val="center"/>
              <w:rPr>
                <w:rFonts w:eastAsia="宋体"/>
                <w:sz w:val="21"/>
                <w:szCs w:val="21"/>
              </w:rPr>
            </w:pPr>
            <w:r>
              <w:rPr>
                <w:rFonts w:hint="eastAsia" w:eastAsia="宋体"/>
                <w:sz w:val="21"/>
                <w:szCs w:val="21"/>
              </w:rPr>
              <w:t>0</w:t>
            </w:r>
          </w:p>
        </w:tc>
        <w:tc>
          <w:tcPr>
            <w:tcW w:w="1170" w:type="dxa"/>
            <w:vAlign w:val="center"/>
          </w:tcPr>
          <w:p>
            <w:pPr>
              <w:spacing w:line="300" w:lineRule="exact"/>
              <w:jc w:val="center"/>
              <w:rPr>
                <w:rFonts w:eastAsia="宋体"/>
                <w:sz w:val="21"/>
                <w:szCs w:val="21"/>
              </w:rPr>
            </w:pPr>
            <w:r>
              <w:rPr>
                <w:rFonts w:eastAsia="宋体"/>
                <w:sz w:val="21"/>
                <w:szCs w:val="21"/>
              </w:rPr>
              <w:t>0</w:t>
            </w:r>
          </w:p>
        </w:tc>
        <w:tc>
          <w:tcPr>
            <w:tcW w:w="1132" w:type="dxa"/>
            <w:vAlign w:val="center"/>
          </w:tcPr>
          <w:p>
            <w:pPr>
              <w:spacing w:line="300" w:lineRule="exact"/>
              <w:jc w:val="center"/>
              <w:rPr>
                <w:rFonts w:eastAsia="宋体"/>
                <w:sz w:val="21"/>
                <w:szCs w:val="21"/>
              </w:rPr>
            </w:pPr>
            <w:r>
              <w:rPr>
                <w:rFonts w:eastAsia="宋体"/>
                <w:sz w:val="21"/>
                <w:szCs w:val="21"/>
              </w:rPr>
              <w:t>0</w:t>
            </w:r>
          </w:p>
        </w:tc>
        <w:tc>
          <w:tcPr>
            <w:tcW w:w="1003" w:type="dxa"/>
            <w:vAlign w:val="center"/>
          </w:tcPr>
          <w:p>
            <w:pPr>
              <w:spacing w:line="300" w:lineRule="exact"/>
              <w:jc w:val="center"/>
              <w:rPr>
                <w:rFonts w:eastAsiaTheme="minorEastAsia"/>
                <w:sz w:val="21"/>
                <w:szCs w:val="21"/>
                <w:lang w:val="zh-CN"/>
              </w:rPr>
            </w:pPr>
            <w:r>
              <w:rPr>
                <w:rFonts w:hint="eastAsia" w:eastAsiaTheme="minorEastAsia"/>
                <w:sz w:val="21"/>
                <w:szCs w:val="21"/>
                <w:lang w:val="zh-CN"/>
              </w:rPr>
              <w:t>0</w:t>
            </w:r>
          </w:p>
        </w:tc>
        <w:tc>
          <w:tcPr>
            <w:tcW w:w="887" w:type="dxa"/>
            <w:vAlign w:val="center"/>
          </w:tcPr>
          <w:p>
            <w:pPr>
              <w:spacing w:line="300" w:lineRule="exact"/>
              <w:jc w:val="center"/>
              <w:rPr>
                <w:rFonts w:eastAsia="宋体"/>
                <w:sz w:val="21"/>
                <w:szCs w:val="21"/>
              </w:rPr>
            </w:pPr>
            <w:r>
              <w:rPr>
                <w:rFonts w:eastAsia="宋体"/>
                <w:sz w:val="21"/>
                <w:szCs w:val="21"/>
              </w:rPr>
              <w:t>0</w:t>
            </w:r>
          </w:p>
        </w:tc>
        <w:tc>
          <w:tcPr>
            <w:tcW w:w="1143" w:type="dxa"/>
            <w:vAlign w:val="center"/>
          </w:tcPr>
          <w:p>
            <w:pPr>
              <w:spacing w:line="300" w:lineRule="exact"/>
              <w:jc w:val="center"/>
              <w:rPr>
                <w:rFonts w:eastAsia="宋体"/>
                <w:sz w:val="21"/>
                <w:szCs w:val="21"/>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adjustRightInd w:val="0"/>
              <w:snapToGrid w:val="0"/>
              <w:spacing w:line="300" w:lineRule="exact"/>
              <w:jc w:val="center"/>
              <w:rPr>
                <w:rFonts w:eastAsia="宋体"/>
                <w:sz w:val="21"/>
                <w:szCs w:val="21"/>
              </w:rPr>
            </w:pPr>
          </w:p>
        </w:tc>
        <w:tc>
          <w:tcPr>
            <w:tcW w:w="1201" w:type="dxa"/>
            <w:vAlign w:val="center"/>
          </w:tcPr>
          <w:p>
            <w:pPr>
              <w:snapToGrid w:val="0"/>
              <w:spacing w:line="300" w:lineRule="exact"/>
              <w:jc w:val="center"/>
              <w:rPr>
                <w:rFonts w:eastAsia="宋体"/>
                <w:sz w:val="21"/>
                <w:szCs w:val="21"/>
              </w:rPr>
            </w:pPr>
            <w:r>
              <w:rPr>
                <w:rFonts w:eastAsia="宋体"/>
                <w:sz w:val="21"/>
                <w:szCs w:val="21"/>
              </w:rPr>
              <w:t>危险废物</w:t>
            </w:r>
          </w:p>
        </w:tc>
        <w:tc>
          <w:tcPr>
            <w:tcW w:w="1065" w:type="dxa"/>
            <w:vAlign w:val="center"/>
          </w:tcPr>
          <w:p>
            <w:pPr>
              <w:spacing w:line="300" w:lineRule="exact"/>
              <w:jc w:val="center"/>
              <w:rPr>
                <w:rFonts w:eastAsia="宋体"/>
                <w:sz w:val="21"/>
                <w:szCs w:val="21"/>
              </w:rPr>
            </w:pPr>
            <w:r>
              <w:rPr>
                <w:rFonts w:hint="eastAsia" w:eastAsia="宋体"/>
                <w:sz w:val="21"/>
                <w:szCs w:val="21"/>
              </w:rPr>
              <w:t>0</w:t>
            </w:r>
          </w:p>
        </w:tc>
        <w:tc>
          <w:tcPr>
            <w:tcW w:w="1170" w:type="dxa"/>
            <w:vAlign w:val="center"/>
          </w:tcPr>
          <w:p>
            <w:pPr>
              <w:spacing w:line="300" w:lineRule="exact"/>
              <w:jc w:val="center"/>
              <w:rPr>
                <w:rFonts w:eastAsia="宋体"/>
                <w:sz w:val="21"/>
                <w:szCs w:val="21"/>
              </w:rPr>
            </w:pPr>
            <w:r>
              <w:rPr>
                <w:rFonts w:eastAsia="宋体"/>
                <w:sz w:val="21"/>
                <w:szCs w:val="21"/>
              </w:rPr>
              <w:t>0</w:t>
            </w:r>
          </w:p>
        </w:tc>
        <w:tc>
          <w:tcPr>
            <w:tcW w:w="1132" w:type="dxa"/>
            <w:vAlign w:val="center"/>
          </w:tcPr>
          <w:p>
            <w:pPr>
              <w:spacing w:line="300" w:lineRule="exact"/>
              <w:jc w:val="center"/>
              <w:rPr>
                <w:rFonts w:eastAsia="宋体"/>
                <w:sz w:val="21"/>
                <w:szCs w:val="21"/>
              </w:rPr>
            </w:pPr>
            <w:r>
              <w:rPr>
                <w:rFonts w:eastAsia="宋体"/>
                <w:sz w:val="21"/>
                <w:szCs w:val="21"/>
              </w:rPr>
              <w:t>0</w:t>
            </w:r>
          </w:p>
        </w:tc>
        <w:tc>
          <w:tcPr>
            <w:tcW w:w="1003" w:type="dxa"/>
            <w:vAlign w:val="center"/>
          </w:tcPr>
          <w:p>
            <w:pPr>
              <w:spacing w:line="300" w:lineRule="exact"/>
              <w:jc w:val="center"/>
              <w:rPr>
                <w:rFonts w:eastAsia="宋体"/>
                <w:sz w:val="21"/>
                <w:szCs w:val="21"/>
              </w:rPr>
            </w:pPr>
            <w:r>
              <w:rPr>
                <w:rFonts w:eastAsia="宋体"/>
                <w:sz w:val="21"/>
                <w:szCs w:val="21"/>
              </w:rPr>
              <w:t>0</w:t>
            </w:r>
          </w:p>
        </w:tc>
        <w:tc>
          <w:tcPr>
            <w:tcW w:w="887" w:type="dxa"/>
            <w:vAlign w:val="center"/>
          </w:tcPr>
          <w:p>
            <w:pPr>
              <w:spacing w:line="300" w:lineRule="exact"/>
              <w:jc w:val="center"/>
              <w:rPr>
                <w:rFonts w:eastAsia="宋体"/>
                <w:sz w:val="21"/>
                <w:szCs w:val="21"/>
              </w:rPr>
            </w:pPr>
            <w:r>
              <w:rPr>
                <w:rFonts w:eastAsia="宋体"/>
                <w:sz w:val="21"/>
                <w:szCs w:val="21"/>
              </w:rPr>
              <w:t>0</w:t>
            </w:r>
          </w:p>
        </w:tc>
        <w:tc>
          <w:tcPr>
            <w:tcW w:w="1143" w:type="dxa"/>
            <w:vAlign w:val="center"/>
          </w:tcPr>
          <w:p>
            <w:pPr>
              <w:spacing w:line="300" w:lineRule="exact"/>
              <w:jc w:val="center"/>
              <w:rPr>
                <w:rFonts w:eastAsia="宋体"/>
                <w:sz w:val="21"/>
                <w:szCs w:val="21"/>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2" w:type="dxa"/>
            <w:vMerge w:val="continue"/>
            <w:tcBorders>
              <w:bottom w:val="single" w:color="auto" w:sz="4" w:space="0"/>
            </w:tcBorders>
            <w:vAlign w:val="center"/>
          </w:tcPr>
          <w:p>
            <w:pPr>
              <w:adjustRightInd w:val="0"/>
              <w:snapToGrid w:val="0"/>
              <w:spacing w:line="300" w:lineRule="exact"/>
              <w:jc w:val="center"/>
              <w:rPr>
                <w:rFonts w:eastAsia="宋体"/>
                <w:sz w:val="21"/>
                <w:szCs w:val="21"/>
              </w:rPr>
            </w:pPr>
          </w:p>
        </w:tc>
        <w:tc>
          <w:tcPr>
            <w:tcW w:w="1201" w:type="dxa"/>
            <w:tcBorders>
              <w:bottom w:val="single" w:color="auto" w:sz="4" w:space="0"/>
            </w:tcBorders>
            <w:vAlign w:val="center"/>
          </w:tcPr>
          <w:p>
            <w:pPr>
              <w:snapToGrid w:val="0"/>
              <w:spacing w:line="300" w:lineRule="exact"/>
              <w:jc w:val="center"/>
              <w:rPr>
                <w:rFonts w:eastAsia="宋体"/>
                <w:sz w:val="21"/>
                <w:szCs w:val="21"/>
              </w:rPr>
            </w:pPr>
            <w:r>
              <w:rPr>
                <w:rFonts w:eastAsia="宋体"/>
                <w:sz w:val="21"/>
                <w:szCs w:val="21"/>
              </w:rPr>
              <w:t>生活垃圾</w:t>
            </w:r>
          </w:p>
        </w:tc>
        <w:tc>
          <w:tcPr>
            <w:tcW w:w="1065" w:type="dxa"/>
            <w:tcBorders>
              <w:bottom w:val="single" w:color="auto" w:sz="4" w:space="0"/>
            </w:tcBorders>
            <w:vAlign w:val="center"/>
          </w:tcPr>
          <w:p>
            <w:pPr>
              <w:spacing w:line="300" w:lineRule="exact"/>
              <w:jc w:val="center"/>
              <w:rPr>
                <w:rFonts w:eastAsia="宋体"/>
                <w:sz w:val="21"/>
                <w:szCs w:val="21"/>
              </w:rPr>
            </w:pPr>
            <w:r>
              <w:rPr>
                <w:rFonts w:hint="eastAsia" w:eastAsia="宋体"/>
                <w:sz w:val="21"/>
                <w:szCs w:val="21"/>
              </w:rPr>
              <w:t>0</w:t>
            </w:r>
          </w:p>
        </w:tc>
        <w:tc>
          <w:tcPr>
            <w:tcW w:w="1170" w:type="dxa"/>
            <w:tcBorders>
              <w:bottom w:val="single" w:color="auto" w:sz="4" w:space="0"/>
            </w:tcBorders>
            <w:vAlign w:val="center"/>
          </w:tcPr>
          <w:p>
            <w:pPr>
              <w:spacing w:line="300" w:lineRule="exact"/>
              <w:jc w:val="center"/>
              <w:rPr>
                <w:rFonts w:eastAsia="宋体"/>
                <w:sz w:val="21"/>
                <w:szCs w:val="21"/>
              </w:rPr>
            </w:pPr>
            <w:r>
              <w:rPr>
                <w:rFonts w:eastAsia="宋体"/>
                <w:sz w:val="21"/>
                <w:szCs w:val="21"/>
              </w:rPr>
              <w:t>0</w:t>
            </w:r>
          </w:p>
        </w:tc>
        <w:tc>
          <w:tcPr>
            <w:tcW w:w="1132" w:type="dxa"/>
            <w:tcBorders>
              <w:bottom w:val="single" w:color="auto" w:sz="4" w:space="0"/>
            </w:tcBorders>
            <w:vAlign w:val="center"/>
          </w:tcPr>
          <w:p>
            <w:pPr>
              <w:spacing w:line="300" w:lineRule="exact"/>
              <w:jc w:val="center"/>
              <w:rPr>
                <w:rFonts w:eastAsia="宋体"/>
                <w:sz w:val="21"/>
                <w:szCs w:val="21"/>
              </w:rPr>
            </w:pPr>
            <w:r>
              <w:rPr>
                <w:rFonts w:eastAsia="宋体"/>
                <w:sz w:val="21"/>
                <w:szCs w:val="21"/>
              </w:rPr>
              <w:t>0</w:t>
            </w:r>
          </w:p>
        </w:tc>
        <w:tc>
          <w:tcPr>
            <w:tcW w:w="1003" w:type="dxa"/>
            <w:tcBorders>
              <w:bottom w:val="single" w:color="auto" w:sz="4" w:space="0"/>
            </w:tcBorders>
            <w:vAlign w:val="center"/>
          </w:tcPr>
          <w:p>
            <w:pPr>
              <w:spacing w:line="300" w:lineRule="exact"/>
              <w:jc w:val="center"/>
              <w:rPr>
                <w:rFonts w:eastAsia="宋体"/>
                <w:sz w:val="21"/>
                <w:szCs w:val="21"/>
              </w:rPr>
            </w:pPr>
            <w:r>
              <w:rPr>
                <w:rFonts w:eastAsia="宋体"/>
                <w:sz w:val="21"/>
                <w:szCs w:val="21"/>
              </w:rPr>
              <w:t>0</w:t>
            </w:r>
          </w:p>
        </w:tc>
        <w:tc>
          <w:tcPr>
            <w:tcW w:w="887" w:type="dxa"/>
            <w:tcBorders>
              <w:bottom w:val="single" w:color="auto" w:sz="4" w:space="0"/>
            </w:tcBorders>
            <w:vAlign w:val="center"/>
          </w:tcPr>
          <w:p>
            <w:pPr>
              <w:spacing w:line="300" w:lineRule="exact"/>
              <w:jc w:val="center"/>
              <w:rPr>
                <w:rFonts w:eastAsia="宋体"/>
                <w:sz w:val="21"/>
                <w:szCs w:val="21"/>
              </w:rPr>
            </w:pPr>
            <w:r>
              <w:rPr>
                <w:rFonts w:eastAsia="宋体"/>
                <w:sz w:val="21"/>
                <w:szCs w:val="21"/>
              </w:rPr>
              <w:t>0</w:t>
            </w:r>
          </w:p>
        </w:tc>
        <w:tc>
          <w:tcPr>
            <w:tcW w:w="1143" w:type="dxa"/>
            <w:tcBorders>
              <w:bottom w:val="single" w:color="auto" w:sz="4" w:space="0"/>
            </w:tcBorders>
            <w:vAlign w:val="center"/>
          </w:tcPr>
          <w:p>
            <w:pPr>
              <w:spacing w:line="300" w:lineRule="exact"/>
              <w:jc w:val="center"/>
              <w:rPr>
                <w:rFonts w:eastAsia="宋体"/>
                <w:sz w:val="21"/>
                <w:szCs w:val="21"/>
              </w:rPr>
            </w:pPr>
            <w:r>
              <w:rPr>
                <w:rFonts w:eastAsia="宋体"/>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643" w:type="dxa"/>
            <w:gridSpan w:val="8"/>
            <w:tcBorders>
              <w:left w:val="nil"/>
              <w:bottom w:val="nil"/>
              <w:right w:val="nil"/>
            </w:tcBorders>
            <w:vAlign w:val="center"/>
          </w:tcPr>
          <w:p>
            <w:pPr>
              <w:spacing w:line="300" w:lineRule="exact"/>
              <w:rPr>
                <w:rFonts w:eastAsia="宋体"/>
                <w:sz w:val="21"/>
                <w:szCs w:val="21"/>
              </w:rPr>
            </w:pPr>
            <w:r>
              <w:rPr>
                <w:rFonts w:hint="eastAsia" w:eastAsia="宋体"/>
                <w:sz w:val="21"/>
                <w:szCs w:val="21"/>
              </w:rPr>
              <w:t>*</w:t>
            </w:r>
            <w:r>
              <w:rPr>
                <w:rFonts w:eastAsia="宋体"/>
                <w:sz w:val="21"/>
                <w:szCs w:val="21"/>
              </w:rPr>
              <w:t>注：现有炼钢废气</w:t>
            </w:r>
            <w:r>
              <w:rPr>
                <w:rFonts w:hint="eastAsia" w:eastAsia="宋体"/>
                <w:sz w:val="21"/>
                <w:szCs w:val="21"/>
              </w:rPr>
              <w:t>低氮改造</w:t>
            </w:r>
            <w:r>
              <w:rPr>
                <w:rFonts w:eastAsia="宋体"/>
                <w:sz w:val="21"/>
                <w:szCs w:val="21"/>
              </w:rPr>
              <w:t>后</w:t>
            </w:r>
            <w:r>
              <w:rPr>
                <w:rFonts w:hint="eastAsia" w:eastAsia="宋体"/>
                <w:sz w:val="21"/>
                <w:szCs w:val="21"/>
              </w:rPr>
              <w:t>颗粒物</w:t>
            </w:r>
            <w:r>
              <w:rPr>
                <w:rFonts w:eastAsia="宋体"/>
                <w:sz w:val="21"/>
                <w:szCs w:val="21"/>
              </w:rPr>
              <w:t>排放量</w:t>
            </w:r>
            <w:r>
              <w:rPr>
                <w:rFonts w:hint="eastAsia" w:eastAsia="宋体"/>
                <w:sz w:val="21"/>
                <w:szCs w:val="21"/>
              </w:rPr>
              <w:t>1.12t/a</w:t>
            </w:r>
            <w:r>
              <w:rPr>
                <w:rFonts w:eastAsia="宋体"/>
                <w:sz w:val="21"/>
                <w:szCs w:val="21"/>
              </w:rPr>
              <w:t>+</w:t>
            </w:r>
            <w:r>
              <w:rPr>
                <w:rFonts w:hint="eastAsia" w:eastAsia="宋体"/>
                <w:sz w:val="21"/>
                <w:szCs w:val="21"/>
              </w:rPr>
              <w:t>项目颗粒物</w:t>
            </w:r>
            <w:r>
              <w:rPr>
                <w:rFonts w:eastAsia="宋体"/>
                <w:sz w:val="21"/>
                <w:szCs w:val="21"/>
              </w:rPr>
              <w:t>排放量12.211</w:t>
            </w:r>
            <w:r>
              <w:rPr>
                <w:rFonts w:hint="eastAsia" w:eastAsia="宋体"/>
                <w:sz w:val="21"/>
                <w:szCs w:val="21"/>
              </w:rPr>
              <w:t>t/a</w:t>
            </w:r>
            <w:r>
              <w:rPr>
                <w:rFonts w:eastAsia="宋体"/>
                <w:sz w:val="21"/>
                <w:szCs w:val="21"/>
              </w:rPr>
              <w:t>+</w:t>
            </w:r>
            <w:r>
              <w:rPr>
                <w:rFonts w:hint="eastAsia" w:eastAsia="宋体"/>
                <w:sz w:val="21"/>
                <w:szCs w:val="21"/>
              </w:rPr>
              <w:t>项目</w:t>
            </w:r>
            <w:r>
              <w:rPr>
                <w:rFonts w:eastAsia="宋体"/>
                <w:sz w:val="21"/>
                <w:szCs w:val="21"/>
              </w:rPr>
              <w:t>烟尘排放量</w:t>
            </w:r>
            <w:r>
              <w:rPr>
                <w:rFonts w:hint="eastAsia" w:eastAsia="宋体"/>
                <w:sz w:val="21"/>
                <w:szCs w:val="21"/>
              </w:rPr>
              <w:t>0.</w:t>
            </w:r>
            <w:r>
              <w:rPr>
                <w:rFonts w:eastAsia="宋体"/>
                <w:sz w:val="21"/>
                <w:szCs w:val="21"/>
              </w:rPr>
              <w:t>145</w:t>
            </w:r>
            <w:r>
              <w:rPr>
                <w:rFonts w:hint="eastAsia" w:eastAsia="宋体"/>
                <w:sz w:val="21"/>
                <w:szCs w:val="21"/>
              </w:rPr>
              <w:t>t/a，</w:t>
            </w:r>
            <w:r>
              <w:rPr>
                <w:rFonts w:eastAsia="宋体"/>
                <w:sz w:val="21"/>
                <w:szCs w:val="21"/>
              </w:rPr>
              <w:t>合计13.476</w:t>
            </w:r>
            <w:r>
              <w:rPr>
                <w:rFonts w:hint="eastAsia" w:eastAsia="宋体"/>
                <w:sz w:val="21"/>
                <w:szCs w:val="21"/>
              </w:rPr>
              <w:t>t/a</w:t>
            </w:r>
          </w:p>
        </w:tc>
      </w:tr>
    </w:tbl>
    <w:p>
      <w:pPr>
        <w:pStyle w:val="835"/>
        <w:spacing w:before="0" w:line="480" w:lineRule="exact"/>
        <w:ind w:firstLine="486"/>
        <w:rPr>
          <w:rFonts w:ascii="Times New Roman" w:hAnsi="Times New Roman"/>
        </w:rPr>
      </w:pPr>
      <w:r>
        <w:rPr>
          <w:rFonts w:ascii="Times New Roman" w:hAnsi="Times New Roman" w:eastAsiaTheme="minorEastAsia"/>
          <w:bCs/>
        </w:rPr>
        <w:t>项目实施后</w:t>
      </w:r>
      <w:r>
        <w:rPr>
          <w:rFonts w:hint="eastAsia" w:ascii="Times New Roman" w:hAnsi="Times New Roman" w:eastAsiaTheme="minorEastAsia"/>
          <w:bCs/>
        </w:rPr>
        <w:t>企业主要</w:t>
      </w:r>
      <w:r>
        <w:rPr>
          <w:rFonts w:ascii="Times New Roman" w:hAnsi="Times New Roman" w:eastAsiaTheme="minorEastAsia"/>
          <w:bCs/>
        </w:rPr>
        <w:t>污染物排放均在原排污许可证载明量内，环评建议</w:t>
      </w:r>
      <w:r>
        <w:rPr>
          <w:rFonts w:hint="eastAsia" w:ascii="Times New Roman" w:hAnsi="Times New Roman" w:eastAsiaTheme="minorEastAsia"/>
          <w:bCs/>
        </w:rPr>
        <w:t>以</w:t>
      </w:r>
      <w:r>
        <w:rPr>
          <w:rFonts w:ascii="Times New Roman" w:hAnsi="Times New Roman" w:eastAsiaTheme="minorEastAsia"/>
          <w:bCs/>
        </w:rPr>
        <w:t>原排污许可证的核定量作为项目实施后企业总厂总量控制值</w:t>
      </w:r>
      <w:r>
        <w:rPr>
          <w:rFonts w:hint="eastAsia" w:ascii="Times New Roman" w:hAnsi="Times New Roman" w:eastAsiaTheme="minorEastAsia"/>
          <w:bCs/>
        </w:rPr>
        <w:t>，即</w:t>
      </w:r>
      <w:r>
        <w:rPr>
          <w:rFonts w:hint="eastAsia" w:ascii="Times New Roman" w:hAnsi="Times New Roman"/>
        </w:rPr>
        <w:t>：</w:t>
      </w:r>
      <w:r>
        <w:rPr>
          <w:rFonts w:ascii="Times New Roman" w:hAnsi="Times New Roman"/>
        </w:rPr>
        <w:t>SO</w:t>
      </w:r>
      <w:r>
        <w:rPr>
          <w:rFonts w:ascii="Times New Roman" w:hAnsi="Times New Roman"/>
          <w:vertAlign w:val="subscript"/>
        </w:rPr>
        <w:t>2</w:t>
      </w:r>
      <w:r>
        <w:rPr>
          <w:rFonts w:ascii="Times New Roman" w:hAnsi="Times New Roman"/>
        </w:rPr>
        <w:t>23.861t/a、NO</w:t>
      </w:r>
      <w:r>
        <w:rPr>
          <w:rFonts w:ascii="Times New Roman" w:hAnsi="Times New Roman"/>
          <w:vertAlign w:val="subscript"/>
        </w:rPr>
        <w:t>x</w:t>
      </w:r>
      <w:r>
        <w:rPr>
          <w:rFonts w:ascii="Times New Roman" w:hAnsi="Times New Roman"/>
        </w:rPr>
        <w:t>47.835t/a、烟粉尘39.4576</w:t>
      </w:r>
      <w:r>
        <w:rPr>
          <w:rFonts w:hint="eastAsia" w:ascii="Times New Roman" w:hAnsi="Times New Roman"/>
        </w:rPr>
        <w:t>1</w:t>
      </w:r>
      <w:r>
        <w:rPr>
          <w:rFonts w:ascii="Times New Roman" w:hAnsi="Times New Roman"/>
        </w:rPr>
        <w:t>t/a、COD5.152t/a、氨氮0.515t/a。</w:t>
      </w:r>
    </w:p>
    <w:bookmarkEnd w:id="17"/>
    <w:bookmarkEnd w:id="18"/>
    <w:bookmarkEnd w:id="89"/>
    <w:bookmarkEnd w:id="90"/>
    <w:bookmarkEnd w:id="91"/>
    <w:bookmarkEnd w:id="92"/>
    <w:bookmarkEnd w:id="93"/>
    <w:bookmarkEnd w:id="94"/>
    <w:bookmarkEnd w:id="95"/>
    <w:bookmarkEnd w:id="120"/>
    <w:bookmarkEnd w:id="121"/>
    <w:bookmarkEnd w:id="122"/>
    <w:bookmarkEnd w:id="123"/>
    <w:bookmarkEnd w:id="124"/>
    <w:p>
      <w:pPr>
        <w:sectPr>
          <w:footerReference r:id="rId13" w:type="default"/>
          <w:pgSz w:w="11907" w:h="16840"/>
          <w:pgMar w:top="1418" w:right="1406" w:bottom="1418" w:left="1157" w:header="851" w:footer="737" w:gutter="567"/>
          <w:pgNumType w:fmt="numberInDash"/>
          <w:cols w:space="720" w:num="1"/>
          <w:docGrid w:type="linesAndChars" w:linePitch="421" w:charSpace="640"/>
        </w:sectPr>
      </w:pPr>
      <w:bookmarkStart w:id="126" w:name="4_1"/>
      <w:bookmarkEnd w:id="126"/>
      <w:bookmarkStart w:id="127" w:name="sub4718_4_1"/>
      <w:bookmarkEnd w:id="127"/>
    </w:p>
    <w:p>
      <w:pPr>
        <w:pStyle w:val="2"/>
        <w:numPr>
          <w:ilvl w:val="0"/>
          <w:numId w:val="1"/>
        </w:numPr>
      </w:pPr>
      <w:bookmarkStart w:id="128" w:name="_Toc10637159"/>
      <w:bookmarkStart w:id="129" w:name="_Toc286313977"/>
      <w:r>
        <w:t>环境现状调查与评价</w:t>
      </w:r>
      <w:bookmarkEnd w:id="128"/>
    </w:p>
    <w:p>
      <w:pPr>
        <w:pStyle w:val="3"/>
        <w:rPr>
          <w:rFonts w:ascii="Times New Roman" w:hAnsi="Times New Roman"/>
        </w:rPr>
      </w:pPr>
      <w:bookmarkStart w:id="130" w:name="_Toc82944675"/>
      <w:bookmarkStart w:id="131" w:name="_Toc84214459"/>
      <w:bookmarkStart w:id="132" w:name="_Toc94265024"/>
      <w:bookmarkStart w:id="133" w:name="_Toc128470755"/>
      <w:bookmarkStart w:id="134" w:name="_Toc80671735"/>
      <w:bookmarkStart w:id="135" w:name="_Toc221962957"/>
      <w:bookmarkStart w:id="136" w:name="_Toc76203371"/>
      <w:bookmarkStart w:id="137" w:name="_Toc268609146"/>
      <w:bookmarkStart w:id="138" w:name="_Toc227656563"/>
      <w:bookmarkStart w:id="139" w:name="_Toc129677858"/>
      <w:bookmarkStart w:id="140" w:name="_Toc286313929"/>
      <w:bookmarkStart w:id="141" w:name="_Toc10637160"/>
      <w:r>
        <w:rPr>
          <w:rFonts w:ascii="Times New Roman" w:hAnsi="Times New Roman"/>
        </w:rPr>
        <w:t>项目地理位置</w:t>
      </w:r>
      <w:bookmarkEnd w:id="130"/>
      <w:bookmarkEnd w:id="131"/>
      <w:bookmarkEnd w:id="132"/>
      <w:bookmarkEnd w:id="133"/>
      <w:bookmarkEnd w:id="134"/>
      <w:bookmarkEnd w:id="135"/>
      <w:bookmarkEnd w:id="136"/>
      <w:bookmarkEnd w:id="137"/>
      <w:bookmarkEnd w:id="138"/>
      <w:bookmarkEnd w:id="139"/>
      <w:bookmarkEnd w:id="140"/>
      <w:bookmarkEnd w:id="141"/>
    </w:p>
    <w:p>
      <w:pPr>
        <w:pStyle w:val="4"/>
        <w:spacing w:line="480" w:lineRule="exact"/>
        <w:rPr>
          <w:rFonts w:ascii="Times New Roman" w:hAnsi="Times New Roman" w:cs="Times New Roman"/>
          <w:spacing w:val="0"/>
        </w:rPr>
      </w:pPr>
      <w:bookmarkStart w:id="142" w:name="_Toc94265025"/>
      <w:bookmarkStart w:id="143" w:name="_Toc129677859"/>
      <w:bookmarkStart w:id="144" w:name="_Toc76203372"/>
      <w:bookmarkStart w:id="145" w:name="_Toc84214460"/>
      <w:bookmarkStart w:id="146" w:name="_Toc80671736"/>
      <w:bookmarkStart w:id="147" w:name="_Toc128470756"/>
      <w:bookmarkStart w:id="148" w:name="_Toc82944676"/>
      <w:r>
        <w:rPr>
          <w:rFonts w:hint="eastAsia" w:ascii="Times New Roman" w:hAnsi="Times New Roman" w:cs="Times New Roman"/>
          <w:spacing w:val="0"/>
        </w:rPr>
        <w:t>湖州市地处浙江省北部、浙苏皖三省交界处，是沪、宁、杭“金三角”的中心，位于东经 119°41'～120°29'，北纬 30°22'～31°11'之间，北濒太湖，东邻江苏省吴江市和我省桐乡市，南邻杭州市，西倚天目山，与安徽省宁国、广德两县接壤，东西长120km，南北宽90km，土地总面积5817km</w:t>
      </w:r>
      <w:r>
        <w:rPr>
          <w:rFonts w:hint="eastAsia" w:ascii="Times New Roman" w:hAnsi="Times New Roman" w:cs="Times New Roman"/>
          <w:spacing w:val="0"/>
          <w:vertAlign w:val="superscript"/>
        </w:rPr>
        <w:t>2</w:t>
      </w:r>
      <w:r>
        <w:rPr>
          <w:rFonts w:hint="eastAsia" w:ascii="Times New Roman" w:hAnsi="Times New Roman" w:cs="Times New Roman"/>
          <w:spacing w:val="0"/>
        </w:rPr>
        <w:t>，占全省总面积的5.64%。</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湖州经济技术开发区是湖州南太湖产业集聚区的核心区，1992年8月经浙江省政府批准设立的首批省级开发区，2010年3月经国务院批准升格为国家级经济技术开发区。其东邻上海，南接杭州，西连苏皖，北濒太湖，与上海、杭州、宁波、南京、苏州等长三角大中城市的距离都在“200公里合理交通半径”之内，具有得天独厚的区位环境优势。</w:t>
      </w:r>
    </w:p>
    <w:p>
      <w:pPr>
        <w:pStyle w:val="4"/>
        <w:spacing w:line="480" w:lineRule="exact"/>
        <w:rPr>
          <w:rFonts w:ascii="Times New Roman" w:hAnsi="Times New Roman" w:cs="Times New Roman"/>
          <w:spacing w:val="0"/>
        </w:rPr>
      </w:pPr>
      <w:r>
        <w:rPr>
          <w:rFonts w:hint="eastAsia" w:ascii="Times New Roman" w:hAnsi="Times New Roman" w:cs="Times New Roman"/>
          <w:spacing w:val="0"/>
        </w:rPr>
        <w:t>项目位于湖州市经济开发区</w:t>
      </w:r>
      <w:r>
        <w:rPr>
          <w:rFonts w:ascii="Times New Roman" w:hAnsi="Times New Roman" w:cs="Times New Roman"/>
          <w:spacing w:val="0"/>
        </w:rPr>
        <w:t>霅水桥路</w:t>
      </w:r>
      <w:r>
        <w:rPr>
          <w:rFonts w:hint="eastAsia" w:ascii="Times New Roman" w:hAnsi="Times New Roman" w:cs="Times New Roman"/>
          <w:spacing w:val="0"/>
        </w:rPr>
        <w:t>618号，项目厂区以敢山东路为界分为东、西两个地块，地块东位于敢山东路以东，其东侧为宁杭高铁，南侧为霅水桥路，西侧为敢山东路、隔路为西地块，北</w:t>
      </w:r>
      <w:r>
        <w:rPr>
          <w:rFonts w:hint="eastAsia" w:ascii="Times New Roman" w:hAnsi="Times New Roman" w:cs="Times New Roman"/>
          <w:spacing w:val="0"/>
          <w:szCs w:val="24"/>
        </w:rPr>
        <w:t>侧为</w:t>
      </w:r>
      <w:r>
        <w:rPr>
          <w:rFonts w:hint="eastAsia" w:eastAsiaTheme="minorEastAsia"/>
          <w:szCs w:val="24"/>
        </w:rPr>
        <w:t>湖州天恩管业股份有限公司</w:t>
      </w:r>
      <w:r>
        <w:rPr>
          <w:rFonts w:hint="eastAsia" w:ascii="Times New Roman" w:hAnsi="Times New Roman" w:cs="Times New Roman"/>
          <w:spacing w:val="0"/>
          <w:szCs w:val="24"/>
        </w:rPr>
        <w:t>；地块西位</w:t>
      </w:r>
      <w:r>
        <w:rPr>
          <w:rFonts w:hint="eastAsia" w:ascii="Times New Roman" w:hAnsi="Times New Roman" w:cs="Times New Roman"/>
          <w:spacing w:val="0"/>
        </w:rPr>
        <w:t>于敢山东路以西，其东侧为敢山东路，南侧为霅水桥路，西侧为永兴路和</w:t>
      </w:r>
      <w:r>
        <w:rPr>
          <w:rFonts w:ascii="Times New Roman" w:hAnsi="Times New Roman" w:cs="Times New Roman"/>
          <w:spacing w:val="0"/>
        </w:rPr>
        <w:t>久立永兴</w:t>
      </w:r>
      <w:r>
        <w:rPr>
          <w:rFonts w:hint="eastAsia" w:ascii="Times New Roman" w:hAnsi="Times New Roman" w:cs="Times New Roman"/>
          <w:spacing w:val="0"/>
        </w:rPr>
        <w:t>，北侧为敢山路。项目最近的保护目标为东侧</w:t>
      </w:r>
      <w:r>
        <w:rPr>
          <w:rFonts w:ascii="Times New Roman" w:hAnsi="Times New Roman" w:cs="Times New Roman"/>
          <w:spacing w:val="0"/>
        </w:rPr>
        <w:t>690</w:t>
      </w:r>
      <w:r>
        <w:rPr>
          <w:rFonts w:hint="eastAsia" w:ascii="Times New Roman" w:hAnsi="Times New Roman" w:cs="Times New Roman"/>
          <w:spacing w:val="0"/>
        </w:rPr>
        <w:t>m处的永兴家园及</w:t>
      </w:r>
      <w:r>
        <w:rPr>
          <w:rFonts w:ascii="Times New Roman" w:hAnsi="Times New Roman" w:cs="Times New Roman"/>
          <w:spacing w:val="0"/>
        </w:rPr>
        <w:t>辛子公寓</w:t>
      </w:r>
      <w:r>
        <w:rPr>
          <w:rFonts w:hint="eastAsia" w:ascii="Times New Roman" w:hAnsi="Times New Roman" w:cs="Times New Roman"/>
          <w:spacing w:val="0"/>
        </w:rPr>
        <w:t>、西南侧</w:t>
      </w:r>
      <w:r>
        <w:rPr>
          <w:rFonts w:ascii="Times New Roman" w:hAnsi="Times New Roman" w:cs="Times New Roman"/>
          <w:spacing w:val="0"/>
        </w:rPr>
        <w:t>700</w:t>
      </w:r>
      <w:r>
        <w:rPr>
          <w:rFonts w:hint="eastAsia" w:ascii="Times New Roman" w:hAnsi="Times New Roman" w:cs="Times New Roman"/>
          <w:spacing w:val="0"/>
        </w:rPr>
        <w:t>m的罗家浜村宅。</w:t>
      </w:r>
    </w:p>
    <w:bookmarkEnd w:id="142"/>
    <w:bookmarkEnd w:id="143"/>
    <w:bookmarkEnd w:id="144"/>
    <w:bookmarkEnd w:id="145"/>
    <w:bookmarkEnd w:id="146"/>
    <w:bookmarkEnd w:id="147"/>
    <w:bookmarkEnd w:id="148"/>
    <w:p>
      <w:pPr>
        <w:pStyle w:val="3"/>
        <w:numPr>
          <w:ilvl w:val="1"/>
          <w:numId w:val="24"/>
        </w:numPr>
        <w:rPr>
          <w:rFonts w:ascii="Times New Roman" w:hAnsi="Times New Roman"/>
        </w:rPr>
      </w:pPr>
      <w:bookmarkStart w:id="149" w:name="_Toc10637161"/>
      <w:bookmarkStart w:id="150" w:name="_Toc482863735"/>
      <w:bookmarkStart w:id="151" w:name="_Toc52550474"/>
      <w:bookmarkStart w:id="152" w:name="_Toc55549109"/>
      <w:bookmarkStart w:id="153" w:name="_Toc68430394"/>
      <w:bookmarkStart w:id="154" w:name="_Toc52596535"/>
      <w:bookmarkStart w:id="155" w:name="_Toc68622816"/>
      <w:bookmarkStart w:id="156" w:name="_Toc68754603"/>
      <w:bookmarkStart w:id="157" w:name="_Toc68441724"/>
      <w:bookmarkStart w:id="158" w:name="_Toc68755141"/>
      <w:bookmarkStart w:id="159" w:name="_Toc55550989"/>
      <w:bookmarkStart w:id="160" w:name="_Toc68622746"/>
      <w:bookmarkStart w:id="161" w:name="_Toc82944680"/>
      <w:bookmarkStart w:id="162" w:name="_Toc69203394"/>
      <w:bookmarkStart w:id="163" w:name="_Toc69146585"/>
      <w:bookmarkStart w:id="164" w:name="_Toc69203192"/>
      <w:bookmarkStart w:id="165" w:name="_Toc69203316"/>
      <w:r>
        <w:rPr>
          <w:rFonts w:hint="eastAsia" w:ascii="Times New Roman" w:hAnsi="Times New Roman"/>
          <w:lang w:eastAsia="zh-CN"/>
        </w:rPr>
        <w:t>凤凰</w:t>
      </w:r>
      <w:r>
        <w:rPr>
          <w:rFonts w:ascii="Times New Roman" w:hAnsi="Times New Roman"/>
        </w:rPr>
        <w:t>污水处理</w:t>
      </w:r>
      <w:r>
        <w:rPr>
          <w:rFonts w:hint="eastAsia" w:ascii="Times New Roman" w:hAnsi="Times New Roman"/>
          <w:lang w:eastAsia="zh-CN"/>
        </w:rPr>
        <w:t>厂</w:t>
      </w:r>
      <w:r>
        <w:rPr>
          <w:rFonts w:ascii="Times New Roman" w:hAnsi="Times New Roman"/>
        </w:rPr>
        <w:t>概况</w:t>
      </w:r>
      <w:bookmarkEnd w:id="149"/>
      <w:bookmarkEnd w:id="150"/>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Pr>
        <w:pStyle w:val="4"/>
        <w:spacing w:line="480" w:lineRule="exact"/>
        <w:rPr>
          <w:rFonts w:ascii="Times New Roman" w:hAnsi="Times New Roman" w:cs="Times New Roman" w:eastAsiaTheme="minorEastAsia"/>
          <w:spacing w:val="0"/>
          <w:szCs w:val="28"/>
          <w:lang w:val="zh-CN"/>
        </w:rPr>
      </w:pPr>
      <w:r>
        <w:rPr>
          <w:rFonts w:ascii="Times New Roman" w:hAnsi="Times New Roman" w:cs="Times New Roman" w:eastAsiaTheme="minorEastAsia"/>
          <w:spacing w:val="0"/>
          <w:szCs w:val="28"/>
          <w:lang w:val="zh-CN"/>
        </w:rPr>
        <w:t xml:space="preserve">(1) </w:t>
      </w:r>
      <w:r>
        <w:rPr>
          <w:rFonts w:hint="eastAsia" w:ascii="Times New Roman" w:hAnsi="Times New Roman" w:cs="Times New Roman" w:eastAsiaTheme="minorEastAsia"/>
          <w:spacing w:val="0"/>
          <w:szCs w:val="28"/>
          <w:lang w:val="zh-CN"/>
        </w:rPr>
        <w:t>凤凰</w:t>
      </w:r>
      <w:r>
        <w:rPr>
          <w:rFonts w:ascii="Times New Roman" w:hAnsi="Times New Roman" w:cs="Times New Roman" w:eastAsiaTheme="minorEastAsia"/>
          <w:spacing w:val="0"/>
          <w:szCs w:val="28"/>
          <w:lang w:val="zh-CN"/>
        </w:rPr>
        <w:t>污水处理厂概况</w:t>
      </w:r>
    </w:p>
    <w:p>
      <w:pPr>
        <w:pStyle w:val="4"/>
        <w:spacing w:line="480" w:lineRule="exact"/>
        <w:rPr>
          <w:rFonts w:ascii="Times New Roman" w:hAnsi="Times New Roman" w:cs="Times New Roman" w:eastAsiaTheme="minorEastAsia"/>
          <w:spacing w:val="0"/>
          <w:szCs w:val="28"/>
          <w:lang w:val="zh-CN"/>
        </w:rPr>
      </w:pPr>
      <w:r>
        <w:rPr>
          <w:rFonts w:hint="eastAsia" w:ascii="Times New Roman" w:hAnsi="Times New Roman" w:cs="Times New Roman" w:eastAsiaTheme="minorEastAsia"/>
          <w:spacing w:val="0"/>
          <w:szCs w:val="28"/>
          <w:lang w:val="zh-CN"/>
        </w:rPr>
        <w:t>凤凰污水处理厂是国家环太湖流域污水处理工程之一，厂区占地面积达129亩，总处理能力为7.5万吨/日，分两期建设。</w:t>
      </w:r>
    </w:p>
    <w:p>
      <w:pPr>
        <w:pStyle w:val="4"/>
        <w:spacing w:line="480" w:lineRule="exact"/>
        <w:rPr>
          <w:rFonts w:ascii="Times New Roman" w:hAnsi="Times New Roman" w:cs="Times New Roman" w:eastAsiaTheme="minorEastAsia"/>
          <w:spacing w:val="0"/>
          <w:szCs w:val="28"/>
          <w:lang w:val="zh-CN"/>
        </w:rPr>
      </w:pPr>
      <w:r>
        <w:rPr>
          <w:rFonts w:hint="eastAsia" w:ascii="Times New Roman" w:hAnsi="Times New Roman" w:cs="Times New Roman" w:eastAsiaTheme="minorEastAsia"/>
          <w:spacing w:val="0"/>
          <w:szCs w:val="28"/>
          <w:lang w:val="zh-CN"/>
        </w:rPr>
        <w:t>一期工程设计处理能力为3万吨/日，采用 A</w:t>
      </w:r>
      <w:r>
        <w:rPr>
          <w:rFonts w:hint="eastAsia" w:ascii="Times New Roman" w:hAnsi="Times New Roman" w:cs="Times New Roman" w:eastAsiaTheme="minorEastAsia"/>
          <w:spacing w:val="0"/>
          <w:szCs w:val="28"/>
          <w:vertAlign w:val="superscript"/>
          <w:lang w:val="zh-CN"/>
        </w:rPr>
        <w:t>2</w:t>
      </w:r>
      <w:r>
        <w:rPr>
          <w:rFonts w:hint="eastAsia" w:ascii="Times New Roman" w:hAnsi="Times New Roman" w:cs="Times New Roman" w:eastAsiaTheme="minorEastAsia"/>
          <w:spacing w:val="0"/>
          <w:szCs w:val="28"/>
          <w:lang w:val="zh-CN"/>
        </w:rPr>
        <w:t>/O生物处理工艺，2000 年8月开工建设，2002年3月开始投入运行，2008 年实施污水处理厂（一期）的升级改造，改造处理规模为3万吨/日，采用加药混凝沉淀过滤+消毒工艺，2010 年4月开工建设，2010年12月开始投入运行。</w:t>
      </w:r>
    </w:p>
    <w:p>
      <w:pPr>
        <w:pStyle w:val="4"/>
        <w:spacing w:line="480" w:lineRule="exact"/>
        <w:rPr>
          <w:rFonts w:ascii="Times New Roman" w:hAnsi="Times New Roman" w:cs="Times New Roman" w:eastAsiaTheme="minorEastAsia"/>
          <w:spacing w:val="0"/>
          <w:szCs w:val="28"/>
          <w:lang w:val="zh-CN"/>
        </w:rPr>
      </w:pPr>
      <w:r>
        <w:rPr>
          <w:rFonts w:hint="eastAsia" w:ascii="Times New Roman" w:hAnsi="Times New Roman" w:cs="Times New Roman" w:eastAsiaTheme="minorEastAsia"/>
          <w:spacing w:val="0"/>
          <w:szCs w:val="28"/>
          <w:lang w:val="zh-CN"/>
        </w:rPr>
        <w:t>二期扩建工程设计处理能力4.5万吨/日，采用A</w:t>
      </w:r>
      <w:r>
        <w:rPr>
          <w:rFonts w:hint="eastAsia" w:ascii="Times New Roman" w:hAnsi="Times New Roman" w:cs="Times New Roman" w:eastAsiaTheme="minorEastAsia"/>
          <w:spacing w:val="0"/>
          <w:szCs w:val="28"/>
          <w:vertAlign w:val="superscript"/>
          <w:lang w:val="zh-CN"/>
        </w:rPr>
        <w:t>2</w:t>
      </w:r>
      <w:r>
        <w:rPr>
          <w:rFonts w:hint="eastAsia" w:ascii="Times New Roman" w:hAnsi="Times New Roman" w:cs="Times New Roman" w:eastAsiaTheme="minorEastAsia"/>
          <w:spacing w:val="0"/>
          <w:szCs w:val="28"/>
          <w:lang w:val="zh-CN"/>
        </w:rPr>
        <w:t>/O 生物处理+加药混凝沉淀过滤+消毒工艺，2005年6月开工建设，2007年9月A</w:t>
      </w:r>
      <w:r>
        <w:rPr>
          <w:rFonts w:hint="eastAsia" w:ascii="Times New Roman" w:hAnsi="Times New Roman" w:cs="Times New Roman" w:eastAsiaTheme="minorEastAsia"/>
          <w:spacing w:val="0"/>
          <w:szCs w:val="28"/>
          <w:vertAlign w:val="superscript"/>
          <w:lang w:val="zh-CN"/>
        </w:rPr>
        <w:t>2</w:t>
      </w:r>
      <w:r>
        <w:rPr>
          <w:rFonts w:hint="eastAsia" w:ascii="Times New Roman" w:hAnsi="Times New Roman" w:cs="Times New Roman" w:eastAsiaTheme="minorEastAsia"/>
          <w:spacing w:val="0"/>
          <w:szCs w:val="28"/>
          <w:lang w:val="zh-CN"/>
        </w:rPr>
        <w:t>/O 生物处理（二级处理）单元于开始投入运行，2008年12月中旬加药混凝沉淀过滤（深度处理）单元开始投入运行。</w:t>
      </w:r>
    </w:p>
    <w:p>
      <w:pPr>
        <w:pStyle w:val="4"/>
        <w:spacing w:line="480" w:lineRule="exact"/>
        <w:rPr>
          <w:rFonts w:ascii="Times New Roman" w:hAnsi="Times New Roman" w:cs="Times New Roman" w:eastAsiaTheme="minorEastAsia"/>
          <w:b/>
          <w:spacing w:val="0"/>
          <w:szCs w:val="28"/>
          <w:lang w:val="zh-CN"/>
        </w:rPr>
      </w:pPr>
      <w:r>
        <w:rPr>
          <w:rFonts w:hint="eastAsia" w:ascii="Times New Roman" w:hAnsi="Times New Roman" w:cs="Times New Roman" w:eastAsiaTheme="minorEastAsia"/>
          <w:spacing w:val="0"/>
          <w:szCs w:val="28"/>
          <w:lang w:val="zh-CN"/>
        </w:rPr>
        <w:t>凤凰污水处理厂现状的服务范围主要包括凤凰分区、西南分区、仁皇山分区（南区）、杨家埠和枢纽片区。2011年截污范围约22.3平方公里，服务人口约17.8万人。凤凰污水处理厂现状处理能力为7.5万t/d，目前日均处理废水5.0 万t/d，剩余污水处理容量在2.5 万t/d 左右，其中工业废水占30%左右，生活污水占70%左右，其出水可达到《城镇污水处理厂污染物排放标准》（GB18918-2002）中的一级 A 标准的要求</w:t>
      </w:r>
      <w:r>
        <w:rPr>
          <w:rFonts w:ascii="Times New Roman" w:hAnsi="Times New Roman" w:cs="Times New Roman" w:eastAsiaTheme="minorEastAsia"/>
          <w:spacing w:val="0"/>
          <w:szCs w:val="28"/>
          <w:lang w:val="zh-CN"/>
        </w:rPr>
        <w:t>。</w:t>
      </w:r>
    </w:p>
    <w:p>
      <w:pPr>
        <w:pStyle w:val="712"/>
        <w:spacing w:line="480" w:lineRule="exact"/>
        <w:rPr>
          <w:rFonts w:ascii="Times New Roman" w:hAnsi="Times New Roman" w:cs="Times New Roman"/>
          <w:spacing w:val="0"/>
          <w:lang w:eastAsia="zh-CN"/>
        </w:rPr>
      </w:pPr>
      <w:r>
        <w:rPr>
          <w:rFonts w:ascii="Times New Roman" w:hAnsi="Times New Roman" w:cs="Times New Roman"/>
          <w:spacing w:val="0"/>
        </w:rPr>
        <w:t>本项目所在区域排水系统完善，</w:t>
      </w:r>
      <w:r>
        <w:rPr>
          <w:rFonts w:hint="eastAsia" w:ascii="Times New Roman" w:hAnsi="Times New Roman" w:cs="Times New Roman"/>
          <w:spacing w:val="0"/>
          <w:lang w:eastAsia="zh-CN"/>
        </w:rPr>
        <w:t>本项目</w:t>
      </w:r>
      <w:r>
        <w:rPr>
          <w:rFonts w:ascii="Times New Roman" w:hAnsi="Times New Roman" w:cs="Times New Roman"/>
          <w:spacing w:val="0"/>
          <w:lang w:eastAsia="zh-CN"/>
        </w:rPr>
        <w:t>无废水</w:t>
      </w:r>
      <w:r>
        <w:rPr>
          <w:rFonts w:hint="eastAsia" w:ascii="Times New Roman" w:hAnsi="Times New Roman" w:cs="Times New Roman"/>
          <w:spacing w:val="0"/>
          <w:lang w:eastAsia="zh-CN"/>
        </w:rPr>
        <w:t>排放</w:t>
      </w:r>
      <w:r>
        <w:rPr>
          <w:rFonts w:ascii="Times New Roman" w:hAnsi="Times New Roman" w:cs="Times New Roman"/>
          <w:spacing w:val="0"/>
          <w:lang w:eastAsia="zh-CN"/>
        </w:rPr>
        <w:t>，</w:t>
      </w:r>
      <w:r>
        <w:rPr>
          <w:rFonts w:hint="eastAsia" w:ascii="Times New Roman" w:hAnsi="Times New Roman" w:cs="Times New Roman"/>
          <w:spacing w:val="0"/>
          <w:lang w:eastAsia="zh-CN"/>
        </w:rPr>
        <w:t>企业现有废水经预处理后</w:t>
      </w:r>
      <w:r>
        <w:rPr>
          <w:rFonts w:ascii="Times New Roman" w:hAnsi="Times New Roman" w:cs="Times New Roman"/>
          <w:spacing w:val="0"/>
        </w:rPr>
        <w:t>纳入</w:t>
      </w:r>
      <w:r>
        <w:rPr>
          <w:rFonts w:ascii="Times New Roman" w:hAnsi="Times New Roman" w:cs="Times New Roman"/>
          <w:spacing w:val="0"/>
          <w:lang w:eastAsia="zh-CN"/>
        </w:rPr>
        <w:t>市政</w:t>
      </w:r>
      <w:r>
        <w:rPr>
          <w:rFonts w:ascii="Times New Roman" w:hAnsi="Times New Roman" w:cs="Times New Roman"/>
          <w:spacing w:val="0"/>
        </w:rPr>
        <w:t>污水截污管网，经</w:t>
      </w:r>
      <w:r>
        <w:rPr>
          <w:rFonts w:hint="eastAsia" w:ascii="Times New Roman" w:hAnsi="Times New Roman" w:cs="Times New Roman"/>
          <w:spacing w:val="0"/>
          <w:lang w:eastAsia="zh-CN"/>
        </w:rPr>
        <w:t>凤凰</w:t>
      </w:r>
      <w:r>
        <w:rPr>
          <w:rFonts w:ascii="Times New Roman" w:hAnsi="Times New Roman" w:cs="Times New Roman"/>
          <w:spacing w:val="0"/>
        </w:rPr>
        <w:t>污水处理厂处理达标后</w:t>
      </w:r>
      <w:r>
        <w:rPr>
          <w:rFonts w:hint="eastAsia" w:ascii="Times New Roman" w:hAnsi="Times New Roman" w:cs="Times New Roman"/>
          <w:spacing w:val="0"/>
          <w:lang w:eastAsia="zh-CN"/>
        </w:rPr>
        <w:t>排入旄儿港</w:t>
      </w:r>
      <w:r>
        <w:rPr>
          <w:rFonts w:ascii="Times New Roman" w:hAnsi="Times New Roman" w:cs="Times New Roman"/>
          <w:spacing w:val="0"/>
          <w:lang w:eastAsia="zh-CN"/>
        </w:rPr>
        <w:t>。</w:t>
      </w:r>
    </w:p>
    <w:p>
      <w:pPr>
        <w:autoSpaceDE w:val="0"/>
        <w:autoSpaceDN w:val="0"/>
        <w:adjustRightInd w:val="0"/>
        <w:spacing w:line="480" w:lineRule="exact"/>
        <w:ind w:firstLine="486" w:firstLineChars="200"/>
        <w:jc w:val="left"/>
        <w:rPr>
          <w:rFonts w:eastAsia="宋体"/>
          <w:kern w:val="0"/>
          <w:sz w:val="24"/>
          <w:szCs w:val="24"/>
        </w:rPr>
      </w:pPr>
      <w:r>
        <w:rPr>
          <w:rFonts w:eastAsia="宋体"/>
          <w:kern w:val="0"/>
          <w:sz w:val="24"/>
          <w:szCs w:val="24"/>
        </w:rPr>
        <w:t>(2)目前达标排放情况</w:t>
      </w:r>
    </w:p>
    <w:p>
      <w:pPr>
        <w:autoSpaceDE w:val="0"/>
        <w:autoSpaceDN w:val="0"/>
        <w:adjustRightInd w:val="0"/>
        <w:spacing w:line="480" w:lineRule="exact"/>
        <w:ind w:firstLine="486" w:firstLineChars="200"/>
        <w:jc w:val="left"/>
        <w:rPr>
          <w:rFonts w:eastAsia="宋体"/>
          <w:kern w:val="0"/>
          <w:sz w:val="24"/>
          <w:szCs w:val="24"/>
        </w:rPr>
      </w:pPr>
      <w:r>
        <w:rPr>
          <w:rFonts w:eastAsia="宋体"/>
          <w:kern w:val="0"/>
          <w:sz w:val="24"/>
          <w:szCs w:val="24"/>
        </w:rPr>
        <w:t>由</w:t>
      </w:r>
      <w:r>
        <w:rPr>
          <w:rFonts w:hint="eastAsia" w:eastAsia="宋体"/>
          <w:kern w:val="0"/>
          <w:sz w:val="24"/>
          <w:szCs w:val="24"/>
        </w:rPr>
        <w:t>凤凰污水处理厂</w:t>
      </w:r>
      <w:r>
        <w:rPr>
          <w:rFonts w:eastAsia="宋体"/>
          <w:kern w:val="0"/>
          <w:sz w:val="24"/>
          <w:szCs w:val="24"/>
        </w:rPr>
        <w:t>总排水出口2018年</w:t>
      </w:r>
      <w:r>
        <w:rPr>
          <w:rFonts w:hint="eastAsia" w:eastAsia="宋体"/>
          <w:kern w:val="0"/>
          <w:sz w:val="24"/>
          <w:szCs w:val="24"/>
        </w:rPr>
        <w:t>10-12</w:t>
      </w:r>
      <w:r>
        <w:rPr>
          <w:rFonts w:eastAsia="宋体"/>
          <w:kern w:val="0"/>
          <w:sz w:val="24"/>
          <w:szCs w:val="24"/>
        </w:rPr>
        <w:t>月运行监督性监测数据可知，</w:t>
      </w:r>
      <w:r>
        <w:rPr>
          <w:rFonts w:hint="eastAsia" w:eastAsia="宋体"/>
          <w:kern w:val="0"/>
          <w:sz w:val="24"/>
          <w:szCs w:val="24"/>
        </w:rPr>
        <w:t>凤凰污水处理厂2018年</w:t>
      </w:r>
      <w:r>
        <w:rPr>
          <w:rFonts w:eastAsia="宋体"/>
          <w:kern w:val="0"/>
          <w:sz w:val="24"/>
          <w:szCs w:val="24"/>
        </w:rPr>
        <w:t>第四季度平均负荷为</w:t>
      </w:r>
      <w:r>
        <w:rPr>
          <w:rFonts w:hint="eastAsia" w:eastAsia="宋体"/>
          <w:kern w:val="0"/>
          <w:sz w:val="24"/>
          <w:szCs w:val="24"/>
        </w:rPr>
        <w:t>58500t/d</w:t>
      </w:r>
      <w:r>
        <w:rPr>
          <w:rFonts w:eastAsia="宋体"/>
          <w:kern w:val="0"/>
          <w:sz w:val="24"/>
          <w:szCs w:val="24"/>
        </w:rPr>
        <w:t>，</w:t>
      </w:r>
      <w:r>
        <w:rPr>
          <w:rFonts w:hint="eastAsia" w:eastAsia="宋体"/>
          <w:kern w:val="0"/>
          <w:sz w:val="24"/>
          <w:szCs w:val="24"/>
        </w:rPr>
        <w:t>污水</w:t>
      </w:r>
      <w:r>
        <w:rPr>
          <w:rFonts w:eastAsia="宋体"/>
          <w:kern w:val="0"/>
          <w:sz w:val="24"/>
          <w:szCs w:val="24"/>
        </w:rPr>
        <w:t>处理负荷为</w:t>
      </w:r>
      <w:r>
        <w:rPr>
          <w:rFonts w:hint="eastAsia" w:eastAsia="宋体"/>
          <w:kern w:val="0"/>
          <w:sz w:val="24"/>
          <w:szCs w:val="24"/>
        </w:rPr>
        <w:t>78</w:t>
      </w:r>
      <w:r>
        <w:rPr>
          <w:rFonts w:eastAsia="宋体"/>
          <w:kern w:val="0"/>
          <w:sz w:val="24"/>
          <w:szCs w:val="24"/>
        </w:rPr>
        <w:t>%，废水处理工程总排口出水水质满足《城镇污水处理厂污染物排放标准》(GB18918-2002)一级A标准。</w:t>
      </w:r>
    </w:p>
    <w:p>
      <w:pPr>
        <w:pStyle w:val="3"/>
        <w:rPr>
          <w:rFonts w:ascii="Times New Roman" w:hAnsi="Times New Roman"/>
        </w:rPr>
      </w:pPr>
      <w:bookmarkStart w:id="166" w:name="_Toc10637162"/>
      <w:r>
        <w:rPr>
          <w:rFonts w:ascii="Times New Roman" w:hAnsi="Times New Roman"/>
        </w:rPr>
        <w:t>周围污染源调查</w:t>
      </w:r>
      <w:bookmarkEnd w:id="166"/>
    </w:p>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(1)周围污染源调查</w:t>
      </w:r>
    </w:p>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①区域大气污染物调查</w:t>
      </w:r>
    </w:p>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根据《湖州南太湖产业集聚区(生物医药园区、杨家埠及枢纽片区、西南分区、凤凰分区)控制性详细规划环境影响报告书》，项目周边杨家埠片区主要大气污染源排放情况</w:t>
      </w:r>
      <w:r>
        <w:rPr>
          <w:rFonts w:eastAsia="宋体"/>
          <w:kern w:val="0"/>
          <w:sz w:val="24"/>
          <w:szCs w:val="24"/>
        </w:rPr>
        <w:t>见表5-1。</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项目周边大气污染源情况统计表</w:t>
      </w:r>
    </w:p>
    <w:tbl>
      <w:tblPr>
        <w:tblStyle w:val="88"/>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2160"/>
        <w:gridCol w:w="698"/>
        <w:gridCol w:w="698"/>
        <w:gridCol w:w="745"/>
        <w:gridCol w:w="700"/>
        <w:gridCol w:w="698"/>
        <w:gridCol w:w="749"/>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Merge w:val="restart"/>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企业名称</w:t>
            </w:r>
          </w:p>
        </w:tc>
        <w:tc>
          <w:tcPr>
            <w:tcW w:w="2160" w:type="dxa"/>
            <w:vMerge w:val="restart"/>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主要生产内容</w:t>
            </w:r>
          </w:p>
        </w:tc>
        <w:tc>
          <w:tcPr>
            <w:tcW w:w="5019" w:type="dxa"/>
            <w:gridSpan w:val="7"/>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废气排放量(t/a)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Merge w:val="continue"/>
            <w:vAlign w:val="center"/>
          </w:tcPr>
          <w:p>
            <w:pPr>
              <w:autoSpaceDE w:val="0"/>
              <w:autoSpaceDN w:val="0"/>
              <w:adjustRightInd w:val="0"/>
              <w:snapToGrid w:val="0"/>
              <w:jc w:val="center"/>
              <w:rPr>
                <w:rFonts w:eastAsia="宋体"/>
                <w:sz w:val="21"/>
                <w:szCs w:val="21"/>
                <w:lang w:val="zh-CN"/>
              </w:rPr>
            </w:pPr>
          </w:p>
        </w:tc>
        <w:tc>
          <w:tcPr>
            <w:tcW w:w="2160" w:type="dxa"/>
            <w:vMerge w:val="continue"/>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粉尘</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S</w:t>
            </w:r>
            <w:r>
              <w:rPr>
                <w:rFonts w:eastAsia="宋体"/>
                <w:sz w:val="21"/>
                <w:szCs w:val="21"/>
                <w:lang w:val="zh-CN"/>
              </w:rPr>
              <w:t>O</w:t>
            </w:r>
            <w:r>
              <w:rPr>
                <w:rFonts w:eastAsia="宋体"/>
                <w:sz w:val="21"/>
                <w:szCs w:val="21"/>
                <w:vertAlign w:val="subscript"/>
                <w:lang w:val="zh-CN"/>
              </w:rPr>
              <w:t>2</w:t>
            </w:r>
          </w:p>
        </w:tc>
        <w:tc>
          <w:tcPr>
            <w:tcW w:w="745"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NOx</w:t>
            </w:r>
          </w:p>
        </w:tc>
        <w:tc>
          <w:tcPr>
            <w:tcW w:w="70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烟尘</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酸雾</w:t>
            </w: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V</w:t>
            </w:r>
            <w:r>
              <w:rPr>
                <w:rFonts w:eastAsia="宋体"/>
                <w:sz w:val="21"/>
                <w:szCs w:val="21"/>
                <w:lang w:val="zh-CN"/>
              </w:rPr>
              <w:t>OCs</w:t>
            </w:r>
          </w:p>
        </w:tc>
        <w:tc>
          <w:tcPr>
            <w:tcW w:w="731"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湖州卓信机械有限公司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机械铸造加工</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5.056</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4.56</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士商（湖州）精密技术有限公司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各类汽车维修设备、五金工具及模具</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0.75</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0.09</w:t>
            </w: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0.100</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浙江辛子精工机械股份有限公司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大型精密风力发电机轴承及大型轧机轴承</w:t>
            </w:r>
          </w:p>
        </w:tc>
        <w:tc>
          <w:tcPr>
            <w:tcW w:w="698"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0.05</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 xml:space="preserve">湖州久立永兴特种合金材料有限公司  </w:t>
            </w:r>
          </w:p>
        </w:tc>
        <w:tc>
          <w:tcPr>
            <w:tcW w:w="2160" w:type="dxa"/>
            <w:vAlign w:val="center"/>
          </w:tcPr>
          <w:p>
            <w:pPr>
              <w:autoSpaceDE w:val="0"/>
              <w:autoSpaceDN w:val="0"/>
              <w:adjustRightInd w:val="0"/>
              <w:snapToGrid w:val="0"/>
              <w:jc w:val="center"/>
              <w:rPr>
                <w:rFonts w:eastAsia="宋体"/>
                <w:sz w:val="21"/>
                <w:szCs w:val="21"/>
                <w:lang w:val="zh-CN"/>
              </w:rPr>
            </w:pPr>
            <w:r>
              <w:rPr>
                <w:rFonts w:eastAsia="宋体"/>
                <w:sz w:val="21"/>
                <w:szCs w:val="21"/>
                <w:lang w:val="zh-CN"/>
              </w:rPr>
              <w:t>高品质特种合金新材料</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0.864</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浙江金洲管道工业有限公司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聚烯烃管材、螺旋管道、X80 级天然气输</w:t>
            </w:r>
          </w:p>
          <w:p>
            <w:pPr>
              <w:autoSpaceDE w:val="0"/>
              <w:autoSpaceDN w:val="0"/>
              <w:adjustRightInd w:val="0"/>
              <w:snapToGrid w:val="0"/>
              <w:jc w:val="center"/>
              <w:rPr>
                <w:rFonts w:eastAsia="宋体"/>
                <w:sz w:val="21"/>
                <w:szCs w:val="21"/>
                <w:lang w:val="zh-CN"/>
              </w:rPr>
            </w:pPr>
            <w:r>
              <w:rPr>
                <w:rFonts w:hint="eastAsia" w:eastAsia="宋体"/>
                <w:sz w:val="21"/>
                <w:szCs w:val="21"/>
                <w:lang w:val="zh-CN"/>
              </w:rPr>
              <w:t>送管及螺旋管</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2.96</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湖州以创精工机械有限公司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精密模具生产能力</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0.13</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湖州哈特贝尔精密锻造有限公司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汽车关键部件精密锻压</w:t>
            </w:r>
          </w:p>
        </w:tc>
        <w:tc>
          <w:tcPr>
            <w:tcW w:w="698"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油雾0.58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湖州为尚机械有限公司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汽车零部件及轴承可控气氛真空热处理</w:t>
            </w:r>
          </w:p>
        </w:tc>
        <w:tc>
          <w:tcPr>
            <w:tcW w:w="698"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4.384</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湖州核汇机械有限公司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过滤机</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0.042</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0.015</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浙江亚辰新材料科技有限公司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高温合金增压器涡轮、精铸件</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0.06</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湖州中宇特种纤维板有限公司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汽车内饰生产</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1.5</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浙江湖州华飞电子基材有限公司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球状、熔融电子封装基材</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18.4</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0.6</w:t>
            </w:r>
          </w:p>
        </w:tc>
        <w:tc>
          <w:tcPr>
            <w:tcW w:w="745"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3.78</w:t>
            </w:r>
          </w:p>
        </w:tc>
        <w:tc>
          <w:tcPr>
            <w:tcW w:w="70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1.44</w:t>
            </w: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湖州铁佛门窗有限公司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防火门及车库门</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0.694</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0.005</w:t>
            </w: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0.04</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0.003</w:t>
            </w: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1.45</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浙江固耐橡塑科技有限公司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橡胶制品制造</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0.174</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0.016</w:t>
            </w: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0.135</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湖州市弁南电镀厂</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军工及航天高科技五金件和民用五金件电</w:t>
            </w:r>
          </w:p>
          <w:p>
            <w:pPr>
              <w:autoSpaceDE w:val="0"/>
              <w:autoSpaceDN w:val="0"/>
              <w:adjustRightInd w:val="0"/>
              <w:snapToGrid w:val="0"/>
              <w:jc w:val="center"/>
              <w:rPr>
                <w:rFonts w:eastAsia="宋体"/>
                <w:sz w:val="21"/>
                <w:szCs w:val="21"/>
                <w:lang w:val="zh-CN"/>
              </w:rPr>
            </w:pPr>
            <w:r>
              <w:rPr>
                <w:rFonts w:hint="eastAsia" w:eastAsia="宋体"/>
                <w:sz w:val="21"/>
                <w:szCs w:val="21"/>
                <w:lang w:val="zh-CN"/>
              </w:rPr>
              <w:t>镀加工</w:t>
            </w:r>
          </w:p>
        </w:tc>
        <w:tc>
          <w:tcPr>
            <w:tcW w:w="698"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0.089</w:t>
            </w: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0.15</w:t>
            </w: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湖州客车厂有限公司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改装专用汽车</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0.643</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3.434</w:t>
            </w: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湖州恩驰汽车有限公司</w:t>
            </w:r>
          </w:p>
        </w:tc>
        <w:tc>
          <w:tcPr>
            <w:tcW w:w="2160"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专用客厢车</w:t>
            </w: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0.07</w:t>
            </w: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0.055</w:t>
            </w: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湖州依然壁纸有限公司</w:t>
            </w:r>
          </w:p>
        </w:tc>
        <w:tc>
          <w:tcPr>
            <w:tcW w:w="2160" w:type="dxa"/>
            <w:vAlign w:val="center"/>
          </w:tcPr>
          <w:p>
            <w:pPr>
              <w:autoSpaceDE w:val="0"/>
              <w:autoSpaceDN w:val="0"/>
              <w:adjustRightInd w:val="0"/>
              <w:snapToGrid w:val="0"/>
              <w:jc w:val="center"/>
              <w:rPr>
                <w:rFonts w:eastAsia="宋体"/>
                <w:sz w:val="21"/>
                <w:szCs w:val="21"/>
                <w:lang w:val="zh-CN"/>
              </w:rPr>
            </w:pPr>
            <w:r>
              <w:rPr>
                <w:rFonts w:eastAsia="宋体"/>
                <w:sz w:val="21"/>
                <w:szCs w:val="21"/>
                <w:lang w:val="zh-CN"/>
              </w:rPr>
              <w:t>壁纸生产</w:t>
            </w:r>
          </w:p>
        </w:tc>
        <w:tc>
          <w:tcPr>
            <w:tcW w:w="698"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p>
        </w:tc>
        <w:tc>
          <w:tcPr>
            <w:tcW w:w="745" w:type="dxa"/>
            <w:vAlign w:val="center"/>
          </w:tcPr>
          <w:p>
            <w:pPr>
              <w:autoSpaceDE w:val="0"/>
              <w:autoSpaceDN w:val="0"/>
              <w:adjustRightInd w:val="0"/>
              <w:snapToGrid w:val="0"/>
              <w:jc w:val="center"/>
              <w:rPr>
                <w:rFonts w:eastAsia="宋体"/>
                <w:sz w:val="21"/>
                <w:szCs w:val="21"/>
                <w:lang w:val="zh-CN"/>
              </w:rPr>
            </w:pPr>
          </w:p>
        </w:tc>
        <w:tc>
          <w:tcPr>
            <w:tcW w:w="700" w:type="dxa"/>
            <w:vAlign w:val="center"/>
          </w:tcPr>
          <w:p>
            <w:pPr>
              <w:autoSpaceDE w:val="0"/>
              <w:autoSpaceDN w:val="0"/>
              <w:adjustRightInd w:val="0"/>
              <w:snapToGrid w:val="0"/>
              <w:jc w:val="center"/>
              <w:rPr>
                <w:rFonts w:eastAsia="宋体"/>
                <w:sz w:val="21"/>
                <w:szCs w:val="21"/>
                <w:lang w:val="zh-CN"/>
              </w:rPr>
            </w:pPr>
          </w:p>
        </w:tc>
        <w:tc>
          <w:tcPr>
            <w:tcW w:w="698" w:type="dxa"/>
            <w:vAlign w:val="center"/>
          </w:tcPr>
          <w:p>
            <w:pPr>
              <w:autoSpaceDE w:val="0"/>
              <w:autoSpaceDN w:val="0"/>
              <w:adjustRightInd w:val="0"/>
              <w:snapToGrid w:val="0"/>
              <w:jc w:val="center"/>
              <w:rPr>
                <w:rFonts w:eastAsia="宋体"/>
                <w:sz w:val="21"/>
                <w:szCs w:val="21"/>
                <w:lang w:val="zh-CN"/>
              </w:rPr>
            </w:pPr>
            <w:r>
              <w:rPr>
                <w:rFonts w:hint="eastAsia" w:eastAsia="宋体"/>
                <w:sz w:val="21"/>
                <w:szCs w:val="21"/>
                <w:lang w:val="zh-CN"/>
              </w:rPr>
              <w:t>0.005</w:t>
            </w:r>
          </w:p>
        </w:tc>
        <w:tc>
          <w:tcPr>
            <w:tcW w:w="749" w:type="dxa"/>
            <w:vAlign w:val="center"/>
          </w:tcPr>
          <w:p>
            <w:pPr>
              <w:autoSpaceDE w:val="0"/>
              <w:autoSpaceDN w:val="0"/>
              <w:adjustRightInd w:val="0"/>
              <w:snapToGrid w:val="0"/>
              <w:jc w:val="center"/>
              <w:rPr>
                <w:rFonts w:eastAsia="宋体"/>
                <w:sz w:val="21"/>
                <w:szCs w:val="21"/>
                <w:lang w:val="zh-CN"/>
              </w:rPr>
            </w:pPr>
          </w:p>
        </w:tc>
        <w:tc>
          <w:tcPr>
            <w:tcW w:w="731" w:type="dxa"/>
            <w:vAlign w:val="center"/>
          </w:tcPr>
          <w:p>
            <w:pPr>
              <w:autoSpaceDE w:val="0"/>
              <w:autoSpaceDN w:val="0"/>
              <w:adjustRightInd w:val="0"/>
              <w:snapToGrid w:val="0"/>
              <w:jc w:val="center"/>
              <w:rPr>
                <w:rFonts w:eastAsia="宋体"/>
                <w:sz w:val="21"/>
                <w:szCs w:val="21"/>
                <w:lang w:val="zh-CN"/>
              </w:rPr>
            </w:pPr>
          </w:p>
        </w:tc>
      </w:tr>
    </w:tbl>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②区域水污染物调查</w:t>
      </w:r>
    </w:p>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本项目地表水环境评价等级为三级B，根据《环境影响评价技术导则 地表水环境》(HJ2.3-2018)，水污染影响型三级B评价，可不开展区域污染源调查。</w:t>
      </w:r>
    </w:p>
    <w:p>
      <w:pPr>
        <w:autoSpaceDE w:val="0"/>
        <w:autoSpaceDN w:val="0"/>
        <w:adjustRightInd w:val="0"/>
        <w:spacing w:line="480" w:lineRule="exact"/>
        <w:ind w:firstLine="486" w:firstLineChars="200"/>
        <w:jc w:val="left"/>
        <w:rPr>
          <w:rFonts w:eastAsia="宋体"/>
          <w:kern w:val="0"/>
          <w:sz w:val="24"/>
          <w:szCs w:val="24"/>
        </w:rPr>
      </w:pPr>
      <w:r>
        <w:rPr>
          <w:rFonts w:hint="eastAsia" w:eastAsia="宋体"/>
          <w:kern w:val="0"/>
          <w:sz w:val="24"/>
          <w:szCs w:val="24"/>
        </w:rPr>
        <w:t>(2)城市道路源调查</w:t>
      </w:r>
    </w:p>
    <w:p>
      <w:pPr>
        <w:autoSpaceDE w:val="0"/>
        <w:autoSpaceDN w:val="0"/>
        <w:adjustRightInd w:val="0"/>
        <w:spacing w:line="480" w:lineRule="exact"/>
        <w:ind w:firstLine="486" w:firstLineChars="200"/>
        <w:jc w:val="left"/>
        <w:rPr>
          <w:rFonts w:eastAsia="宋体"/>
          <w:kern w:val="0"/>
          <w:sz w:val="24"/>
          <w:szCs w:val="24"/>
        </w:rPr>
      </w:pPr>
      <w:r>
        <w:rPr>
          <w:rFonts w:eastAsia="宋体"/>
          <w:kern w:val="0"/>
          <w:sz w:val="24"/>
          <w:szCs w:val="24"/>
        </w:rPr>
        <w:t>本项目环境空气评价等级为</w:t>
      </w:r>
      <w:r>
        <w:rPr>
          <w:rFonts w:hint="eastAsia" w:eastAsia="宋体"/>
          <w:kern w:val="0"/>
          <w:sz w:val="24"/>
          <w:szCs w:val="24"/>
        </w:rPr>
        <w:t>一</w:t>
      </w:r>
      <w:r>
        <w:rPr>
          <w:rFonts w:eastAsia="宋体"/>
          <w:kern w:val="0"/>
          <w:sz w:val="24"/>
          <w:szCs w:val="24"/>
        </w:rPr>
        <w:t>级，按照《环境影响评价技术导则</w:t>
      </w:r>
      <w:r>
        <w:rPr>
          <w:rFonts w:hint="eastAsia" w:eastAsia="宋体"/>
          <w:kern w:val="0"/>
          <w:sz w:val="24"/>
          <w:szCs w:val="24"/>
        </w:rPr>
        <w:t xml:space="preserve"> </w:t>
      </w:r>
      <w:r>
        <w:rPr>
          <w:rFonts w:eastAsia="宋体"/>
          <w:kern w:val="0"/>
          <w:sz w:val="24"/>
          <w:szCs w:val="24"/>
        </w:rPr>
        <w:t>大气环境》（HJ2.2-2018）要求，</w:t>
      </w:r>
      <w:r>
        <w:rPr>
          <w:rFonts w:hint="eastAsia" w:eastAsia="宋体"/>
          <w:kern w:val="0"/>
          <w:sz w:val="24"/>
          <w:szCs w:val="24"/>
        </w:rPr>
        <w:t>对于编制报告书的工业项目，需分析调查受本项目物料及产品运输影响新增的交通运输源，包括运输方式、新增交通量、排放污染物及排放量。</w:t>
      </w:r>
    </w:p>
    <w:p>
      <w:pPr>
        <w:autoSpaceDE w:val="0"/>
        <w:autoSpaceDN w:val="0"/>
        <w:adjustRightInd w:val="0"/>
        <w:spacing w:line="480" w:lineRule="exact"/>
        <w:ind w:firstLine="435"/>
        <w:jc w:val="left"/>
        <w:rPr>
          <w:rFonts w:eastAsia="宋体"/>
          <w:kern w:val="0"/>
          <w:sz w:val="24"/>
          <w:szCs w:val="24"/>
        </w:rPr>
      </w:pPr>
      <w:r>
        <w:rPr>
          <w:rFonts w:hint="eastAsia" w:eastAsia="宋体"/>
          <w:kern w:val="0"/>
          <w:sz w:val="24"/>
          <w:szCs w:val="24"/>
          <w:lang w:val="zh-CN"/>
        </w:rPr>
        <w:t>项目建成时间为2020年2月，汽车尾气排放全面执行国Ⅴ标准。根据《道路机动车大气污染物排放清单编制技术指南（试行）》。</w:t>
      </w:r>
      <w:r>
        <w:rPr>
          <w:rFonts w:hint="eastAsia" w:eastAsia="宋体"/>
          <w:kern w:val="0"/>
          <w:sz w:val="24"/>
          <w:szCs w:val="24"/>
        </w:rPr>
        <w:t>项目南侧为霅水桥路，项目实施引起的交通流量及污染物排放量详见表5-</w:t>
      </w:r>
      <w:r>
        <w:rPr>
          <w:rFonts w:eastAsia="宋体"/>
          <w:kern w:val="0"/>
          <w:sz w:val="24"/>
          <w:szCs w:val="24"/>
        </w:rPr>
        <w:t>2</w:t>
      </w:r>
      <w:r>
        <w:rPr>
          <w:rFonts w:hint="eastAsia" w:eastAsia="宋体"/>
          <w:kern w:val="0"/>
          <w:sz w:val="24"/>
          <w:szCs w:val="24"/>
        </w:rPr>
        <w:t>。</w:t>
      </w:r>
    </w:p>
    <w:p>
      <w:pPr>
        <w:pStyle w:val="313"/>
        <w:tabs>
          <w:tab w:val="clear" w:pos="3908"/>
        </w:tabs>
        <w:ind w:left="1122" w:hanging="561"/>
        <w:rPr>
          <w:rFonts w:ascii="Times New Roman" w:hAnsi="Times New Roman"/>
          <w:lang w:eastAsia="zh-CN"/>
        </w:rPr>
      </w:pPr>
      <w:r>
        <w:rPr>
          <w:rFonts w:hint="eastAsia" w:ascii="Times New Roman" w:hAnsi="Times New Roman"/>
          <w:lang w:eastAsia="zh-CN"/>
        </w:rPr>
        <w:t>城市道路交通流量计污染物排放量调查</w:t>
      </w:r>
    </w:p>
    <w:tbl>
      <w:tblPr>
        <w:tblStyle w:val="88"/>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996"/>
        <w:gridCol w:w="1376"/>
        <w:gridCol w:w="1417"/>
        <w:gridCol w:w="851"/>
        <w:gridCol w:w="968"/>
        <w:gridCol w:w="130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7" w:type="dxa"/>
            <w:vMerge w:val="restart"/>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路段名称</w:t>
            </w:r>
          </w:p>
        </w:tc>
        <w:tc>
          <w:tcPr>
            <w:tcW w:w="996" w:type="dxa"/>
            <w:vMerge w:val="restart"/>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典型时段</w:t>
            </w:r>
            <w:r>
              <w:rPr>
                <w:rFonts w:hint="eastAsia" w:eastAsia="宋体"/>
                <w:kern w:val="0"/>
                <w:sz w:val="21"/>
                <w:szCs w:val="21"/>
                <w:vertAlign w:val="superscript"/>
                <w:lang w:val="zh-CN"/>
              </w:rPr>
              <w:t>①</w:t>
            </w:r>
          </w:p>
        </w:tc>
        <w:tc>
          <w:tcPr>
            <w:tcW w:w="3644" w:type="dxa"/>
            <w:gridSpan w:val="3"/>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平均车流量(辆/h)</w:t>
            </w:r>
            <w:r>
              <w:rPr>
                <w:rFonts w:hint="eastAsia" w:eastAsia="宋体"/>
                <w:kern w:val="0"/>
                <w:sz w:val="21"/>
                <w:szCs w:val="21"/>
                <w:vertAlign w:val="superscript"/>
                <w:lang w:val="zh-CN"/>
              </w:rPr>
              <w:t>②</w:t>
            </w:r>
          </w:p>
        </w:tc>
        <w:tc>
          <w:tcPr>
            <w:tcW w:w="3356" w:type="dxa"/>
            <w:gridSpan w:val="3"/>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污染物排放速率(mg/(km·h))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7" w:type="dxa"/>
            <w:vMerge w:val="continue"/>
            <w:vAlign w:val="center"/>
          </w:tcPr>
          <w:p>
            <w:pPr>
              <w:autoSpaceDE w:val="0"/>
              <w:autoSpaceDN w:val="0"/>
              <w:adjustRightInd w:val="0"/>
              <w:spacing w:line="360" w:lineRule="exact"/>
              <w:jc w:val="center"/>
              <w:rPr>
                <w:rFonts w:eastAsia="宋体"/>
                <w:kern w:val="0"/>
                <w:sz w:val="21"/>
                <w:szCs w:val="21"/>
                <w:lang w:val="zh-CN"/>
              </w:rPr>
            </w:pPr>
          </w:p>
        </w:tc>
        <w:tc>
          <w:tcPr>
            <w:tcW w:w="996" w:type="dxa"/>
            <w:vMerge w:val="continue"/>
            <w:vAlign w:val="center"/>
          </w:tcPr>
          <w:p>
            <w:pPr>
              <w:autoSpaceDE w:val="0"/>
              <w:autoSpaceDN w:val="0"/>
              <w:adjustRightInd w:val="0"/>
              <w:spacing w:line="360" w:lineRule="exact"/>
              <w:jc w:val="center"/>
              <w:rPr>
                <w:rFonts w:eastAsia="宋体"/>
                <w:kern w:val="0"/>
                <w:sz w:val="21"/>
                <w:szCs w:val="21"/>
                <w:lang w:val="zh-CN"/>
              </w:rPr>
            </w:pPr>
          </w:p>
        </w:tc>
        <w:tc>
          <w:tcPr>
            <w:tcW w:w="137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大型车(平均载重10t)</w:t>
            </w:r>
          </w:p>
        </w:tc>
        <w:tc>
          <w:tcPr>
            <w:tcW w:w="1417"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中型车</w:t>
            </w:r>
          </w:p>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(平均载重5t)</w:t>
            </w:r>
          </w:p>
        </w:tc>
        <w:tc>
          <w:tcPr>
            <w:tcW w:w="851"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小型车</w:t>
            </w:r>
          </w:p>
        </w:tc>
        <w:tc>
          <w:tcPr>
            <w:tcW w:w="968"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 xml:space="preserve">CO </w:t>
            </w:r>
          </w:p>
        </w:tc>
        <w:tc>
          <w:tcPr>
            <w:tcW w:w="1300"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NOx</w:t>
            </w:r>
          </w:p>
        </w:tc>
        <w:tc>
          <w:tcPr>
            <w:tcW w:w="1088"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7" w:type="dxa"/>
            <w:vMerge w:val="restart"/>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规划道路</w:t>
            </w:r>
          </w:p>
        </w:tc>
        <w:tc>
          <w:tcPr>
            <w:tcW w:w="99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近期</w:t>
            </w:r>
          </w:p>
        </w:tc>
        <w:tc>
          <w:tcPr>
            <w:tcW w:w="137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147</w:t>
            </w:r>
          </w:p>
        </w:tc>
        <w:tc>
          <w:tcPr>
            <w:tcW w:w="1417"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73</w:t>
            </w:r>
          </w:p>
        </w:tc>
        <w:tc>
          <w:tcPr>
            <w:tcW w:w="851"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w:t>
            </w:r>
          </w:p>
        </w:tc>
        <w:tc>
          <w:tcPr>
            <w:tcW w:w="968"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443.85</w:t>
            </w:r>
          </w:p>
        </w:tc>
        <w:tc>
          <w:tcPr>
            <w:tcW w:w="1300"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964.16</w:t>
            </w:r>
          </w:p>
        </w:tc>
        <w:tc>
          <w:tcPr>
            <w:tcW w:w="1088" w:type="dxa"/>
            <w:tcBorders>
              <w:top w:val="nil"/>
              <w:left w:val="nil"/>
              <w:bottom w:val="single" w:color="auto" w:sz="8" w:space="0"/>
              <w:right w:val="single" w:color="auto" w:sz="8" w:space="0"/>
            </w:tcBorders>
            <w:shd w:val="clear" w:color="auto" w:fill="auto"/>
            <w:vAlign w:val="center"/>
          </w:tcPr>
          <w:p>
            <w:pPr>
              <w:autoSpaceDE w:val="0"/>
              <w:autoSpaceDN w:val="0"/>
              <w:adjustRightInd w:val="0"/>
              <w:spacing w:line="360" w:lineRule="exact"/>
              <w:jc w:val="center"/>
              <w:rPr>
                <w:rFonts w:eastAsia="宋体"/>
                <w:kern w:val="0"/>
                <w:sz w:val="21"/>
                <w:szCs w:val="21"/>
                <w:lang w:val="zh-CN"/>
              </w:rPr>
            </w:pPr>
            <w:r>
              <w:rPr>
                <w:sz w:val="21"/>
                <w:szCs w:val="21"/>
                <w:lang w:val="zh-CN"/>
              </w:rPr>
              <w:t>26.482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7" w:type="dxa"/>
            <w:vMerge w:val="continue"/>
            <w:vAlign w:val="center"/>
          </w:tcPr>
          <w:p>
            <w:pPr>
              <w:autoSpaceDE w:val="0"/>
              <w:autoSpaceDN w:val="0"/>
              <w:adjustRightInd w:val="0"/>
              <w:spacing w:line="360" w:lineRule="exact"/>
              <w:jc w:val="center"/>
              <w:rPr>
                <w:rFonts w:eastAsia="宋体"/>
                <w:kern w:val="0"/>
                <w:sz w:val="21"/>
                <w:szCs w:val="21"/>
                <w:lang w:val="zh-CN"/>
              </w:rPr>
            </w:pPr>
          </w:p>
        </w:tc>
        <w:tc>
          <w:tcPr>
            <w:tcW w:w="99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中期</w:t>
            </w:r>
          </w:p>
        </w:tc>
        <w:tc>
          <w:tcPr>
            <w:tcW w:w="137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220</w:t>
            </w:r>
          </w:p>
        </w:tc>
        <w:tc>
          <w:tcPr>
            <w:tcW w:w="1417"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110</w:t>
            </w:r>
          </w:p>
        </w:tc>
        <w:tc>
          <w:tcPr>
            <w:tcW w:w="851"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w:t>
            </w:r>
          </w:p>
        </w:tc>
        <w:tc>
          <w:tcPr>
            <w:tcW w:w="968"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665.5</w:t>
            </w:r>
          </w:p>
        </w:tc>
        <w:tc>
          <w:tcPr>
            <w:tcW w:w="1300"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1445.73</w:t>
            </w:r>
          </w:p>
        </w:tc>
        <w:tc>
          <w:tcPr>
            <w:tcW w:w="1088" w:type="dxa"/>
            <w:tcBorders>
              <w:top w:val="nil"/>
              <w:left w:val="nil"/>
              <w:bottom w:val="single" w:color="auto" w:sz="8" w:space="0"/>
              <w:right w:val="single" w:color="auto" w:sz="8" w:space="0"/>
            </w:tcBorders>
            <w:shd w:val="clear" w:color="auto" w:fill="auto"/>
            <w:vAlign w:val="center"/>
          </w:tcPr>
          <w:p>
            <w:pPr>
              <w:autoSpaceDE w:val="0"/>
              <w:autoSpaceDN w:val="0"/>
              <w:adjustRightInd w:val="0"/>
              <w:spacing w:line="360" w:lineRule="exact"/>
              <w:jc w:val="center"/>
              <w:rPr>
                <w:rFonts w:eastAsia="宋体"/>
                <w:kern w:val="0"/>
                <w:sz w:val="21"/>
                <w:szCs w:val="21"/>
                <w:lang w:val="zh-CN"/>
              </w:rPr>
            </w:pPr>
            <w:r>
              <w:rPr>
                <w:sz w:val="21"/>
                <w:szCs w:val="21"/>
                <w:lang w:val="zh-CN"/>
              </w:rPr>
              <w:t>39.71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7" w:type="dxa"/>
            <w:vMerge w:val="continue"/>
            <w:vAlign w:val="center"/>
          </w:tcPr>
          <w:p>
            <w:pPr>
              <w:autoSpaceDE w:val="0"/>
              <w:autoSpaceDN w:val="0"/>
              <w:adjustRightInd w:val="0"/>
              <w:spacing w:line="360" w:lineRule="exact"/>
              <w:jc w:val="center"/>
              <w:rPr>
                <w:rFonts w:eastAsia="宋体"/>
                <w:kern w:val="0"/>
                <w:sz w:val="21"/>
                <w:szCs w:val="21"/>
                <w:lang w:val="zh-CN"/>
              </w:rPr>
            </w:pPr>
          </w:p>
        </w:tc>
        <w:tc>
          <w:tcPr>
            <w:tcW w:w="99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远期</w:t>
            </w:r>
          </w:p>
        </w:tc>
        <w:tc>
          <w:tcPr>
            <w:tcW w:w="1376"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293</w:t>
            </w:r>
          </w:p>
        </w:tc>
        <w:tc>
          <w:tcPr>
            <w:tcW w:w="1417"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147</w:t>
            </w:r>
          </w:p>
        </w:tc>
        <w:tc>
          <w:tcPr>
            <w:tcW w:w="851" w:type="dxa"/>
            <w:vAlign w:val="center"/>
          </w:tcPr>
          <w:p>
            <w:pPr>
              <w:autoSpaceDE w:val="0"/>
              <w:autoSpaceDN w:val="0"/>
              <w:adjustRightInd w:val="0"/>
              <w:spacing w:line="360" w:lineRule="exact"/>
              <w:jc w:val="center"/>
              <w:rPr>
                <w:rFonts w:eastAsia="宋体"/>
                <w:kern w:val="0"/>
                <w:sz w:val="21"/>
                <w:szCs w:val="21"/>
                <w:lang w:val="zh-CN"/>
              </w:rPr>
            </w:pPr>
            <w:r>
              <w:rPr>
                <w:rFonts w:hint="eastAsia" w:eastAsia="宋体"/>
                <w:kern w:val="0"/>
                <w:sz w:val="21"/>
                <w:szCs w:val="21"/>
                <w:lang w:val="zh-CN"/>
              </w:rPr>
              <w:t>/</w:t>
            </w:r>
          </w:p>
        </w:tc>
        <w:tc>
          <w:tcPr>
            <w:tcW w:w="968"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887.15</w:t>
            </w:r>
          </w:p>
        </w:tc>
        <w:tc>
          <w:tcPr>
            <w:tcW w:w="1300" w:type="dxa"/>
            <w:tcBorders>
              <w:top w:val="nil"/>
              <w:left w:val="nil"/>
              <w:bottom w:val="single" w:color="auto" w:sz="8" w:space="0"/>
              <w:right w:val="single" w:color="auto" w:sz="8" w:space="0"/>
            </w:tcBorders>
            <w:shd w:val="clear" w:color="auto" w:fill="auto"/>
            <w:vAlign w:val="center"/>
          </w:tcPr>
          <w:p>
            <w:pPr>
              <w:jc w:val="center"/>
              <w:rPr>
                <w:rFonts w:eastAsia="宋体"/>
                <w:sz w:val="21"/>
                <w:szCs w:val="21"/>
              </w:rPr>
            </w:pPr>
            <w:r>
              <w:rPr>
                <w:sz w:val="21"/>
                <w:szCs w:val="21"/>
              </w:rPr>
              <w:t>1927.3</w:t>
            </w:r>
          </w:p>
        </w:tc>
        <w:tc>
          <w:tcPr>
            <w:tcW w:w="1088" w:type="dxa"/>
            <w:tcBorders>
              <w:top w:val="nil"/>
              <w:left w:val="nil"/>
              <w:bottom w:val="single" w:color="auto" w:sz="8" w:space="0"/>
              <w:right w:val="single" w:color="auto" w:sz="8" w:space="0"/>
            </w:tcBorders>
            <w:shd w:val="clear" w:color="auto" w:fill="auto"/>
            <w:vAlign w:val="center"/>
          </w:tcPr>
          <w:p>
            <w:pPr>
              <w:autoSpaceDE w:val="0"/>
              <w:autoSpaceDN w:val="0"/>
              <w:adjustRightInd w:val="0"/>
              <w:spacing w:line="360" w:lineRule="exact"/>
              <w:jc w:val="center"/>
              <w:rPr>
                <w:rFonts w:eastAsia="宋体"/>
                <w:kern w:val="0"/>
                <w:sz w:val="21"/>
                <w:szCs w:val="21"/>
                <w:lang w:val="zh-CN"/>
              </w:rPr>
            </w:pPr>
            <w:r>
              <w:rPr>
                <w:sz w:val="21"/>
                <w:szCs w:val="21"/>
                <w:lang w:val="zh-CN"/>
              </w:rPr>
              <w:t>52.938</w:t>
            </w:r>
          </w:p>
        </w:tc>
      </w:tr>
    </w:tbl>
    <w:p>
      <w:pPr>
        <w:autoSpaceDE w:val="0"/>
        <w:autoSpaceDN w:val="0"/>
        <w:adjustRightInd w:val="0"/>
        <w:spacing w:line="480" w:lineRule="exact"/>
        <w:ind w:firstLine="475" w:firstLineChars="196"/>
        <w:jc w:val="left"/>
        <w:rPr>
          <w:rFonts w:eastAsiaTheme="minorEastAsia"/>
          <w:kern w:val="0"/>
          <w:sz w:val="24"/>
          <w:szCs w:val="24"/>
          <w:lang w:val="zh-CN"/>
        </w:rPr>
      </w:pPr>
      <w:r>
        <w:rPr>
          <w:rFonts w:eastAsiaTheme="minorEastAsia"/>
          <w:sz w:val="24"/>
          <w:szCs w:val="24"/>
        </w:rPr>
        <w:t>本项目物料及产品运输主要经过路段有</w:t>
      </w:r>
      <w:r>
        <w:rPr>
          <w:rFonts w:hint="eastAsia" w:eastAsiaTheme="minorEastAsia"/>
          <w:sz w:val="24"/>
          <w:szCs w:val="24"/>
        </w:rPr>
        <w:t>霅水桥路，</w:t>
      </w:r>
      <w:r>
        <w:rPr>
          <w:rFonts w:eastAsiaTheme="minorEastAsia"/>
          <w:sz w:val="24"/>
          <w:szCs w:val="24"/>
        </w:rPr>
        <w:t>为</w:t>
      </w:r>
      <w:r>
        <w:rPr>
          <w:rFonts w:hint="eastAsia" w:eastAsiaTheme="minorEastAsia"/>
          <w:sz w:val="24"/>
          <w:szCs w:val="24"/>
        </w:rPr>
        <w:t>湖州经济技术开发区杨家埠片区内</w:t>
      </w:r>
      <w:r>
        <w:rPr>
          <w:rFonts w:eastAsiaTheme="minorEastAsia"/>
          <w:sz w:val="24"/>
          <w:szCs w:val="24"/>
        </w:rPr>
        <w:t>已建道路，与周围敏感目标之间有一定的距离。因此本项目物料及产品运输产生的污染较小，对周边敏感目标的影响较小</w:t>
      </w:r>
      <w:r>
        <w:rPr>
          <w:rFonts w:hint="eastAsia" w:eastAsiaTheme="minorEastAsia"/>
          <w:sz w:val="24"/>
          <w:szCs w:val="24"/>
        </w:rPr>
        <w:t>。</w:t>
      </w:r>
    </w:p>
    <w:p>
      <w:pPr>
        <w:pStyle w:val="3"/>
        <w:rPr>
          <w:rFonts w:ascii="Times New Roman" w:hAnsi="Times New Roman"/>
        </w:rPr>
      </w:pPr>
      <w:bookmarkStart w:id="167" w:name="_Toc10637163"/>
      <w:r>
        <w:rPr>
          <w:rFonts w:ascii="Times New Roman" w:hAnsi="Times New Roman"/>
        </w:rPr>
        <w:t>环境质量现状</w:t>
      </w:r>
      <w:bookmarkEnd w:id="167"/>
    </w:p>
    <w:p>
      <w:pPr>
        <w:pStyle w:val="5"/>
        <w:numPr>
          <w:ilvl w:val="2"/>
          <w:numId w:val="24"/>
        </w:numPr>
        <w:rPr>
          <w:rFonts w:ascii="Times New Roman"/>
        </w:rPr>
      </w:pPr>
      <w:r>
        <w:rPr>
          <w:rFonts w:ascii="Times New Roman"/>
        </w:rPr>
        <w:t>环境空气质量现状</w:t>
      </w:r>
    </w:p>
    <w:p>
      <w:pPr>
        <w:pStyle w:val="4"/>
        <w:spacing w:line="480" w:lineRule="exact"/>
        <w:rPr>
          <w:rFonts w:ascii="Times New Roman" w:hAnsi="Times New Roman" w:cs="Times New Roman"/>
          <w:spacing w:val="0"/>
          <w:szCs w:val="24"/>
        </w:rPr>
      </w:pPr>
      <w:r>
        <w:rPr>
          <w:rFonts w:ascii="Times New Roman" w:hAnsi="Times New Roman" w:cs="Times New Roman"/>
          <w:spacing w:val="0"/>
          <w:szCs w:val="24"/>
        </w:rPr>
        <w:t>1、</w:t>
      </w:r>
      <w:r>
        <w:rPr>
          <w:rFonts w:hint="eastAsia" w:ascii="Times New Roman" w:hAnsi="Times New Roman" w:cs="Times New Roman"/>
          <w:spacing w:val="0"/>
          <w:szCs w:val="24"/>
        </w:rPr>
        <w:t>环境空气</w:t>
      </w:r>
      <w:r>
        <w:rPr>
          <w:rFonts w:ascii="Times New Roman" w:hAnsi="Times New Roman" w:cs="Times New Roman"/>
          <w:spacing w:val="0"/>
          <w:szCs w:val="24"/>
        </w:rPr>
        <w:t>达标区判定</w:t>
      </w:r>
    </w:p>
    <w:p>
      <w:pPr>
        <w:pStyle w:val="4"/>
        <w:spacing w:line="480" w:lineRule="exact"/>
        <w:rPr>
          <w:rFonts w:ascii="Times New Roman" w:hAnsi="Times New Roman" w:cs="Times New Roman"/>
          <w:spacing w:val="0"/>
          <w:kern w:val="0"/>
          <w:szCs w:val="24"/>
        </w:rPr>
      </w:pPr>
      <w:r>
        <w:rPr>
          <w:rFonts w:ascii="Times New Roman" w:hAnsi="Times New Roman" w:cs="Times New Roman" w:eastAsiaTheme="minorEastAsia"/>
          <w:spacing w:val="0"/>
          <w:szCs w:val="24"/>
        </w:rPr>
        <w:t>本项目评价基准年为2018年，根据湖州市环境保护局发布的《湖州市2018年环境质量公报》，2018年，湖州市区环境空气质量总体有所好转，主要污染物为细颗粒物(PM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)和臭氧(O</w:t>
      </w:r>
      <w:r>
        <w:rPr>
          <w:rFonts w:ascii="Times New Roman" w:hAnsi="Times New Roman" w:cs="Times New Roman" w:eastAsiaTheme="minorEastAsia"/>
          <w:spacing w:val="0"/>
          <w:szCs w:val="24"/>
          <w:vertAlign w:val="subscript"/>
        </w:rPr>
        <w:t>3</w:t>
      </w:r>
      <w:r>
        <w:rPr>
          <w:rFonts w:ascii="Times New Roman" w:hAnsi="Times New Roman" w:cs="Times New Roman" w:eastAsiaTheme="minorEastAsia"/>
          <w:spacing w:val="0"/>
          <w:szCs w:val="24"/>
        </w:rPr>
        <w:t>)。其中SO</w:t>
      </w:r>
      <w:r>
        <w:rPr>
          <w:rFonts w:ascii="Times New Roman" w:hAnsi="Times New Roman" w:cs="Times New Roman" w:eastAsiaTheme="minorEastAsia"/>
          <w:spacing w:val="0"/>
          <w:szCs w:val="24"/>
          <w:vertAlign w:val="subscript"/>
        </w:rPr>
        <w:t>2</w:t>
      </w:r>
      <w:r>
        <w:rPr>
          <w:rFonts w:ascii="Times New Roman" w:hAnsi="Times New Roman" w:cs="Times New Roman" w:eastAsiaTheme="minorEastAsia"/>
          <w:spacing w:val="0"/>
          <w:szCs w:val="24"/>
        </w:rPr>
        <w:t>、NO</w:t>
      </w:r>
      <w:r>
        <w:rPr>
          <w:rFonts w:ascii="Times New Roman" w:hAnsi="Times New Roman" w:cs="Times New Roman" w:eastAsiaTheme="minorEastAsia"/>
          <w:spacing w:val="0"/>
          <w:szCs w:val="24"/>
          <w:vertAlign w:val="subscript"/>
        </w:rPr>
        <w:t>2</w:t>
      </w:r>
      <w:r>
        <w:rPr>
          <w:rFonts w:ascii="Times New Roman" w:hAnsi="Times New Roman" w:cs="Times New Roman" w:eastAsiaTheme="minorEastAsia"/>
          <w:spacing w:val="0"/>
          <w:szCs w:val="24"/>
        </w:rPr>
        <w:t>、PM</w:t>
      </w:r>
      <w:r>
        <w:rPr>
          <w:rFonts w:ascii="Times New Roman" w:hAnsi="Times New Roman" w:cs="Times New Roman" w:eastAsiaTheme="minorEastAsia"/>
          <w:spacing w:val="0"/>
          <w:szCs w:val="24"/>
          <w:vertAlign w:val="subscript"/>
        </w:rPr>
        <w:t>10</w:t>
      </w:r>
      <w:r>
        <w:rPr>
          <w:rFonts w:ascii="Times New Roman" w:hAnsi="Times New Roman" w:cs="Times New Roman" w:eastAsiaTheme="minorEastAsia"/>
          <w:spacing w:val="0"/>
          <w:szCs w:val="24"/>
        </w:rPr>
        <w:t>的年均浓度</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CO日均浓度第95百分位数浓度符合</w:t>
      </w:r>
      <w:r>
        <w:rPr>
          <w:rFonts w:hint="eastAsia" w:ascii="Times New Roman" w:hAnsi="Times New Roman" w:cs="Times New Roman" w:eastAsiaTheme="minorEastAsia"/>
          <w:spacing w:val="0"/>
          <w:szCs w:val="24"/>
        </w:rPr>
        <w:t>《</w:t>
      </w:r>
      <w:r>
        <w:rPr>
          <w:rFonts w:ascii="Times New Roman" w:hAnsi="Times New Roman" w:cs="Times New Roman" w:eastAsiaTheme="minorEastAsia"/>
          <w:spacing w:val="0"/>
          <w:szCs w:val="24"/>
        </w:rPr>
        <w:t>环境空气质量</w:t>
      </w:r>
      <w:r>
        <w:rPr>
          <w:rFonts w:hint="eastAsia" w:ascii="Times New Roman" w:hAnsi="Times New Roman" w:cs="Times New Roman" w:eastAsiaTheme="minorEastAsia"/>
          <w:spacing w:val="0"/>
          <w:szCs w:val="24"/>
        </w:rPr>
        <w:t>标准》</w:t>
      </w:r>
      <w:r>
        <w:rPr>
          <w:rFonts w:ascii="Times New Roman" w:hAnsi="Times New Roman" w:cs="Times New Roman" w:eastAsiaTheme="minorEastAsia"/>
          <w:spacing w:val="0"/>
          <w:szCs w:val="24"/>
        </w:rPr>
        <w:t>（GB3095-2012）二级标准；PM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的年均浓度为36μg/m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，O</w:t>
      </w:r>
      <w:r>
        <w:rPr>
          <w:rFonts w:ascii="Times New Roman" w:hAnsi="Times New Roman" w:cs="Times New Roman" w:eastAsiaTheme="minorEastAsia"/>
          <w:spacing w:val="0"/>
          <w:szCs w:val="24"/>
          <w:vertAlign w:val="subscript"/>
        </w:rPr>
        <w:t>3</w:t>
      </w:r>
      <w:r>
        <w:rPr>
          <w:rFonts w:ascii="Times New Roman" w:hAnsi="Times New Roman" w:cs="Times New Roman" w:eastAsiaTheme="minorEastAsia"/>
          <w:spacing w:val="0"/>
          <w:szCs w:val="24"/>
        </w:rPr>
        <w:t>最大8小时平均浓度第90百分位数浓度为189μg/m</w:t>
      </w:r>
      <w:r>
        <w:rPr>
          <w:rFonts w:ascii="Times New Roman" w:hAnsi="Times New Roman" w:cs="Times New Roman" w:eastAsiaTheme="minorEastAsia"/>
          <w:spacing w:val="0"/>
          <w:szCs w:val="24"/>
          <w:vertAlign w:val="superscript"/>
        </w:rPr>
        <w:t>3</w:t>
      </w:r>
      <w:r>
        <w:rPr>
          <w:rFonts w:ascii="Times New Roman" w:hAnsi="Times New Roman" w:cs="Times New Roman" w:eastAsiaTheme="minorEastAsia"/>
          <w:spacing w:val="0"/>
          <w:szCs w:val="24"/>
        </w:rPr>
        <w:t>，</w:t>
      </w:r>
      <w:r>
        <w:rPr>
          <w:rFonts w:hint="eastAsia" w:ascii="Times New Roman" w:hAnsi="Times New Roman" w:cs="Times New Roman" w:eastAsiaTheme="minorEastAsia"/>
          <w:spacing w:val="0"/>
          <w:szCs w:val="24"/>
        </w:rPr>
        <w:t>出现</w:t>
      </w:r>
      <w:r>
        <w:rPr>
          <w:rFonts w:ascii="Times New Roman" w:hAnsi="Times New Roman" w:cs="Times New Roman" w:eastAsiaTheme="minorEastAsia"/>
          <w:spacing w:val="0"/>
          <w:szCs w:val="24"/>
        </w:rPr>
        <w:t>了超标</w:t>
      </w:r>
      <w:r>
        <w:rPr>
          <w:rFonts w:hint="eastAsia" w:ascii="Times New Roman" w:hAnsi="Times New Roman" w:cs="Times New Roman" w:eastAsiaTheme="minorEastAsia"/>
          <w:spacing w:val="0"/>
          <w:szCs w:val="24"/>
        </w:rPr>
        <w:t>现象。即</w:t>
      </w:r>
      <w:r>
        <w:rPr>
          <w:rFonts w:ascii="Times New Roman" w:hAnsi="Times New Roman" w:cs="Times New Roman" w:eastAsiaTheme="minorEastAsia"/>
          <w:spacing w:val="0"/>
          <w:szCs w:val="24"/>
        </w:rPr>
        <w:t>项目所在区域为环境空气质量</w:t>
      </w:r>
      <w:r>
        <w:rPr>
          <w:rFonts w:hint="eastAsia" w:ascii="Times New Roman" w:hAnsi="Times New Roman" w:cs="Times New Roman" w:eastAsiaTheme="minorEastAsia"/>
          <w:spacing w:val="0"/>
          <w:szCs w:val="24"/>
        </w:rPr>
        <w:t>不</w:t>
      </w:r>
      <w:r>
        <w:rPr>
          <w:rFonts w:ascii="Times New Roman" w:hAnsi="Times New Roman" w:cs="Times New Roman" w:eastAsiaTheme="minorEastAsia"/>
          <w:spacing w:val="0"/>
          <w:szCs w:val="24"/>
        </w:rPr>
        <w:t>达标区</w:t>
      </w:r>
      <w:r>
        <w:rPr>
          <w:rFonts w:ascii="Times New Roman" w:hAnsi="Times New Roman" w:cs="Times New Roman" w:eastAsiaTheme="minorEastAsia"/>
          <w:spacing w:val="0"/>
          <w:kern w:val="0"/>
          <w:szCs w:val="24"/>
        </w:rPr>
        <w:t>。</w:t>
      </w:r>
    </w:p>
    <w:p>
      <w:pPr>
        <w:pStyle w:val="4"/>
        <w:spacing w:line="480" w:lineRule="exact"/>
        <w:rPr>
          <w:rFonts w:ascii="Times New Roman" w:hAnsi="Times New Roman" w:cs="Times New Roman"/>
          <w:spacing w:val="0"/>
          <w:kern w:val="0"/>
          <w:szCs w:val="24"/>
        </w:rPr>
      </w:pPr>
      <w:r>
        <w:rPr>
          <w:rFonts w:ascii="Times New Roman" w:hAnsi="Times New Roman" w:cs="Times New Roman"/>
          <w:spacing w:val="0"/>
          <w:kern w:val="0"/>
          <w:szCs w:val="24"/>
        </w:rPr>
        <w:t>项目附近城西水厂监测点位超标</w:t>
      </w:r>
      <w:r>
        <w:rPr>
          <w:rFonts w:hint="eastAsia" w:ascii="Times New Roman" w:hAnsi="Times New Roman" w:cs="Times New Roman"/>
          <w:spacing w:val="0"/>
          <w:kern w:val="0"/>
          <w:szCs w:val="24"/>
        </w:rPr>
        <w:t>因子为NO</w:t>
      </w:r>
      <w:r>
        <w:rPr>
          <w:rFonts w:hint="eastAsia" w:ascii="Times New Roman" w:hAnsi="Times New Roman" w:cs="Times New Roman"/>
          <w:spacing w:val="0"/>
          <w:kern w:val="0"/>
          <w:szCs w:val="24"/>
          <w:vertAlign w:val="subscript"/>
        </w:rPr>
        <w:t>2</w:t>
      </w:r>
      <w:r>
        <w:rPr>
          <w:rFonts w:hint="eastAsia" w:ascii="Times New Roman" w:hAnsi="Times New Roman" w:cs="Times New Roman"/>
          <w:spacing w:val="0"/>
          <w:kern w:val="0"/>
          <w:szCs w:val="24"/>
        </w:rPr>
        <w:t>、PM</w:t>
      </w:r>
      <w:r>
        <w:rPr>
          <w:rFonts w:hint="eastAsia" w:ascii="Times New Roman" w:hAnsi="Times New Roman" w:cs="Times New Roman"/>
          <w:spacing w:val="0"/>
          <w:kern w:val="0"/>
          <w:szCs w:val="24"/>
          <w:vertAlign w:val="subscript"/>
        </w:rPr>
        <w:t>2</w:t>
      </w:r>
      <w:r>
        <w:rPr>
          <w:rFonts w:ascii="Times New Roman" w:hAnsi="Times New Roman" w:cs="Times New Roman"/>
          <w:spacing w:val="0"/>
          <w:kern w:val="0"/>
          <w:szCs w:val="24"/>
          <w:vertAlign w:val="subscript"/>
        </w:rPr>
        <w:t>.</w:t>
      </w:r>
      <w:r>
        <w:rPr>
          <w:rFonts w:hint="eastAsia" w:ascii="Times New Roman" w:hAnsi="Times New Roman" w:cs="Times New Roman"/>
          <w:spacing w:val="0"/>
          <w:kern w:val="0"/>
          <w:szCs w:val="24"/>
          <w:vertAlign w:val="subscript"/>
        </w:rPr>
        <w:t>5</w:t>
      </w:r>
      <w:r>
        <w:rPr>
          <w:rFonts w:hint="eastAsia" w:ascii="Times New Roman" w:hAnsi="Times New Roman" w:cs="Times New Roman"/>
          <w:spacing w:val="0"/>
          <w:kern w:val="0"/>
          <w:szCs w:val="24"/>
        </w:rPr>
        <w:t>及 O</w:t>
      </w:r>
      <w:r>
        <w:rPr>
          <w:rFonts w:hint="eastAsia" w:ascii="Times New Roman" w:hAnsi="Times New Roman" w:cs="Times New Roman"/>
          <w:spacing w:val="0"/>
          <w:kern w:val="0"/>
          <w:szCs w:val="24"/>
          <w:vertAlign w:val="subscript"/>
        </w:rPr>
        <w:t>3</w:t>
      </w:r>
      <w:r>
        <w:rPr>
          <w:rFonts w:hint="eastAsia" w:ascii="Times New Roman" w:hAnsi="Times New Roman" w:cs="Times New Roman"/>
          <w:spacing w:val="0"/>
          <w:kern w:val="0"/>
          <w:szCs w:val="24"/>
        </w:rPr>
        <w:t>。</w:t>
      </w:r>
    </w:p>
    <w:p>
      <w:pPr>
        <w:pStyle w:val="4"/>
        <w:spacing w:line="480" w:lineRule="exact"/>
        <w:rPr>
          <w:rFonts w:ascii="Times New Roman" w:hAnsi="Times New Roman" w:cs="Times New Roman"/>
          <w:spacing w:val="0"/>
          <w:kern w:val="0"/>
          <w:szCs w:val="24"/>
        </w:rPr>
      </w:pPr>
      <w:r>
        <w:rPr>
          <w:rFonts w:ascii="Times New Roman" w:hAnsi="Times New Roman" w:cs="Times New Roman"/>
          <w:spacing w:val="0"/>
          <w:kern w:val="0"/>
          <w:szCs w:val="24"/>
        </w:rPr>
        <w:t>本项目位于湖州市经济开发区，所在区域为环境空气质量不达标区域。</w:t>
      </w:r>
      <w:r>
        <w:rPr>
          <w:rFonts w:hint="eastAsia" w:ascii="Times New Roman" w:hAnsi="Times New Roman" w:cs="Times New Roman"/>
          <w:spacing w:val="0"/>
          <w:kern w:val="0"/>
          <w:szCs w:val="24"/>
        </w:rPr>
        <w:t>根据《</w:t>
      </w:r>
      <w:r>
        <w:rPr>
          <w:rFonts w:ascii="Times New Roman" w:hAnsi="Times New Roman" w:cs="Times New Roman"/>
          <w:spacing w:val="0"/>
          <w:kern w:val="0"/>
          <w:szCs w:val="24"/>
        </w:rPr>
        <w:t>湖州市人民政府办公室关于</w:t>
      </w:r>
      <w:r>
        <w:rPr>
          <w:rFonts w:hint="eastAsia" w:ascii="Times New Roman" w:hAnsi="Times New Roman" w:cs="Times New Roman"/>
          <w:spacing w:val="0"/>
          <w:kern w:val="0"/>
          <w:szCs w:val="24"/>
        </w:rPr>
        <w:t>印发</w:t>
      </w:r>
      <w:r>
        <w:rPr>
          <w:rFonts w:ascii="Times New Roman" w:hAnsi="Times New Roman" w:cs="Times New Roman"/>
          <w:spacing w:val="0"/>
          <w:kern w:val="0"/>
          <w:szCs w:val="24"/>
        </w:rPr>
        <w:t>湖州市大气环境</w:t>
      </w:r>
      <w:r>
        <w:rPr>
          <w:rFonts w:hint="eastAsia" w:ascii="Times New Roman" w:hAnsi="Times New Roman" w:cs="Times New Roman"/>
          <w:spacing w:val="0"/>
          <w:kern w:val="0"/>
          <w:szCs w:val="24"/>
        </w:rPr>
        <w:t>质量</w:t>
      </w:r>
      <w:r>
        <w:rPr>
          <w:rFonts w:ascii="Times New Roman" w:hAnsi="Times New Roman" w:cs="Times New Roman"/>
          <w:spacing w:val="0"/>
          <w:kern w:val="0"/>
          <w:szCs w:val="24"/>
        </w:rPr>
        <w:t>限期达标规划的通知</w:t>
      </w:r>
      <w:r>
        <w:rPr>
          <w:rFonts w:hint="eastAsia" w:ascii="Times New Roman" w:hAnsi="Times New Roman" w:cs="Times New Roman"/>
          <w:spacing w:val="0"/>
          <w:kern w:val="0"/>
          <w:szCs w:val="24"/>
        </w:rPr>
        <w:t>》(湖政办发[2019]3号)，</w:t>
      </w:r>
      <w:r>
        <w:rPr>
          <w:rFonts w:ascii="Times New Roman" w:hAnsi="Times New Roman" w:cs="Times New Roman"/>
          <w:spacing w:val="0"/>
          <w:kern w:val="0"/>
          <w:szCs w:val="24"/>
        </w:rPr>
        <w:t>为进一步改善环境空气质量，接下来全市将进一步健全治气工作的体制机制，</w:t>
      </w:r>
      <w:r>
        <w:rPr>
          <w:rFonts w:hint="eastAsia" w:ascii="Times New Roman" w:hAnsi="Times New Roman" w:cs="Times New Roman"/>
          <w:spacing w:val="0"/>
          <w:kern w:val="0"/>
          <w:szCs w:val="24"/>
        </w:rPr>
        <w:t>深化能源</w:t>
      </w:r>
      <w:r>
        <w:rPr>
          <w:rFonts w:ascii="Times New Roman" w:hAnsi="Times New Roman" w:cs="Times New Roman"/>
          <w:spacing w:val="0"/>
          <w:kern w:val="0"/>
          <w:szCs w:val="24"/>
        </w:rPr>
        <w:t>结构调整，构建清洁低碳能源体系</w:t>
      </w:r>
      <w:r>
        <w:rPr>
          <w:rFonts w:hint="eastAsia" w:ascii="Times New Roman" w:hAnsi="Times New Roman" w:cs="Times New Roman"/>
          <w:spacing w:val="0"/>
          <w:kern w:val="0"/>
          <w:szCs w:val="24"/>
        </w:rPr>
        <w:t>(包括控制</w:t>
      </w:r>
      <w:r>
        <w:rPr>
          <w:rFonts w:ascii="Times New Roman" w:hAnsi="Times New Roman" w:cs="Times New Roman"/>
          <w:spacing w:val="0"/>
          <w:kern w:val="0"/>
          <w:szCs w:val="24"/>
        </w:rPr>
        <w:t>煤炭消费总量、深入推进高污染燃料设施淘汰、</w:t>
      </w:r>
      <w:r>
        <w:rPr>
          <w:rFonts w:hint="eastAsia" w:ascii="Times New Roman" w:hAnsi="Times New Roman" w:cs="Times New Roman"/>
          <w:spacing w:val="0"/>
          <w:kern w:val="0"/>
          <w:szCs w:val="24"/>
        </w:rPr>
        <w:t>提升</w:t>
      </w:r>
      <w:r>
        <w:rPr>
          <w:rFonts w:ascii="Times New Roman" w:hAnsi="Times New Roman" w:cs="Times New Roman"/>
          <w:spacing w:val="0"/>
          <w:kern w:val="0"/>
          <w:szCs w:val="24"/>
        </w:rPr>
        <w:t>清洁能源利用水平、</w:t>
      </w:r>
      <w:r>
        <w:rPr>
          <w:rFonts w:hint="eastAsia" w:ascii="Times New Roman" w:hAnsi="Times New Roman" w:cs="Times New Roman"/>
          <w:spacing w:val="0"/>
          <w:kern w:val="0"/>
          <w:szCs w:val="24"/>
        </w:rPr>
        <w:t>提高</w:t>
      </w:r>
      <w:r>
        <w:rPr>
          <w:rFonts w:ascii="Times New Roman" w:hAnsi="Times New Roman" w:cs="Times New Roman"/>
          <w:spacing w:val="0"/>
          <w:kern w:val="0"/>
          <w:szCs w:val="24"/>
        </w:rPr>
        <w:t>能源利用效率</w:t>
      </w:r>
      <w:r>
        <w:rPr>
          <w:rFonts w:hint="eastAsia" w:ascii="Times New Roman" w:hAnsi="Times New Roman" w:cs="Times New Roman"/>
          <w:spacing w:val="0"/>
          <w:kern w:val="0"/>
          <w:szCs w:val="24"/>
        </w:rPr>
        <w:t>)；优化</w:t>
      </w:r>
      <w:r>
        <w:rPr>
          <w:rFonts w:ascii="Times New Roman" w:hAnsi="Times New Roman" w:cs="Times New Roman"/>
          <w:spacing w:val="0"/>
          <w:kern w:val="0"/>
          <w:szCs w:val="24"/>
        </w:rPr>
        <w:t>产业结构调整，构建绿色低碳产业体系</w:t>
      </w:r>
      <w:r>
        <w:rPr>
          <w:rFonts w:hint="eastAsia" w:ascii="Times New Roman" w:hAnsi="Times New Roman" w:cs="Times New Roman"/>
          <w:spacing w:val="0"/>
          <w:kern w:val="0"/>
          <w:szCs w:val="24"/>
        </w:rPr>
        <w:t>(包括</w:t>
      </w:r>
      <w:r>
        <w:rPr>
          <w:rFonts w:ascii="Times New Roman" w:hAnsi="Times New Roman" w:cs="Times New Roman"/>
          <w:spacing w:val="0"/>
          <w:kern w:val="0"/>
          <w:szCs w:val="24"/>
        </w:rPr>
        <w:t>坚持绿色低碳发展、推动产业转型升级</w:t>
      </w:r>
      <w:r>
        <w:rPr>
          <w:rFonts w:hint="eastAsia" w:ascii="Times New Roman" w:hAnsi="Times New Roman" w:cs="Times New Roman"/>
          <w:spacing w:val="0"/>
          <w:kern w:val="0"/>
          <w:szCs w:val="24"/>
        </w:rPr>
        <w:t>严格</w:t>
      </w:r>
      <w:r>
        <w:rPr>
          <w:rFonts w:ascii="Times New Roman" w:hAnsi="Times New Roman" w:cs="Times New Roman"/>
          <w:spacing w:val="0"/>
          <w:kern w:val="0"/>
          <w:szCs w:val="24"/>
        </w:rPr>
        <w:t>产业准入、</w:t>
      </w:r>
      <w:r>
        <w:rPr>
          <w:rFonts w:hint="eastAsia" w:ascii="Times New Roman" w:hAnsi="Times New Roman" w:cs="Times New Roman"/>
          <w:spacing w:val="0"/>
          <w:kern w:val="0"/>
          <w:szCs w:val="24"/>
        </w:rPr>
        <w:t>优化</w:t>
      </w:r>
      <w:r>
        <w:rPr>
          <w:rFonts w:ascii="Times New Roman" w:hAnsi="Times New Roman" w:cs="Times New Roman"/>
          <w:spacing w:val="0"/>
          <w:kern w:val="0"/>
          <w:szCs w:val="24"/>
        </w:rPr>
        <w:t>产业布局</w:t>
      </w:r>
      <w:r>
        <w:rPr>
          <w:rFonts w:hint="eastAsia" w:ascii="Times New Roman" w:hAnsi="Times New Roman" w:cs="Times New Roman"/>
          <w:spacing w:val="0"/>
          <w:kern w:val="0"/>
          <w:szCs w:val="24"/>
        </w:rPr>
        <w:t>、</w:t>
      </w:r>
      <w:r>
        <w:rPr>
          <w:rFonts w:ascii="Times New Roman" w:hAnsi="Times New Roman" w:cs="Times New Roman"/>
          <w:spacing w:val="0"/>
          <w:kern w:val="0"/>
          <w:szCs w:val="24"/>
        </w:rPr>
        <w:t>淘汰高污染高耗能产能、全面整治</w:t>
      </w:r>
      <w:r>
        <w:rPr>
          <w:rFonts w:cs="Times New Roman" w:asciiTheme="minorEastAsia" w:hAnsiTheme="minorEastAsia" w:eastAsiaTheme="minorEastAsia"/>
          <w:spacing w:val="0"/>
          <w:kern w:val="0"/>
          <w:szCs w:val="24"/>
        </w:rPr>
        <w:t>“</w:t>
      </w:r>
      <w:r>
        <w:rPr>
          <w:rFonts w:hint="eastAsia" w:cs="Times New Roman" w:asciiTheme="minorEastAsia" w:hAnsiTheme="minorEastAsia" w:eastAsiaTheme="minorEastAsia"/>
          <w:spacing w:val="0"/>
          <w:kern w:val="0"/>
          <w:szCs w:val="24"/>
        </w:rPr>
        <w:t>散乱污</w:t>
      </w:r>
      <w:r>
        <w:rPr>
          <w:rFonts w:cs="Times New Roman" w:asciiTheme="minorEastAsia" w:hAnsiTheme="minorEastAsia" w:eastAsiaTheme="minorEastAsia"/>
          <w:spacing w:val="0"/>
          <w:kern w:val="0"/>
          <w:szCs w:val="24"/>
        </w:rPr>
        <w:t>”</w:t>
      </w:r>
      <w:r>
        <w:rPr>
          <w:rFonts w:hint="eastAsia" w:cs="Times New Roman" w:asciiTheme="minorEastAsia" w:hAnsiTheme="minorEastAsia" w:eastAsiaTheme="minorEastAsia"/>
          <w:spacing w:val="0"/>
          <w:kern w:val="0"/>
          <w:szCs w:val="24"/>
        </w:rPr>
        <w:t>企</w:t>
      </w:r>
      <w:r>
        <w:rPr>
          <w:rFonts w:hint="eastAsia" w:ascii="Times New Roman" w:hAnsi="Times New Roman" w:cs="Times New Roman"/>
          <w:spacing w:val="0"/>
          <w:kern w:val="0"/>
          <w:szCs w:val="24"/>
        </w:rPr>
        <w:t>业、</w:t>
      </w:r>
      <w:r>
        <w:rPr>
          <w:rFonts w:ascii="Times New Roman" w:hAnsi="Times New Roman" w:cs="Times New Roman"/>
          <w:spacing w:val="0"/>
          <w:kern w:val="0"/>
          <w:szCs w:val="24"/>
        </w:rPr>
        <w:t>全面发展循环低碳经济等</w:t>
      </w:r>
      <w:r>
        <w:rPr>
          <w:rFonts w:hint="eastAsia" w:ascii="Times New Roman" w:hAnsi="Times New Roman" w:cs="Times New Roman"/>
          <w:spacing w:val="0"/>
          <w:kern w:val="0"/>
          <w:szCs w:val="24"/>
        </w:rPr>
        <w:t>)；</w:t>
      </w:r>
      <w:r>
        <w:rPr>
          <w:rFonts w:ascii="Times New Roman" w:hAnsi="Times New Roman" w:cs="Times New Roman"/>
          <w:spacing w:val="0"/>
          <w:kern w:val="0"/>
          <w:szCs w:val="24"/>
        </w:rPr>
        <w:t>深化烟气废气治理，加强</w:t>
      </w:r>
      <w:r>
        <w:rPr>
          <w:rFonts w:hint="eastAsia" w:ascii="Times New Roman" w:hAnsi="Times New Roman" w:cs="Times New Roman"/>
          <w:spacing w:val="0"/>
          <w:kern w:val="0"/>
          <w:szCs w:val="24"/>
        </w:rPr>
        <w:t>工业VOC</w:t>
      </w:r>
      <w:r>
        <w:rPr>
          <w:rFonts w:ascii="Times New Roman" w:hAnsi="Times New Roman" w:cs="Times New Roman"/>
          <w:spacing w:val="0"/>
          <w:kern w:val="0"/>
          <w:szCs w:val="24"/>
        </w:rPr>
        <w:t>s污染整治</w:t>
      </w:r>
      <w:r>
        <w:rPr>
          <w:rFonts w:hint="eastAsia" w:ascii="Times New Roman" w:hAnsi="Times New Roman" w:cs="Times New Roman"/>
          <w:spacing w:val="0"/>
          <w:kern w:val="0"/>
          <w:szCs w:val="24"/>
        </w:rPr>
        <w:t>，持续</w:t>
      </w:r>
      <w:r>
        <w:rPr>
          <w:rFonts w:ascii="Times New Roman" w:hAnsi="Times New Roman" w:cs="Times New Roman"/>
          <w:spacing w:val="0"/>
          <w:kern w:val="0"/>
          <w:szCs w:val="24"/>
        </w:rPr>
        <w:t>推进工业污染源全面达标排放，实施燃煤电厂深度治理，</w:t>
      </w:r>
      <w:r>
        <w:rPr>
          <w:rFonts w:hint="eastAsia" w:ascii="Times New Roman" w:hAnsi="Times New Roman" w:cs="Times New Roman"/>
          <w:spacing w:val="0"/>
          <w:kern w:val="0"/>
          <w:szCs w:val="24"/>
        </w:rPr>
        <w:t>全面提升</w:t>
      </w:r>
      <w:r>
        <w:rPr>
          <w:rFonts w:ascii="Times New Roman" w:hAnsi="Times New Roman" w:cs="Times New Roman"/>
          <w:spacing w:val="0"/>
          <w:kern w:val="0"/>
          <w:szCs w:val="24"/>
        </w:rPr>
        <w:t>锅炉烟气排放标准，</w:t>
      </w:r>
      <w:r>
        <w:rPr>
          <w:rFonts w:hint="eastAsia" w:ascii="Times New Roman" w:hAnsi="Times New Roman" w:cs="Times New Roman"/>
          <w:spacing w:val="0"/>
          <w:kern w:val="0"/>
          <w:szCs w:val="24"/>
        </w:rPr>
        <w:t>提升</w:t>
      </w:r>
      <w:r>
        <w:rPr>
          <w:rFonts w:ascii="Times New Roman" w:hAnsi="Times New Roman" w:cs="Times New Roman"/>
          <w:spacing w:val="0"/>
          <w:kern w:val="0"/>
          <w:szCs w:val="24"/>
        </w:rPr>
        <w:t>重点行业废气</w:t>
      </w:r>
      <w:r>
        <w:rPr>
          <w:rFonts w:hint="eastAsia" w:ascii="Times New Roman" w:hAnsi="Times New Roman" w:cs="Times New Roman"/>
          <w:spacing w:val="0"/>
          <w:kern w:val="0"/>
          <w:szCs w:val="24"/>
        </w:rPr>
        <w:t>治理</w:t>
      </w:r>
      <w:r>
        <w:rPr>
          <w:rFonts w:ascii="Times New Roman" w:hAnsi="Times New Roman" w:cs="Times New Roman"/>
          <w:spacing w:val="0"/>
          <w:kern w:val="0"/>
          <w:szCs w:val="24"/>
        </w:rPr>
        <w:t>水平</w:t>
      </w:r>
      <w:r>
        <w:rPr>
          <w:rFonts w:hint="eastAsia" w:ascii="Times New Roman" w:hAnsi="Times New Roman" w:cs="Times New Roman"/>
          <w:spacing w:val="0"/>
          <w:kern w:val="0"/>
          <w:szCs w:val="24"/>
        </w:rPr>
        <w:t>、</w:t>
      </w:r>
      <w:r>
        <w:rPr>
          <w:rFonts w:ascii="Times New Roman" w:hAnsi="Times New Roman" w:cs="Times New Roman"/>
          <w:spacing w:val="0"/>
          <w:kern w:val="0"/>
          <w:szCs w:val="24"/>
        </w:rPr>
        <w:t>开展工业炉窑整治专项行动</w:t>
      </w:r>
      <w:r>
        <w:rPr>
          <w:rFonts w:hint="eastAsia" w:ascii="Times New Roman" w:hAnsi="Times New Roman" w:cs="Times New Roman"/>
          <w:spacing w:val="0"/>
          <w:kern w:val="0"/>
          <w:szCs w:val="24"/>
        </w:rPr>
        <w:t>等。</w:t>
      </w:r>
      <w:r>
        <w:rPr>
          <w:rFonts w:ascii="Times New Roman" w:hAnsi="Times New Roman" w:cs="Times New Roman"/>
          <w:spacing w:val="0"/>
          <w:kern w:val="0"/>
          <w:szCs w:val="24"/>
        </w:rPr>
        <w:t>随着上述工作的持续推进，区域环境空气质量必将会进一步得到改善</w:t>
      </w:r>
      <w:r>
        <w:rPr>
          <w:rFonts w:hint="eastAsia" w:ascii="Times New Roman" w:hAnsi="Times New Roman" w:cs="Times New Roman"/>
          <w:spacing w:val="0"/>
          <w:kern w:val="0"/>
          <w:szCs w:val="24"/>
        </w:rPr>
        <w:t>。</w:t>
      </w:r>
    </w:p>
    <w:p>
      <w:pPr>
        <w:pStyle w:val="5"/>
        <w:rPr>
          <w:rFonts w:ascii="Times New Roman"/>
        </w:rPr>
      </w:pPr>
      <w:bookmarkStart w:id="168" w:name="_Toc286313961"/>
      <w:bookmarkStart w:id="169" w:name="_Toc268609168"/>
      <w:r>
        <w:rPr>
          <w:rFonts w:ascii="Times New Roman"/>
        </w:rPr>
        <w:t>地表水环境质量现状</w:t>
      </w:r>
      <w:bookmarkEnd w:id="168"/>
      <w:bookmarkEnd w:id="169"/>
    </w:p>
    <w:p>
      <w:pPr>
        <w:pStyle w:val="4"/>
        <w:spacing w:line="480" w:lineRule="exact"/>
        <w:rPr>
          <w:rFonts w:ascii="Times New Roman" w:hAnsi="Times New Roman" w:cs="Times New Roman"/>
          <w:spacing w:val="0"/>
          <w:kern w:val="0"/>
          <w:szCs w:val="24"/>
        </w:rPr>
      </w:pPr>
      <w:r>
        <w:rPr>
          <w:rFonts w:hint="eastAsia" w:ascii="Times New Roman" w:hAnsi="Times New Roman" w:cs="Times New Roman"/>
          <w:spacing w:val="0"/>
          <w:kern w:val="0"/>
          <w:szCs w:val="24"/>
        </w:rPr>
        <w:t>1、环境质量公报情况</w:t>
      </w:r>
    </w:p>
    <w:p>
      <w:pPr>
        <w:pStyle w:val="4"/>
        <w:spacing w:line="480" w:lineRule="exact"/>
        <w:rPr>
          <w:rFonts w:ascii="Times New Roman" w:hAnsi="Times New Roman" w:cs="Times New Roman"/>
          <w:spacing w:val="0"/>
          <w:kern w:val="0"/>
          <w:szCs w:val="24"/>
        </w:rPr>
      </w:pPr>
      <w:r>
        <w:rPr>
          <w:rFonts w:ascii="Times New Roman" w:hAnsi="Times New Roman" w:cs="Times New Roman"/>
          <w:spacing w:val="0"/>
          <w:kern w:val="0"/>
          <w:szCs w:val="24"/>
        </w:rPr>
        <w:t>根据</w:t>
      </w:r>
      <w:r>
        <w:rPr>
          <w:rFonts w:hint="eastAsia" w:ascii="Times New Roman" w:hAnsi="Times New Roman" w:cs="Times New Roman"/>
          <w:spacing w:val="0"/>
          <w:kern w:val="0"/>
          <w:szCs w:val="24"/>
        </w:rPr>
        <w:t>湖州市环境保护局发布的《湖州市2017年</w:t>
      </w:r>
      <w:r>
        <w:rPr>
          <w:rFonts w:ascii="Times New Roman" w:hAnsi="Times New Roman" w:cs="Times New Roman"/>
          <w:spacing w:val="0"/>
          <w:kern w:val="0"/>
          <w:szCs w:val="24"/>
        </w:rPr>
        <w:t>环境质量公报</w:t>
      </w:r>
      <w:r>
        <w:rPr>
          <w:rFonts w:hint="eastAsia" w:ascii="Times New Roman" w:hAnsi="Times New Roman" w:cs="Times New Roman"/>
          <w:spacing w:val="0"/>
          <w:kern w:val="0"/>
          <w:szCs w:val="24"/>
        </w:rPr>
        <w:t>》，2017年湖州市水环境状况总体良好。77个县控以上监测断面水质达到或优于地表水环境质量Ⅲ类标准的监测断面占比100%，其中Ⅰ类、Ⅱ类、Ⅲ类标准的比例分别为1.2%、49.4%、49.4%。</w:t>
      </w:r>
    </w:p>
    <w:p>
      <w:pPr>
        <w:spacing w:line="264" w:lineRule="auto"/>
        <w:ind w:firstLine="486" w:firstLineChars="200"/>
        <w:rPr>
          <w:rFonts w:eastAsia="宋体"/>
          <w:sz w:val="24"/>
        </w:rPr>
      </w:pPr>
      <w:r>
        <w:rPr>
          <w:rFonts w:hint="eastAsia" w:eastAsia="宋体"/>
          <w:sz w:val="24"/>
        </w:rPr>
        <w:t>2、项目附近水体水环境质量现状</w:t>
      </w:r>
    </w:p>
    <w:p>
      <w:pPr>
        <w:spacing w:line="264" w:lineRule="auto"/>
        <w:ind w:firstLine="486" w:firstLineChars="200"/>
        <w:rPr>
          <w:rFonts w:eastAsia="宋体"/>
          <w:sz w:val="24"/>
        </w:rPr>
      </w:pPr>
      <w:r>
        <w:rPr>
          <w:rFonts w:hint="eastAsia" w:eastAsia="宋体"/>
          <w:sz w:val="24"/>
          <w:szCs w:val="24"/>
        </w:rPr>
        <w:t>根据</w:t>
      </w:r>
      <w:r>
        <w:rPr>
          <w:rFonts w:eastAsia="宋体"/>
          <w:sz w:val="24"/>
          <w:szCs w:val="24"/>
        </w:rPr>
        <w:t>检测结果可知，</w:t>
      </w:r>
      <w:r>
        <w:rPr>
          <w:rFonts w:hint="eastAsia" w:eastAsia="宋体"/>
          <w:sz w:val="24"/>
          <w:szCs w:val="24"/>
        </w:rPr>
        <w:t>吕山港上、下游</w:t>
      </w:r>
      <w:r>
        <w:rPr>
          <w:rFonts w:eastAsia="宋体"/>
          <w:sz w:val="24"/>
          <w:szCs w:val="24"/>
        </w:rPr>
        <w:t>断面的</w:t>
      </w:r>
      <w:r>
        <w:rPr>
          <w:rFonts w:eastAsia="宋体"/>
          <w:sz w:val="24"/>
        </w:rPr>
        <w:t>各项监测因子均能满足《地表水环境质量标准》</w:t>
      </w:r>
      <w:r>
        <w:rPr>
          <w:rFonts w:hint="eastAsia" w:eastAsia="宋体"/>
          <w:sz w:val="24"/>
        </w:rPr>
        <w:t>（</w:t>
      </w:r>
      <w:r>
        <w:rPr>
          <w:rFonts w:eastAsia="宋体"/>
          <w:sz w:val="24"/>
        </w:rPr>
        <w:t>GB3838-2002</w:t>
      </w:r>
      <w:r>
        <w:rPr>
          <w:rFonts w:hint="eastAsia" w:eastAsia="宋体"/>
          <w:sz w:val="24"/>
        </w:rPr>
        <w:t>）</w:t>
      </w:r>
      <w:r>
        <w:rPr>
          <w:rFonts w:eastAsia="宋体"/>
          <w:sz w:val="24"/>
        </w:rPr>
        <w:t>中的</w:t>
      </w:r>
      <w:r>
        <w:rPr>
          <w:rFonts w:hint="eastAsia" w:ascii="宋体" w:hAnsi="宋体" w:eastAsia="宋体" w:cs="宋体"/>
          <w:sz w:val="24"/>
        </w:rPr>
        <w:t>Ⅲ</w:t>
      </w:r>
      <w:r>
        <w:rPr>
          <w:rFonts w:eastAsia="宋体"/>
          <w:sz w:val="24"/>
        </w:rPr>
        <w:t>类标准。</w:t>
      </w:r>
    </w:p>
    <w:p>
      <w:pPr>
        <w:spacing w:line="264" w:lineRule="auto"/>
        <w:ind w:firstLine="486" w:firstLineChars="200"/>
        <w:rPr>
          <w:rFonts w:eastAsia="宋体"/>
          <w:sz w:val="24"/>
          <w:szCs w:val="24"/>
        </w:rPr>
      </w:pPr>
      <w:r>
        <w:rPr>
          <w:rFonts w:hint="eastAsia" w:eastAsia="宋体"/>
          <w:sz w:val="24"/>
          <w:szCs w:val="24"/>
        </w:rPr>
        <w:t>3、纳污水体水环境质量现状</w:t>
      </w:r>
    </w:p>
    <w:p>
      <w:pPr>
        <w:spacing w:line="264" w:lineRule="auto"/>
        <w:ind w:firstLine="486" w:firstLineChars="200"/>
        <w:rPr>
          <w:rFonts w:eastAsia="宋体"/>
          <w:sz w:val="24"/>
        </w:rPr>
      </w:pPr>
      <w:r>
        <w:rPr>
          <w:rFonts w:hint="eastAsia" w:eastAsia="宋体"/>
          <w:sz w:val="24"/>
        </w:rPr>
        <w:t>根据检测</w:t>
      </w:r>
      <w:r>
        <w:rPr>
          <w:rFonts w:eastAsia="宋体"/>
          <w:sz w:val="24"/>
        </w:rPr>
        <w:t>结果可知，</w:t>
      </w:r>
      <w:r>
        <w:rPr>
          <w:rFonts w:hint="eastAsia" w:eastAsia="宋体"/>
          <w:sz w:val="24"/>
          <w:szCs w:val="24"/>
        </w:rPr>
        <w:t>纳污水体白雀大桥</w:t>
      </w:r>
      <w:r>
        <w:rPr>
          <w:rFonts w:eastAsia="宋体"/>
          <w:sz w:val="24"/>
          <w:szCs w:val="24"/>
        </w:rPr>
        <w:t>监测断面的</w:t>
      </w:r>
      <w:r>
        <w:rPr>
          <w:rFonts w:eastAsia="宋体"/>
          <w:sz w:val="24"/>
        </w:rPr>
        <w:t>各项监测因子均能满足《地表水环境质量标准》</w:t>
      </w:r>
      <w:r>
        <w:rPr>
          <w:rFonts w:hint="eastAsia" w:eastAsia="宋体"/>
          <w:sz w:val="24"/>
        </w:rPr>
        <w:t>（</w:t>
      </w:r>
      <w:r>
        <w:rPr>
          <w:rFonts w:eastAsia="宋体"/>
          <w:sz w:val="24"/>
        </w:rPr>
        <w:t>GB3838-2002</w:t>
      </w:r>
      <w:r>
        <w:rPr>
          <w:rFonts w:hint="eastAsia" w:eastAsia="宋体"/>
          <w:sz w:val="24"/>
        </w:rPr>
        <w:t>）</w:t>
      </w:r>
      <w:r>
        <w:rPr>
          <w:rFonts w:eastAsia="宋体"/>
          <w:sz w:val="24"/>
        </w:rPr>
        <w:t>中的</w:t>
      </w:r>
      <w:r>
        <w:rPr>
          <w:rFonts w:hint="eastAsia" w:ascii="宋体" w:hAnsi="宋体" w:eastAsia="宋体" w:cs="宋体"/>
          <w:sz w:val="24"/>
        </w:rPr>
        <w:t>Ⅲ</w:t>
      </w:r>
      <w:r>
        <w:rPr>
          <w:rFonts w:eastAsia="宋体"/>
          <w:sz w:val="24"/>
        </w:rPr>
        <w:t>类标准</w:t>
      </w:r>
      <w:r>
        <w:rPr>
          <w:rFonts w:hint="eastAsia" w:eastAsia="宋体"/>
          <w:sz w:val="24"/>
        </w:rPr>
        <w:t>。</w:t>
      </w:r>
    </w:p>
    <w:p>
      <w:pPr>
        <w:pStyle w:val="5"/>
        <w:rPr>
          <w:rFonts w:ascii="Times New Roman"/>
        </w:rPr>
      </w:pPr>
      <w:r>
        <w:rPr>
          <w:rFonts w:ascii="Times New Roman"/>
        </w:rPr>
        <w:t>地下水环境质量现状</w:t>
      </w:r>
    </w:p>
    <w:p>
      <w:pPr>
        <w:spacing w:line="480" w:lineRule="exact"/>
        <w:ind w:firstLine="480"/>
        <w:rPr>
          <w:rFonts w:eastAsia="宋体"/>
          <w:sz w:val="24"/>
          <w:szCs w:val="24"/>
        </w:rPr>
      </w:pPr>
      <w:r>
        <w:rPr>
          <w:rFonts w:hint="eastAsia" w:eastAsia="宋体"/>
          <w:sz w:val="24"/>
          <w:szCs w:val="24"/>
        </w:rPr>
        <w:t>根据检测</w:t>
      </w:r>
      <w:r>
        <w:rPr>
          <w:rFonts w:eastAsia="宋体"/>
          <w:sz w:val="24"/>
          <w:szCs w:val="24"/>
        </w:rPr>
        <w:t>结果可知，项目所在地附近各监测点位地下水水质</w:t>
      </w:r>
      <w:r>
        <w:rPr>
          <w:rFonts w:eastAsiaTheme="minorEastAsia"/>
          <w:sz w:val="24"/>
          <w:szCs w:val="24"/>
        </w:rPr>
        <w:t>均能达到</w:t>
      </w:r>
      <w:r>
        <w:rPr>
          <w:rFonts w:hint="eastAsia" w:ascii="宋体" w:hAnsi="宋体" w:eastAsia="宋体" w:cs="宋体"/>
          <w:sz w:val="24"/>
          <w:szCs w:val="24"/>
        </w:rPr>
        <w:t>Ⅲ</w:t>
      </w:r>
      <w:r>
        <w:rPr>
          <w:rFonts w:eastAsiaTheme="minorEastAsia"/>
          <w:sz w:val="24"/>
          <w:szCs w:val="24"/>
        </w:rPr>
        <w:t>类标准</w:t>
      </w:r>
      <w:r>
        <w:rPr>
          <w:rFonts w:eastAsia="宋体"/>
          <w:sz w:val="24"/>
          <w:szCs w:val="24"/>
        </w:rPr>
        <w:t>，地下水环境质量较好。</w:t>
      </w:r>
      <w:r>
        <w:rPr>
          <w:rFonts w:hint="eastAsia" w:eastAsia="宋体"/>
          <w:sz w:val="24"/>
          <w:szCs w:val="24"/>
        </w:rPr>
        <w:t>同时根据地下水位检测结果，项目所在区域地下水流向为南向北。</w:t>
      </w:r>
    </w:p>
    <w:p>
      <w:pPr>
        <w:pStyle w:val="5"/>
        <w:numPr>
          <w:ilvl w:val="2"/>
          <w:numId w:val="25"/>
        </w:numPr>
        <w:rPr>
          <w:rFonts w:ascii="Times New Roman"/>
        </w:rPr>
      </w:pPr>
      <w:bookmarkStart w:id="170" w:name="_Toc83390709"/>
      <w:bookmarkStart w:id="171" w:name="_Toc128470766"/>
      <w:bookmarkStart w:id="172" w:name="_Toc83046821"/>
      <w:bookmarkStart w:id="173" w:name="_Toc231527974"/>
      <w:bookmarkStart w:id="174" w:name="_Toc286313965"/>
      <w:bookmarkStart w:id="175" w:name="_Toc236461558"/>
      <w:bookmarkStart w:id="176" w:name="_Toc83046822"/>
      <w:r>
        <w:rPr>
          <w:rFonts w:ascii="Times New Roman"/>
        </w:rPr>
        <w:t>声环境质量</w:t>
      </w:r>
      <w:bookmarkEnd w:id="170"/>
      <w:bookmarkEnd w:id="171"/>
      <w:bookmarkEnd w:id="172"/>
      <w:bookmarkEnd w:id="173"/>
      <w:bookmarkEnd w:id="174"/>
      <w:bookmarkEnd w:id="175"/>
      <w:r>
        <w:rPr>
          <w:rFonts w:ascii="Times New Roman"/>
        </w:rPr>
        <w:t>现状</w:t>
      </w:r>
    </w:p>
    <w:bookmarkEnd w:id="176"/>
    <w:p>
      <w:pPr>
        <w:pStyle w:val="712"/>
        <w:spacing w:before="84" w:line="480" w:lineRule="exact"/>
        <w:ind w:firstLine="486"/>
        <w:rPr>
          <w:rFonts w:ascii="Times New Roman" w:hAnsi="Times New Roman" w:cs="Times New Roman"/>
          <w:spacing w:val="0"/>
        </w:rPr>
      </w:pPr>
      <w:bookmarkStart w:id="177" w:name="_Toc332017077"/>
      <w:r>
        <w:rPr>
          <w:rFonts w:ascii="Times New Roman" w:hAnsi="Times New Roman" w:cs="Times New Roman"/>
          <w:spacing w:val="0"/>
        </w:rPr>
        <w:t>根据监测结果可以看出，项目</w:t>
      </w:r>
      <w:r>
        <w:rPr>
          <w:rFonts w:hint="eastAsia" w:ascii="Times New Roman" w:hAnsi="Times New Roman" w:cs="Times New Roman"/>
          <w:spacing w:val="0"/>
          <w:lang w:eastAsia="zh-CN"/>
        </w:rPr>
        <w:t>两个</w:t>
      </w:r>
      <w:r>
        <w:rPr>
          <w:rFonts w:ascii="Times New Roman" w:hAnsi="Times New Roman" w:cs="Times New Roman"/>
          <w:spacing w:val="0"/>
          <w:lang w:eastAsia="zh-CN"/>
        </w:rPr>
        <w:t>地块</w:t>
      </w:r>
      <w:r>
        <w:rPr>
          <w:rFonts w:ascii="Times New Roman" w:hAnsi="Times New Roman" w:cs="Times New Roman"/>
          <w:spacing w:val="0"/>
        </w:rPr>
        <w:t>厂界四周各监测点</w:t>
      </w:r>
      <w:r>
        <w:rPr>
          <w:rFonts w:hint="eastAsia" w:ascii="Times New Roman" w:hAnsi="Times New Roman" w:cs="Times New Roman"/>
          <w:spacing w:val="0"/>
          <w:lang w:eastAsia="zh-CN"/>
        </w:rPr>
        <w:t>昼、夜间</w:t>
      </w:r>
      <w:r>
        <w:rPr>
          <w:rFonts w:ascii="Times New Roman" w:hAnsi="Times New Roman" w:cs="Times New Roman"/>
          <w:spacing w:val="0"/>
        </w:rPr>
        <w:t>声环境现状均符合《声环境质量标准》(GB3096-2008)中3</w:t>
      </w:r>
      <w:r>
        <w:rPr>
          <w:rFonts w:hint="eastAsia" w:ascii="Times New Roman" w:hAnsi="Times New Roman" w:cs="Times New Roman"/>
          <w:spacing w:val="0"/>
          <w:lang w:eastAsia="zh-CN"/>
        </w:rPr>
        <w:t>、4</w:t>
      </w:r>
      <w:r>
        <w:rPr>
          <w:rFonts w:ascii="Times New Roman" w:hAnsi="Times New Roman" w:cs="Times New Roman"/>
          <w:spacing w:val="0"/>
          <w:lang w:eastAsia="zh-CN"/>
        </w:rPr>
        <w:t>a</w:t>
      </w:r>
      <w:r>
        <w:rPr>
          <w:rFonts w:ascii="Times New Roman" w:hAnsi="Times New Roman" w:cs="Times New Roman"/>
          <w:spacing w:val="0"/>
        </w:rPr>
        <w:t>类标准要求，项目</w:t>
      </w:r>
      <w:r>
        <w:rPr>
          <w:rFonts w:hint="eastAsia" w:ascii="Times New Roman" w:hAnsi="Times New Roman" w:cs="Times New Roman"/>
          <w:spacing w:val="0"/>
          <w:lang w:eastAsia="zh-CN"/>
        </w:rPr>
        <w:t>所在地现状</w:t>
      </w:r>
      <w:r>
        <w:rPr>
          <w:rFonts w:ascii="Times New Roman" w:hAnsi="Times New Roman" w:cs="Times New Roman"/>
          <w:spacing w:val="0"/>
        </w:rPr>
        <w:t>声环境质量较好。</w:t>
      </w:r>
    </w:p>
    <w:bookmarkEnd w:id="177"/>
    <w:p>
      <w:pPr>
        <w:pStyle w:val="5"/>
        <w:numPr>
          <w:ilvl w:val="2"/>
          <w:numId w:val="25"/>
        </w:numPr>
        <w:spacing w:line="360" w:lineRule="exact"/>
        <w:rPr>
          <w:rFonts w:ascii="Times New Roman"/>
        </w:rPr>
      </w:pPr>
      <w:r>
        <w:rPr>
          <w:rFonts w:ascii="Times New Roman"/>
        </w:rPr>
        <w:t>土壤环境质量现状</w:t>
      </w:r>
    </w:p>
    <w:p>
      <w:pPr>
        <w:pStyle w:val="835"/>
        <w:spacing w:before="0" w:line="480" w:lineRule="exact"/>
        <w:ind w:firstLine="486"/>
        <w:rPr>
          <w:rFonts w:ascii="Times New Roman" w:hAnsi="Times New Roman"/>
        </w:rPr>
      </w:pPr>
      <w:r>
        <w:rPr>
          <w:rFonts w:ascii="Times New Roman" w:hAnsi="Times New Roman"/>
        </w:rPr>
        <w:t>根据《工矿用地土壤环境管理办法（试行）》：第三条 土壤环境污染重点监管单位（以下简称重点单位）包括：（一）有色金属冶炼、石油加工、化工、焦化、电镀、制革等行业中应当纳入排污许可重点管理的企业；（二）有色金属矿采选、石油开采行业规模以上企业；（三）其他根据有关规定纳入土壤环境污染重点监管单位名录的企事业单位。</w:t>
      </w:r>
      <w:r>
        <w:rPr>
          <w:rFonts w:hint="eastAsia" w:ascii="Times New Roman" w:hAnsi="Times New Roman"/>
        </w:rPr>
        <w:t>根据2018.10.10的</w:t>
      </w:r>
      <w:r>
        <w:rPr>
          <w:rFonts w:ascii="Times New Roman" w:hAnsi="Times New Roman"/>
        </w:rPr>
        <w:t>部长信箱回复《</w:t>
      </w:r>
      <w:r>
        <w:fldChar w:fldCharType="begin"/>
      </w:r>
      <w:r>
        <w:instrText xml:space="preserve"> HYPERLINK "http://www.mee.gov.cn/hdjl/gzgq/hfhz/201810/t20181010_643462.shtml" </w:instrText>
      </w:r>
      <w:r>
        <w:fldChar w:fldCharType="separate"/>
      </w:r>
      <w:r>
        <w:rPr>
          <w:rFonts w:ascii="Times New Roman" w:hAnsi="Times New Roman"/>
        </w:rPr>
        <w:t>关于</w:t>
      </w:r>
      <w:r>
        <w:rPr>
          <w:rFonts w:hint="eastAsia" w:ascii="Times New Roman" w:hAnsi="Times New Roman"/>
        </w:rPr>
        <w:t>&lt;</w:t>
      </w:r>
      <w:r>
        <w:rPr>
          <w:rFonts w:ascii="Times New Roman" w:hAnsi="Times New Roman"/>
        </w:rPr>
        <w:t>工矿用地土壤环境管理办法（试行）</w:t>
      </w:r>
      <w:r>
        <w:rPr>
          <w:rFonts w:hint="eastAsia" w:ascii="Times New Roman" w:hAnsi="Times New Roman"/>
        </w:rPr>
        <w:t>&gt;</w:t>
      </w:r>
      <w:r>
        <w:rPr>
          <w:rFonts w:ascii="Times New Roman" w:hAnsi="Times New Roman"/>
        </w:rPr>
        <w:t>的回复</w:t>
      </w:r>
      <w:r>
        <w:rPr>
          <w:rFonts w:ascii="Times New Roman" w:hAnsi="Times New Roman"/>
        </w:rPr>
        <w:fldChar w:fldCharType="end"/>
      </w:r>
      <w:r>
        <w:rPr>
          <w:rFonts w:ascii="Times New Roman" w:hAnsi="Times New Roman"/>
        </w:rPr>
        <w:t>》</w:t>
      </w:r>
      <w:r>
        <w:rPr>
          <w:rFonts w:hint="eastAsia" w:ascii="Times New Roman" w:hAnsi="Times New Roman"/>
        </w:rPr>
        <w:t>，</w:t>
      </w:r>
      <w:r>
        <w:rPr>
          <w:rFonts w:ascii="Times New Roman" w:hAnsi="Times New Roman"/>
        </w:rPr>
        <w:t>年产生危险废物100 吨以上的企业事业单位</w:t>
      </w:r>
      <w:r>
        <w:rPr>
          <w:rFonts w:hint="eastAsia" w:ascii="Times New Roman" w:hAnsi="Times New Roman"/>
        </w:rPr>
        <w:t>纳入</w:t>
      </w:r>
      <w:r>
        <w:rPr>
          <w:rFonts w:ascii="Times New Roman" w:hAnsi="Times New Roman"/>
        </w:rPr>
        <w:t>土壤环境污染重点监管单位名录</w:t>
      </w:r>
      <w:r>
        <w:rPr>
          <w:rFonts w:hint="eastAsia" w:ascii="Times New Roman" w:hAnsi="Times New Roman"/>
        </w:rPr>
        <w:t>。企业危险废物产生量＞100t/a</w:t>
      </w:r>
      <w:r>
        <w:rPr>
          <w:rFonts w:ascii="Times New Roman" w:hAnsi="Times New Roman"/>
        </w:rPr>
        <w:t>，</w:t>
      </w:r>
      <w:r>
        <w:rPr>
          <w:rFonts w:hint="eastAsia" w:ascii="Times New Roman" w:hAnsi="Times New Roman"/>
        </w:rPr>
        <w:t>因此</w:t>
      </w:r>
      <w:r>
        <w:rPr>
          <w:rFonts w:ascii="Times New Roman" w:hAnsi="Times New Roman"/>
        </w:rPr>
        <w:t>属于《工矿用地土壤环境管理办法（试行）》中土壤环境污染重点监管单位。</w:t>
      </w:r>
    </w:p>
    <w:p>
      <w:pPr>
        <w:spacing w:line="264" w:lineRule="auto"/>
        <w:ind w:firstLine="486" w:firstLineChars="200"/>
        <w:rPr>
          <w:rFonts w:eastAsia="宋体"/>
          <w:sz w:val="24"/>
        </w:rPr>
      </w:pPr>
      <w:r>
        <w:rPr>
          <w:rFonts w:hint="eastAsia" w:eastAsia="宋体"/>
          <w:sz w:val="24"/>
        </w:rPr>
        <w:t>由监测</w:t>
      </w:r>
      <w:r>
        <w:rPr>
          <w:rFonts w:eastAsia="宋体"/>
          <w:sz w:val="24"/>
        </w:rPr>
        <w:t>结果可知，项目场地</w:t>
      </w:r>
      <w:r>
        <w:rPr>
          <w:rFonts w:hint="eastAsia" w:eastAsia="宋体"/>
          <w:sz w:val="24"/>
        </w:rPr>
        <w:t>内</w:t>
      </w:r>
      <w:r>
        <w:rPr>
          <w:rFonts w:eastAsia="宋体"/>
          <w:sz w:val="24"/>
        </w:rPr>
        <w:t>土壤各监测指标均能满足《土壤环境质量 建设用地土壤污染风险管控标准(试行)》(GB366600-2018)中第二类用地基本项目</w:t>
      </w:r>
      <w:r>
        <w:rPr>
          <w:rFonts w:hint="eastAsia" w:eastAsia="宋体"/>
          <w:sz w:val="24"/>
        </w:rPr>
        <w:t>及</w:t>
      </w:r>
      <w:r>
        <w:rPr>
          <w:rFonts w:eastAsia="宋体"/>
          <w:sz w:val="24"/>
        </w:rPr>
        <w:t>其他项目二噁英的相关</w:t>
      </w:r>
      <w:r>
        <w:rPr>
          <w:rFonts w:hint="eastAsia" w:eastAsia="宋体"/>
          <w:sz w:val="24"/>
        </w:rPr>
        <w:t>风险</w:t>
      </w:r>
      <w:r>
        <w:rPr>
          <w:rFonts w:eastAsia="宋体"/>
          <w:sz w:val="24"/>
        </w:rPr>
        <w:t>筛选值标准</w:t>
      </w:r>
      <w:r>
        <w:rPr>
          <w:rFonts w:hint="eastAsia" w:eastAsia="宋体"/>
          <w:sz w:val="24"/>
        </w:rPr>
        <w:t>，永兴家园土壤监测值满足《土壤环境质量 建设用地土壤污染风险管控标准（试行）》（G</w:t>
      </w:r>
      <w:r>
        <w:rPr>
          <w:rFonts w:eastAsia="宋体"/>
          <w:sz w:val="24"/>
        </w:rPr>
        <w:t>B36600-2018</w:t>
      </w:r>
      <w:r>
        <w:rPr>
          <w:rFonts w:hint="eastAsia" w:eastAsia="宋体"/>
          <w:sz w:val="24"/>
        </w:rPr>
        <w:t>）中第一类用地的相关风险筛选值标准</w:t>
      </w:r>
      <w:r>
        <w:rPr>
          <w:rFonts w:eastAsia="宋体"/>
          <w:sz w:val="24"/>
        </w:rPr>
        <w:t>。</w:t>
      </w:r>
    </w:p>
    <w:p>
      <w:pPr>
        <w:pStyle w:val="5"/>
        <w:numPr>
          <w:ilvl w:val="2"/>
          <w:numId w:val="25"/>
        </w:numPr>
        <w:spacing w:line="360" w:lineRule="exact"/>
        <w:rPr>
          <w:rFonts w:ascii="Times New Roman"/>
        </w:rPr>
      </w:pPr>
      <w:r>
        <w:rPr>
          <w:rFonts w:hint="eastAsia" w:ascii="Times New Roman"/>
          <w:lang w:eastAsia="zh-CN"/>
        </w:rPr>
        <w:t>河道底泥</w:t>
      </w:r>
      <w:r>
        <w:rPr>
          <w:rFonts w:ascii="Times New Roman"/>
        </w:rPr>
        <w:t>质量现状</w:t>
      </w:r>
    </w:p>
    <w:p>
      <w:pPr>
        <w:pStyle w:val="4"/>
        <w:rPr>
          <w:rFonts w:ascii="Times New Roman" w:hAnsi="Times New Roman" w:cs="Times New Roman"/>
          <w:spacing w:val="0"/>
          <w:lang w:val="zh-CN"/>
        </w:rPr>
      </w:pPr>
      <w:r>
        <w:rPr>
          <w:rFonts w:ascii="Times New Roman" w:hAnsi="Times New Roman" w:cs="Times New Roman"/>
          <w:spacing w:val="0"/>
          <w:lang w:val="zh-CN"/>
        </w:rPr>
        <w:t>根据监测结果，项目</w:t>
      </w:r>
      <w:r>
        <w:rPr>
          <w:rFonts w:hint="eastAsia" w:ascii="Times New Roman" w:hAnsi="Times New Roman" w:cs="Times New Roman"/>
          <w:spacing w:val="0"/>
          <w:lang w:val="zh-CN"/>
        </w:rPr>
        <w:t>所在</w:t>
      </w:r>
      <w:r>
        <w:rPr>
          <w:rFonts w:ascii="Times New Roman" w:hAnsi="Times New Roman" w:cs="Times New Roman"/>
          <w:spacing w:val="0"/>
          <w:lang w:val="zh-CN"/>
        </w:rPr>
        <w:t>地附近河道底泥各项指标含量均相对较低，低于《土壤环境质量 农用地土壤污染风险管控标准（试行）》（GB15618-2018）的筛选值。</w:t>
      </w:r>
    </w:p>
    <w:p>
      <w:pPr>
        <w:pStyle w:val="5"/>
        <w:numPr>
          <w:ilvl w:val="2"/>
          <w:numId w:val="24"/>
        </w:numPr>
        <w:spacing w:line="360" w:lineRule="exact"/>
        <w:rPr>
          <w:rFonts w:ascii="Times New Roman"/>
          <w:lang w:eastAsia="zh-CN"/>
        </w:rPr>
      </w:pPr>
      <w:r>
        <w:rPr>
          <w:rFonts w:hint="eastAsia" w:ascii="Times New Roman"/>
          <w:lang w:eastAsia="zh-CN"/>
        </w:rPr>
        <w:t>生态环境现状调查</w:t>
      </w:r>
    </w:p>
    <w:p>
      <w:pPr>
        <w:pStyle w:val="4"/>
        <w:spacing w:line="480" w:lineRule="exact"/>
        <w:ind w:firstLine="482"/>
        <w:rPr>
          <w:rFonts w:ascii="Times New Roman" w:hAnsi="Times New Roman" w:cs="Times New Roman"/>
          <w:spacing w:val="0"/>
        </w:rPr>
      </w:pPr>
      <w:r>
        <w:rPr>
          <w:rFonts w:hint="eastAsia" w:ascii="Times New Roman" w:hAnsi="Times New Roman" w:cs="Times New Roman"/>
          <w:spacing w:val="0"/>
        </w:rPr>
        <w:t>项目位于湖州市经济技术开发区杨家埠霅水桥路618号，根据《湖州南太湖产业集聚区(生物医药园区、杨家埠及枢纽片区、西南分区、凤凰分区)控制性详细规划环境影响报告书》，经济技术开发区人植被以亚热带北缘混生落叶的常绿阔叶林为主，大致分毛竹及次生杂木林两类。生态上主要为农业栽培植被，少量坡防护植被、水生植被。</w:t>
      </w:r>
    </w:p>
    <w:p>
      <w:pPr>
        <w:pStyle w:val="4"/>
        <w:spacing w:line="480" w:lineRule="exact"/>
        <w:ind w:firstLine="482"/>
        <w:rPr>
          <w:rFonts w:ascii="Times New Roman" w:hAnsi="Times New Roman" w:cs="Times New Roman"/>
          <w:spacing w:val="0"/>
        </w:rPr>
      </w:pPr>
      <w:r>
        <w:rPr>
          <w:rFonts w:hint="eastAsia" w:ascii="Times New Roman" w:hAnsi="Times New Roman" w:cs="Times New Roman"/>
          <w:spacing w:val="0"/>
        </w:rPr>
        <w:t>根据现场踏勘，杨家埠工业区内现有植被类型主要为丘陵-平原次生植被，乡村住宅栽植植被，城镇及道路绿化植被，农田作物等，区域内无珍稀植物。</w:t>
      </w:r>
    </w:p>
    <w:p>
      <w:pPr>
        <w:pStyle w:val="4"/>
        <w:spacing w:line="480" w:lineRule="exact"/>
        <w:ind w:firstLine="482"/>
        <w:rPr>
          <w:rFonts w:ascii="Times New Roman" w:hAnsi="Times New Roman" w:cs="Times New Roman"/>
          <w:spacing w:val="0"/>
        </w:rPr>
      </w:pPr>
      <w:r>
        <w:rPr>
          <w:rFonts w:hint="eastAsia" w:ascii="Times New Roman" w:hAnsi="Times New Roman" w:cs="Times New Roman"/>
          <w:spacing w:val="0"/>
        </w:rPr>
        <w:t>工业园范围内由于人类长期活动的影响，已无大型哺乳动物，陆生野生动物仅有昆虫类、鼠类、蛇类和飞禽类，此外还有家养的牲畜，主要有鸡、鸭、牛、羊、猪、狗、兔等传统家畜。区域内无珍稀野生动物。</w:t>
      </w:r>
    </w:p>
    <w:p>
      <w:pPr>
        <w:pStyle w:val="2"/>
        <w:numPr>
          <w:ilvl w:val="0"/>
          <w:numId w:val="1"/>
        </w:numPr>
      </w:pPr>
      <w:bookmarkStart w:id="178" w:name="_Toc10637164"/>
      <w:r>
        <w:t>环境影响预测与评价</w:t>
      </w:r>
      <w:bookmarkEnd w:id="178"/>
    </w:p>
    <w:p>
      <w:pPr>
        <w:pStyle w:val="3"/>
        <w:numPr>
          <w:ilvl w:val="1"/>
          <w:numId w:val="24"/>
        </w:numPr>
        <w:ind w:left="615"/>
        <w:rPr>
          <w:rFonts w:ascii="Times New Roman" w:hAnsi="Times New Roman"/>
        </w:rPr>
      </w:pPr>
      <w:bookmarkStart w:id="179" w:name="_Toc497729584"/>
      <w:bookmarkStart w:id="180" w:name="_Toc10637165"/>
      <w:bookmarkStart w:id="181" w:name="_Toc511116307"/>
      <w:bookmarkStart w:id="182" w:name="_Toc343240110"/>
      <w:bookmarkStart w:id="183" w:name="_Toc236722014"/>
      <w:bookmarkStart w:id="184" w:name="_Toc236111461"/>
      <w:bookmarkStart w:id="185" w:name="_Toc103327391"/>
      <w:bookmarkStart w:id="186" w:name="_Toc81275870"/>
      <w:bookmarkStart w:id="187" w:name="_Toc497729583"/>
      <w:bookmarkStart w:id="188" w:name="_Toc343240109"/>
      <w:bookmarkStart w:id="189" w:name="_Toc236722013"/>
      <w:bookmarkStart w:id="190" w:name="_Toc236111460"/>
      <w:r>
        <w:rPr>
          <w:rFonts w:ascii="Times New Roman" w:hAnsi="Times New Roman"/>
        </w:rPr>
        <w:t>施工期环境影响分析</w:t>
      </w:r>
      <w:bookmarkEnd w:id="179"/>
      <w:bookmarkEnd w:id="180"/>
      <w:bookmarkEnd w:id="181"/>
      <w:bookmarkEnd w:id="182"/>
      <w:bookmarkEnd w:id="183"/>
      <w:bookmarkEnd w:id="184"/>
      <w:bookmarkEnd w:id="185"/>
      <w:bookmarkEnd w:id="186"/>
    </w:p>
    <w:p>
      <w:pPr>
        <w:adjustRightInd w:val="0"/>
        <w:snapToGrid w:val="0"/>
        <w:spacing w:line="360" w:lineRule="auto"/>
        <w:ind w:firstLine="486" w:firstLineChars="200"/>
        <w:rPr>
          <w:rFonts w:eastAsiaTheme="minorEastAsia"/>
          <w:sz w:val="24"/>
          <w:szCs w:val="28"/>
          <w:lang w:val="zh-CN"/>
        </w:rPr>
      </w:pPr>
      <w:r>
        <w:rPr>
          <w:rFonts w:hint="eastAsia" w:eastAsiaTheme="minorEastAsia"/>
          <w:sz w:val="24"/>
          <w:szCs w:val="28"/>
          <w:lang w:val="zh-CN"/>
        </w:rPr>
        <w:t>项目施工产生</w:t>
      </w:r>
      <w:r>
        <w:rPr>
          <w:rFonts w:eastAsiaTheme="minorEastAsia"/>
          <w:sz w:val="24"/>
          <w:szCs w:val="28"/>
          <w:lang w:val="zh-CN"/>
        </w:rPr>
        <w:t>扬尘</w:t>
      </w:r>
      <w:r>
        <w:rPr>
          <w:rFonts w:hint="eastAsia" w:eastAsiaTheme="minorEastAsia"/>
          <w:sz w:val="24"/>
          <w:szCs w:val="28"/>
          <w:lang w:val="zh-CN"/>
        </w:rPr>
        <w:t>、</w:t>
      </w:r>
      <w:r>
        <w:rPr>
          <w:rFonts w:eastAsiaTheme="minorEastAsia"/>
          <w:sz w:val="24"/>
          <w:szCs w:val="28"/>
          <w:lang w:val="zh-CN"/>
        </w:rPr>
        <w:t>施工噪声、施工废水及施工固废，在采取了相应污染防治措施后对周围环境影响较小。</w:t>
      </w:r>
    </w:p>
    <w:bookmarkEnd w:id="187"/>
    <w:bookmarkEnd w:id="188"/>
    <w:bookmarkEnd w:id="189"/>
    <w:bookmarkEnd w:id="190"/>
    <w:p>
      <w:pPr>
        <w:pStyle w:val="3"/>
        <w:numPr>
          <w:ilvl w:val="1"/>
          <w:numId w:val="24"/>
        </w:numPr>
        <w:ind w:left="615"/>
        <w:rPr>
          <w:rFonts w:ascii="Times New Roman" w:hAnsi="Times New Roman"/>
        </w:rPr>
      </w:pPr>
      <w:bookmarkStart w:id="191" w:name="_Toc469860889"/>
      <w:bookmarkStart w:id="192" w:name="_Toc10637166"/>
      <w:r>
        <w:rPr>
          <w:rFonts w:ascii="Times New Roman" w:hAnsi="Times New Roman"/>
        </w:rPr>
        <w:t>营运期空气环境影响</w:t>
      </w:r>
      <w:bookmarkEnd w:id="191"/>
      <w:r>
        <w:rPr>
          <w:rFonts w:ascii="Times New Roman" w:hAnsi="Times New Roman"/>
          <w:lang w:eastAsia="zh-CN"/>
        </w:rPr>
        <w:t>预测</w:t>
      </w:r>
      <w:bookmarkEnd w:id="192"/>
    </w:p>
    <w:p>
      <w:pPr>
        <w:spacing w:line="480" w:lineRule="exact"/>
        <w:ind w:firstLine="486" w:firstLineChars="200"/>
        <w:rPr>
          <w:rFonts w:eastAsiaTheme="minorEastAsia"/>
          <w:sz w:val="24"/>
          <w:szCs w:val="24"/>
        </w:rPr>
      </w:pPr>
      <w:bookmarkStart w:id="193" w:name="_Toc316511135"/>
      <w:bookmarkStart w:id="194" w:name="_Toc316561701"/>
      <w:bookmarkStart w:id="195" w:name="_Toc367887894"/>
      <w:bookmarkStart w:id="196" w:name="_Toc381697545"/>
      <w:bookmarkStart w:id="197" w:name="_Toc234054851"/>
      <w:bookmarkStart w:id="198" w:name="_Toc268609169"/>
      <w:bookmarkStart w:id="199" w:name="_Toc286313962"/>
      <w:bookmarkStart w:id="200" w:name="_Toc369545769"/>
      <w:bookmarkStart w:id="201" w:name="_Toc469860890"/>
      <w:r>
        <w:rPr>
          <w:rFonts w:eastAsiaTheme="minorEastAsia"/>
          <w:sz w:val="24"/>
          <w:szCs w:val="24"/>
        </w:rPr>
        <w:t>（1）正常工况环境影响</w:t>
      </w:r>
    </w:p>
    <w:p>
      <w:pPr>
        <w:autoSpaceDE w:val="0"/>
        <w:autoSpaceDN w:val="0"/>
        <w:adjustRightInd w:val="0"/>
        <w:spacing w:line="480" w:lineRule="exact"/>
        <w:ind w:firstLine="486" w:firstLineChars="200"/>
        <w:rPr>
          <w:rFonts w:hint="eastAsia" w:eastAsiaTheme="minorEastAsia"/>
          <w:sz w:val="24"/>
          <w:szCs w:val="24"/>
        </w:rPr>
      </w:pPr>
      <w:r>
        <w:rPr>
          <w:rFonts w:hint="eastAsia" w:eastAsiaTheme="minorEastAsia"/>
          <w:sz w:val="24"/>
          <w:szCs w:val="24"/>
        </w:rPr>
        <w:t>本项目所在地区</w:t>
      </w:r>
      <w:r>
        <w:rPr>
          <w:rFonts w:eastAsiaTheme="minorEastAsia"/>
          <w:sz w:val="24"/>
          <w:szCs w:val="24"/>
        </w:rPr>
        <w:t>为不达标区</w:t>
      </w:r>
      <w:r>
        <w:rPr>
          <w:rFonts w:hint="eastAsia" w:eastAsiaTheme="minorEastAsia"/>
          <w:sz w:val="24"/>
          <w:szCs w:val="24"/>
        </w:rPr>
        <w:t>，根据预测</w:t>
      </w:r>
      <w:r>
        <w:rPr>
          <w:rFonts w:eastAsiaTheme="minorEastAsia"/>
          <w:sz w:val="24"/>
          <w:szCs w:val="24"/>
        </w:rPr>
        <w:t>结果得到</w:t>
      </w:r>
      <w:r>
        <w:rPr>
          <w:rFonts w:hint="eastAsia" w:eastAsiaTheme="minorEastAsia"/>
          <w:sz w:val="24"/>
          <w:szCs w:val="24"/>
        </w:rPr>
        <w:t>：</w:t>
      </w:r>
    </w:p>
    <w:p>
      <w:pPr>
        <w:autoSpaceDE w:val="0"/>
        <w:autoSpaceDN w:val="0"/>
        <w:adjustRightInd w:val="0"/>
        <w:spacing w:line="480" w:lineRule="exact"/>
        <w:ind w:firstLine="486" w:firstLineChars="200"/>
        <w:rPr>
          <w:rFonts w:eastAsiaTheme="minorEastAsia"/>
          <w:sz w:val="24"/>
          <w:szCs w:val="24"/>
        </w:rPr>
      </w:pPr>
      <w:r>
        <w:rPr>
          <w:rFonts w:eastAsiaTheme="minorEastAsia"/>
          <w:sz w:val="24"/>
          <w:szCs w:val="24"/>
        </w:rPr>
        <w:t>1</w:t>
      </w:r>
      <w:r>
        <w:rPr>
          <w:rFonts w:hint="eastAsia" w:eastAsiaTheme="minorEastAsia"/>
          <w:sz w:val="24"/>
          <w:szCs w:val="24"/>
        </w:rPr>
        <w:t>、</w:t>
      </w:r>
      <w:r>
        <w:rPr>
          <w:rFonts w:eastAsiaTheme="minorEastAsia"/>
          <w:sz w:val="24"/>
          <w:szCs w:val="24"/>
        </w:rPr>
        <w:t>新增污染源</w:t>
      </w:r>
      <w:r>
        <w:rPr>
          <w:rFonts w:eastAsiaTheme="minorEastAsia"/>
          <w:kern w:val="0"/>
          <w:sz w:val="24"/>
          <w:szCs w:val="24"/>
        </w:rPr>
        <w:t>正常排放条件下，</w:t>
      </w:r>
      <w:r>
        <w:rPr>
          <w:rFonts w:hint="eastAsia" w:eastAsiaTheme="minorEastAsia"/>
          <w:sz w:val="24"/>
          <w:szCs w:val="24"/>
        </w:rPr>
        <w:t>颗粒物</w:t>
      </w:r>
      <w:r>
        <w:rPr>
          <w:rFonts w:eastAsiaTheme="minorEastAsia"/>
          <w:sz w:val="24"/>
          <w:szCs w:val="24"/>
        </w:rPr>
        <w:t>、二氧化硫、</w:t>
      </w:r>
      <w:r>
        <w:rPr>
          <w:rFonts w:hint="eastAsia" w:eastAsiaTheme="minorEastAsia"/>
          <w:sz w:val="24"/>
          <w:szCs w:val="24"/>
        </w:rPr>
        <w:t>N</w:t>
      </w:r>
      <w:r>
        <w:rPr>
          <w:rFonts w:eastAsiaTheme="minorEastAsia"/>
          <w:sz w:val="24"/>
          <w:szCs w:val="24"/>
        </w:rPr>
        <w:t>Ox</w:t>
      </w:r>
      <w:r>
        <w:rPr>
          <w:rFonts w:hint="eastAsia" w:eastAsiaTheme="minorEastAsia"/>
          <w:sz w:val="24"/>
          <w:szCs w:val="24"/>
        </w:rPr>
        <w:t>、PM</w:t>
      </w:r>
      <w:r>
        <w:rPr>
          <w:rFonts w:hint="eastAsia" w:eastAsiaTheme="minorEastAsia"/>
          <w:sz w:val="24"/>
          <w:szCs w:val="24"/>
          <w:vertAlign w:val="subscript"/>
        </w:rPr>
        <w:t>2.5</w:t>
      </w:r>
      <w:r>
        <w:rPr>
          <w:rFonts w:eastAsiaTheme="minorEastAsia"/>
          <w:sz w:val="24"/>
          <w:szCs w:val="24"/>
        </w:rPr>
        <w:t>的短期浓度贡献值（1h平均、</w:t>
      </w:r>
      <w:r>
        <w:rPr>
          <w:rFonts w:eastAsiaTheme="minorEastAsia"/>
          <w:kern w:val="0"/>
          <w:sz w:val="24"/>
          <w:szCs w:val="24"/>
        </w:rPr>
        <w:t>8h平均以及24 h平均</w:t>
      </w:r>
      <w:r>
        <w:rPr>
          <w:rFonts w:eastAsiaTheme="minorEastAsia"/>
          <w:sz w:val="24"/>
          <w:szCs w:val="24"/>
        </w:rPr>
        <w:t>）</w:t>
      </w:r>
      <w:r>
        <w:rPr>
          <w:rFonts w:hint="eastAsia" w:eastAsiaTheme="minorEastAsia"/>
          <w:sz w:val="24"/>
          <w:szCs w:val="24"/>
        </w:rPr>
        <w:t>最大</w:t>
      </w:r>
      <w:r>
        <w:rPr>
          <w:rFonts w:eastAsiaTheme="minorEastAsia"/>
          <w:sz w:val="24"/>
          <w:szCs w:val="24"/>
        </w:rPr>
        <w:t>浓度占标率均小于100%</w:t>
      </w:r>
      <w:r>
        <w:rPr>
          <w:rFonts w:hint="eastAsia" w:eastAsiaTheme="minorEastAsia"/>
          <w:sz w:val="24"/>
          <w:szCs w:val="24"/>
        </w:rPr>
        <w:t>；</w:t>
      </w:r>
    </w:p>
    <w:p>
      <w:pPr>
        <w:autoSpaceDE w:val="0"/>
        <w:autoSpaceDN w:val="0"/>
        <w:adjustRightInd w:val="0"/>
        <w:spacing w:line="480" w:lineRule="exact"/>
        <w:ind w:firstLine="486"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eastAsiaTheme="minorEastAsia"/>
          <w:sz w:val="24"/>
          <w:szCs w:val="24"/>
        </w:rPr>
        <w:t>新增污染源</w:t>
      </w:r>
      <w:r>
        <w:rPr>
          <w:rFonts w:eastAsiaTheme="minorEastAsia"/>
          <w:kern w:val="0"/>
          <w:sz w:val="24"/>
          <w:szCs w:val="24"/>
        </w:rPr>
        <w:t>正常排放条件下，</w:t>
      </w:r>
      <w:r>
        <w:rPr>
          <w:rFonts w:hint="eastAsia" w:eastAsiaTheme="minorEastAsia"/>
          <w:sz w:val="24"/>
          <w:szCs w:val="24"/>
        </w:rPr>
        <w:t>颗粒物</w:t>
      </w:r>
      <w:r>
        <w:rPr>
          <w:rFonts w:eastAsiaTheme="minorEastAsia"/>
          <w:sz w:val="24"/>
          <w:szCs w:val="24"/>
        </w:rPr>
        <w:t>、二氧化硫、</w:t>
      </w:r>
      <w:r>
        <w:rPr>
          <w:rFonts w:hint="eastAsia" w:eastAsiaTheme="minorEastAsia"/>
          <w:sz w:val="24"/>
          <w:szCs w:val="24"/>
        </w:rPr>
        <w:t>N</w:t>
      </w:r>
      <w:r>
        <w:rPr>
          <w:rFonts w:eastAsiaTheme="minorEastAsia"/>
          <w:sz w:val="24"/>
          <w:szCs w:val="24"/>
        </w:rPr>
        <w:t>Ox</w:t>
      </w:r>
      <w:r>
        <w:rPr>
          <w:rFonts w:hint="eastAsia" w:eastAsiaTheme="minorEastAsia"/>
          <w:sz w:val="24"/>
          <w:szCs w:val="24"/>
        </w:rPr>
        <w:t>、PM</w:t>
      </w:r>
      <w:r>
        <w:rPr>
          <w:rFonts w:hint="eastAsia" w:eastAsiaTheme="minorEastAsia"/>
          <w:sz w:val="24"/>
          <w:szCs w:val="24"/>
          <w:vertAlign w:val="subscript"/>
        </w:rPr>
        <w:t>2.5</w:t>
      </w:r>
      <w:r>
        <w:rPr>
          <w:rFonts w:eastAsiaTheme="minorEastAsia"/>
          <w:sz w:val="24"/>
          <w:szCs w:val="24"/>
        </w:rPr>
        <w:t>年均浓度贡献值</w:t>
      </w:r>
      <w:r>
        <w:rPr>
          <w:rFonts w:hint="eastAsia" w:eastAsiaTheme="minorEastAsia"/>
          <w:sz w:val="24"/>
          <w:szCs w:val="24"/>
        </w:rPr>
        <w:t>的</w:t>
      </w:r>
      <w:r>
        <w:rPr>
          <w:rFonts w:eastAsiaTheme="minorEastAsia"/>
          <w:sz w:val="24"/>
          <w:szCs w:val="24"/>
        </w:rPr>
        <w:t>最大浓度占标率分别小于30%。</w:t>
      </w:r>
    </w:p>
    <w:p>
      <w:pPr>
        <w:autoSpaceDE w:val="0"/>
        <w:autoSpaceDN w:val="0"/>
        <w:adjustRightInd w:val="0"/>
        <w:spacing w:line="480" w:lineRule="exact"/>
        <w:ind w:firstLine="486" w:firstLineChars="200"/>
        <w:rPr>
          <w:rFonts w:eastAsiaTheme="minorEastAsia"/>
          <w:sz w:val="24"/>
          <w:szCs w:val="24"/>
        </w:rPr>
      </w:pPr>
      <w:r>
        <w:rPr>
          <w:rFonts w:hint="eastAsia" w:eastAsiaTheme="minorEastAsia"/>
          <w:sz w:val="24"/>
          <w:szCs w:val="24"/>
        </w:rPr>
        <w:t>3、</w:t>
      </w:r>
      <w:r>
        <w:rPr>
          <w:rFonts w:eastAsiaTheme="minorEastAsia"/>
          <w:sz w:val="24"/>
          <w:szCs w:val="24"/>
        </w:rPr>
        <w:t>对于现状达标污染物</w:t>
      </w:r>
      <w:r>
        <w:rPr>
          <w:rFonts w:hint="eastAsia" w:eastAsiaTheme="minorEastAsia"/>
          <w:sz w:val="24"/>
          <w:szCs w:val="24"/>
        </w:rPr>
        <w:t>颗粒物</w:t>
      </w:r>
      <w:r>
        <w:rPr>
          <w:rFonts w:eastAsiaTheme="minorEastAsia"/>
          <w:sz w:val="24"/>
          <w:szCs w:val="24"/>
        </w:rPr>
        <w:t>、二氧化硫，叠加现状浓度后，</w:t>
      </w:r>
      <w:r>
        <w:rPr>
          <w:rFonts w:hint="eastAsia" w:eastAsiaTheme="minorEastAsia"/>
          <w:sz w:val="24"/>
          <w:szCs w:val="24"/>
        </w:rPr>
        <w:t>敏感点及网格点的保证率下</w:t>
      </w:r>
      <w:r>
        <w:rPr>
          <w:rFonts w:eastAsiaTheme="minorEastAsia"/>
          <w:sz w:val="24"/>
          <w:szCs w:val="24"/>
        </w:rPr>
        <w:t>日平均浓度和年平均浓度均符合环境质量标准</w:t>
      </w:r>
      <w:r>
        <w:rPr>
          <w:rFonts w:hint="eastAsia" w:eastAsiaTheme="minorEastAsia"/>
          <w:sz w:val="24"/>
          <w:szCs w:val="24"/>
        </w:rPr>
        <w:t>；对于</w:t>
      </w:r>
      <w:r>
        <w:rPr>
          <w:rFonts w:eastAsiaTheme="minorEastAsia"/>
          <w:sz w:val="24"/>
          <w:szCs w:val="24"/>
        </w:rPr>
        <w:t>现状不达标的污染物</w:t>
      </w:r>
      <w:r>
        <w:rPr>
          <w:rFonts w:hint="eastAsia" w:eastAsiaTheme="minorEastAsia"/>
          <w:sz w:val="24"/>
          <w:szCs w:val="24"/>
        </w:rPr>
        <w:t>NO</w:t>
      </w:r>
      <w:r>
        <w:rPr>
          <w:rFonts w:eastAsiaTheme="minorEastAsia"/>
          <w:sz w:val="24"/>
          <w:szCs w:val="24"/>
        </w:rPr>
        <w:t>x</w:t>
      </w:r>
      <w:r>
        <w:rPr>
          <w:rFonts w:hint="eastAsia" w:eastAsiaTheme="minorEastAsia"/>
          <w:sz w:val="24"/>
          <w:szCs w:val="24"/>
        </w:rPr>
        <w:t>、PM</w:t>
      </w:r>
      <w:r>
        <w:rPr>
          <w:rFonts w:hint="eastAsia" w:eastAsiaTheme="minorEastAsia"/>
          <w:sz w:val="24"/>
          <w:szCs w:val="24"/>
          <w:vertAlign w:val="subscript"/>
        </w:rPr>
        <w:t>2.5</w:t>
      </w:r>
      <w:r>
        <w:rPr>
          <w:rFonts w:eastAsiaTheme="minorEastAsia"/>
          <w:sz w:val="24"/>
          <w:szCs w:val="24"/>
        </w:rPr>
        <w:t>，预测</w:t>
      </w:r>
      <w:r>
        <w:rPr>
          <w:rFonts w:hint="eastAsia" w:eastAsiaTheme="minorEastAsia"/>
          <w:sz w:val="24"/>
          <w:szCs w:val="24"/>
        </w:rPr>
        <w:t>范围</w:t>
      </w:r>
      <w:r>
        <w:rPr>
          <w:rFonts w:eastAsiaTheme="minorEastAsia"/>
          <w:sz w:val="24"/>
          <w:szCs w:val="24"/>
        </w:rPr>
        <w:t>内</w:t>
      </w:r>
      <w:r>
        <w:rPr>
          <w:rFonts w:hint="eastAsia" w:eastAsiaTheme="minorEastAsia"/>
          <w:sz w:val="24"/>
          <w:szCs w:val="24"/>
        </w:rPr>
        <w:t>年平均质量</w:t>
      </w:r>
      <w:r>
        <w:rPr>
          <w:rFonts w:eastAsiaTheme="minorEastAsia"/>
          <w:sz w:val="24"/>
          <w:szCs w:val="24"/>
        </w:rPr>
        <w:t>浓度变化率k≤-20%。</w:t>
      </w:r>
    </w:p>
    <w:p>
      <w:pPr>
        <w:spacing w:line="480" w:lineRule="exact"/>
        <w:ind w:firstLine="486" w:firstLineChars="200"/>
        <w:rPr>
          <w:rFonts w:eastAsiaTheme="minorEastAsia"/>
          <w:sz w:val="24"/>
          <w:szCs w:val="24"/>
        </w:rPr>
      </w:pPr>
      <w:r>
        <w:rPr>
          <w:rFonts w:eastAsiaTheme="minorEastAsia"/>
          <w:sz w:val="24"/>
          <w:szCs w:val="24"/>
        </w:rPr>
        <w:t>（2） 非正常工况环境影响</w:t>
      </w:r>
    </w:p>
    <w:p>
      <w:pPr>
        <w:spacing w:line="480" w:lineRule="exact"/>
        <w:ind w:firstLine="486" w:firstLineChars="200"/>
        <w:rPr>
          <w:rFonts w:eastAsiaTheme="minorEastAsia"/>
          <w:sz w:val="24"/>
          <w:szCs w:val="24"/>
        </w:rPr>
      </w:pPr>
      <w:r>
        <w:rPr>
          <w:rFonts w:hint="eastAsia" w:eastAsiaTheme="minorEastAsia"/>
          <w:sz w:val="24"/>
          <w:szCs w:val="24"/>
        </w:rPr>
        <w:t>由表6-3</w:t>
      </w:r>
      <w:r>
        <w:rPr>
          <w:rFonts w:eastAsiaTheme="minorEastAsia"/>
          <w:sz w:val="24"/>
          <w:szCs w:val="24"/>
        </w:rPr>
        <w:t>0</w:t>
      </w:r>
      <w:r>
        <w:rPr>
          <w:rFonts w:hint="eastAsia" w:eastAsiaTheme="minorEastAsia"/>
          <w:sz w:val="24"/>
          <w:szCs w:val="24"/>
        </w:rPr>
        <w:t>可知，在非常工况下颗粒物在各敏感点</w:t>
      </w:r>
      <w:r>
        <w:rPr>
          <w:rFonts w:eastAsiaTheme="minorEastAsia"/>
          <w:sz w:val="24"/>
          <w:szCs w:val="24"/>
        </w:rPr>
        <w:t>及网格点预测结果</w:t>
      </w:r>
      <w:r>
        <w:rPr>
          <w:rFonts w:hint="eastAsia" w:eastAsiaTheme="minorEastAsia"/>
          <w:sz w:val="24"/>
          <w:szCs w:val="24"/>
        </w:rPr>
        <w:t>仍能达到</w:t>
      </w:r>
      <w:r>
        <w:rPr>
          <w:rFonts w:eastAsiaTheme="minorEastAsia"/>
          <w:sz w:val="24"/>
          <w:szCs w:val="24"/>
        </w:rPr>
        <w:t>标准要求，</w:t>
      </w:r>
      <w:r>
        <w:rPr>
          <w:rFonts w:hint="eastAsia" w:eastAsiaTheme="minorEastAsia"/>
          <w:sz w:val="24"/>
          <w:szCs w:val="24"/>
        </w:rPr>
        <w:t>但其</w:t>
      </w:r>
      <w:r>
        <w:rPr>
          <w:rFonts w:eastAsiaTheme="minorEastAsia"/>
          <w:sz w:val="24"/>
          <w:szCs w:val="24"/>
        </w:rPr>
        <w:t>排放浓度已超过超低排放标准</w:t>
      </w:r>
      <w:r>
        <w:rPr>
          <w:rFonts w:hint="eastAsia" w:eastAsiaTheme="minorEastAsia"/>
          <w:sz w:val="24"/>
          <w:szCs w:val="24"/>
        </w:rPr>
        <w:t>。</w:t>
      </w:r>
      <w:r>
        <w:rPr>
          <w:rFonts w:eastAsiaTheme="minorEastAsia"/>
          <w:sz w:val="24"/>
          <w:szCs w:val="24"/>
        </w:rPr>
        <w:t>因此环评要求企业做好</w:t>
      </w:r>
      <w:r>
        <w:rPr>
          <w:rFonts w:hint="eastAsia" w:eastAsiaTheme="minorEastAsia"/>
          <w:sz w:val="24"/>
          <w:szCs w:val="24"/>
        </w:rPr>
        <w:t>布袋除尘器</w:t>
      </w:r>
      <w:r>
        <w:rPr>
          <w:rFonts w:eastAsiaTheme="minorEastAsia"/>
          <w:sz w:val="24"/>
          <w:szCs w:val="24"/>
        </w:rPr>
        <w:t>的维护工作，一旦发现失效，应立即停止生产，杜绝超标排放。</w:t>
      </w:r>
    </w:p>
    <w:p>
      <w:pPr>
        <w:spacing w:line="480" w:lineRule="exact"/>
        <w:ind w:firstLine="486" w:firstLineChars="200"/>
        <w:rPr>
          <w:rFonts w:eastAsiaTheme="minorEastAsia"/>
          <w:sz w:val="24"/>
          <w:szCs w:val="24"/>
        </w:rPr>
      </w:pPr>
      <w:r>
        <w:rPr>
          <w:rFonts w:eastAsiaTheme="minorEastAsia"/>
          <w:sz w:val="24"/>
          <w:szCs w:val="24"/>
        </w:rPr>
        <w:t>（3）大气环境防护距离</w:t>
      </w:r>
    </w:p>
    <w:p>
      <w:pPr>
        <w:spacing w:line="480" w:lineRule="exact"/>
        <w:ind w:firstLine="486" w:firstLineChars="200"/>
        <w:rPr>
          <w:rFonts w:eastAsiaTheme="minorEastAsia"/>
          <w:sz w:val="24"/>
          <w:szCs w:val="24"/>
        </w:rPr>
      </w:pPr>
      <w:r>
        <w:rPr>
          <w:rFonts w:eastAsiaTheme="minorEastAsia"/>
          <w:sz w:val="24"/>
          <w:szCs w:val="24"/>
        </w:rPr>
        <w:t>正常工况下，本项目各类污染物厂界处短期浓度贡献值均小于其对应的环境质量标准，因此不需要设置大气环境防护距离。</w:t>
      </w:r>
    </w:p>
    <w:p>
      <w:pPr>
        <w:spacing w:line="480" w:lineRule="exact"/>
        <w:ind w:firstLine="486" w:firstLineChars="200"/>
        <w:rPr>
          <w:rFonts w:eastAsiaTheme="minorEastAsia"/>
          <w:sz w:val="24"/>
          <w:szCs w:val="24"/>
        </w:rPr>
      </w:pPr>
      <w:r>
        <w:rPr>
          <w:rFonts w:eastAsiaTheme="minorEastAsia"/>
          <w:sz w:val="24"/>
          <w:szCs w:val="24"/>
        </w:rPr>
        <w:t>综上，本项目环境影响可以接受。</w:t>
      </w:r>
    </w:p>
    <w:p>
      <w:pPr>
        <w:pStyle w:val="3"/>
        <w:numPr>
          <w:ilvl w:val="1"/>
          <w:numId w:val="24"/>
        </w:numPr>
        <w:rPr>
          <w:rFonts w:ascii="Times New Roman" w:hAnsi="Times New Roman"/>
        </w:rPr>
      </w:pPr>
      <w:bookmarkStart w:id="202" w:name="_Toc10637167"/>
      <w:r>
        <w:rPr>
          <w:rFonts w:ascii="Times New Roman" w:hAnsi="Times New Roman"/>
        </w:rPr>
        <w:t>营运期地面水环境影响分析</w:t>
      </w:r>
      <w:bookmarkEnd w:id="193"/>
      <w:bookmarkEnd w:id="194"/>
      <w:bookmarkEnd w:id="195"/>
      <w:bookmarkEnd w:id="196"/>
      <w:bookmarkEnd w:id="202"/>
    </w:p>
    <w:p>
      <w:pPr>
        <w:pStyle w:val="835"/>
        <w:ind w:firstLine="486"/>
        <w:rPr>
          <w:rFonts w:ascii="Times New Roman" w:hAnsi="Times New Roman"/>
        </w:rPr>
      </w:pPr>
      <w:bookmarkStart w:id="203" w:name="_Toc247339146"/>
      <w:bookmarkStart w:id="204" w:name="_Toc247448525"/>
      <w:r>
        <w:rPr>
          <w:rFonts w:ascii="Times New Roman" w:hAnsi="Times New Roman"/>
        </w:rPr>
        <w:t>根据《环境影响评价技术导则 地表水环境》（HJ2.3—2018）表1水污染影响</w:t>
      </w:r>
      <w:r>
        <w:rPr>
          <w:rFonts w:hint="eastAsia" w:ascii="Times New Roman" w:hAnsi="Times New Roman"/>
        </w:rPr>
        <w:t>型</w:t>
      </w:r>
      <w:r>
        <w:rPr>
          <w:rFonts w:ascii="Times New Roman" w:hAnsi="Times New Roman"/>
        </w:rPr>
        <w:t>建设项目评价等级判定</w:t>
      </w:r>
      <w:r>
        <w:rPr>
          <w:rFonts w:hint="eastAsia" w:ascii="Times New Roman" w:hAnsi="Times New Roman"/>
        </w:rPr>
        <w:t>中的</w:t>
      </w:r>
      <w:r>
        <w:rPr>
          <w:rFonts w:ascii="Times New Roman" w:hAnsi="Times New Roman"/>
        </w:rPr>
        <w:t>注10：建设项目生产工艺中有废水产生，但作为回水利用，不排放到外环境的，按三级B评价。项目不新增员工，无</w:t>
      </w:r>
      <w:r>
        <w:rPr>
          <w:rFonts w:hint="eastAsia" w:ascii="Times New Roman" w:hAnsi="Times New Roman"/>
        </w:rPr>
        <w:t>新增</w:t>
      </w:r>
      <w:r>
        <w:rPr>
          <w:rFonts w:ascii="Times New Roman" w:hAnsi="Times New Roman"/>
        </w:rPr>
        <w:t>生活</w:t>
      </w:r>
      <w:r>
        <w:rPr>
          <w:rFonts w:hint="eastAsia" w:ascii="Times New Roman" w:hAnsi="Times New Roman"/>
        </w:rPr>
        <w:t>污水产生；</w:t>
      </w:r>
      <w:r>
        <w:rPr>
          <w:rFonts w:ascii="Times New Roman" w:hAnsi="Times New Roman"/>
        </w:rPr>
        <w:t>项目用水主要为冷却水，</w:t>
      </w:r>
      <w:r>
        <w:rPr>
          <w:rFonts w:hint="eastAsia" w:ascii="Times New Roman" w:hAnsi="Times New Roman"/>
        </w:rPr>
        <w:t>根据工程分析，本项目净环水排水作为浊环水系统的</w:t>
      </w:r>
      <w:r>
        <w:rPr>
          <w:rFonts w:ascii="Times New Roman" w:hAnsi="Times New Roman"/>
        </w:rPr>
        <w:t>补充水</w:t>
      </w:r>
      <w:r>
        <w:rPr>
          <w:rFonts w:hint="eastAsia" w:ascii="Times New Roman" w:hAnsi="Times New Roman"/>
        </w:rPr>
        <w:t>，浊环水经去氧化铁皮+除油+沉淀+过滤+冷却后循环使用不排放，</w:t>
      </w:r>
      <w:r>
        <w:rPr>
          <w:rFonts w:ascii="Times New Roman" w:hAnsi="Times New Roman"/>
        </w:rPr>
        <w:t>因此判定地表水评价等级为三级B，可不进行水环境影响预测</w:t>
      </w:r>
      <w:r>
        <w:rPr>
          <w:rFonts w:hint="eastAsia" w:ascii="Times New Roman" w:hAnsi="Times New Roman"/>
        </w:rPr>
        <w:t>。</w:t>
      </w:r>
    </w:p>
    <w:bookmarkEnd w:id="203"/>
    <w:bookmarkEnd w:id="204"/>
    <w:p>
      <w:pPr>
        <w:pStyle w:val="3"/>
        <w:numPr>
          <w:ilvl w:val="1"/>
          <w:numId w:val="24"/>
        </w:numPr>
        <w:rPr>
          <w:rFonts w:ascii="Times New Roman" w:hAnsi="Times New Roman"/>
        </w:rPr>
      </w:pPr>
      <w:bookmarkStart w:id="205" w:name="_Toc316511136"/>
      <w:bookmarkStart w:id="206" w:name="_Toc316561702"/>
      <w:bookmarkStart w:id="207" w:name="_Toc367887895"/>
      <w:bookmarkStart w:id="208" w:name="_Toc381697546"/>
      <w:bookmarkStart w:id="209" w:name="_Toc10637168"/>
      <w:r>
        <w:rPr>
          <w:rFonts w:ascii="Times New Roman" w:hAnsi="Times New Roman"/>
        </w:rPr>
        <w:t>营运期地下水环境影响分析</w:t>
      </w:r>
      <w:bookmarkEnd w:id="205"/>
      <w:bookmarkEnd w:id="206"/>
      <w:bookmarkEnd w:id="207"/>
      <w:bookmarkEnd w:id="208"/>
      <w:bookmarkEnd w:id="209"/>
    </w:p>
    <w:p>
      <w:pPr>
        <w:spacing w:line="480" w:lineRule="exact"/>
        <w:ind w:firstLine="482"/>
        <w:rPr>
          <w:rFonts w:eastAsia="宋体"/>
          <w:sz w:val="24"/>
          <w:szCs w:val="24"/>
        </w:rPr>
      </w:pPr>
      <w:r>
        <w:rPr>
          <w:rFonts w:eastAsia="宋体"/>
          <w:sz w:val="24"/>
          <w:szCs w:val="24"/>
        </w:rPr>
        <w:t>本项目所在区域地下水不敏感，在严格落实本报告提出的防渗措施后，正常情况下，不会发生渗滤液泄漏。在非正常工况下，防渗层出现破损，</w:t>
      </w:r>
      <w:r>
        <w:rPr>
          <w:rFonts w:hint="eastAsia" w:eastAsia="宋体"/>
          <w:sz w:val="24"/>
          <w:szCs w:val="24"/>
        </w:rPr>
        <w:t>浊环水处理池</w:t>
      </w:r>
      <w:r>
        <w:rPr>
          <w:rFonts w:eastAsia="宋体"/>
          <w:sz w:val="24"/>
          <w:szCs w:val="24"/>
        </w:rPr>
        <w:t>发生泄漏事故，预测因子的最远达标距离内无地下水敏感目标。</w:t>
      </w:r>
    </w:p>
    <w:p>
      <w:pPr>
        <w:spacing w:line="480" w:lineRule="exact"/>
        <w:ind w:firstLine="482"/>
        <w:rPr>
          <w:rFonts w:eastAsia="宋体"/>
          <w:sz w:val="24"/>
          <w:szCs w:val="24"/>
        </w:rPr>
      </w:pPr>
      <w:r>
        <w:rPr>
          <w:rFonts w:eastAsia="宋体"/>
          <w:sz w:val="24"/>
          <w:szCs w:val="24"/>
        </w:rPr>
        <w:t>本项目选址</w:t>
      </w:r>
      <w:r>
        <w:rPr>
          <w:rFonts w:hint="eastAsia" w:eastAsia="宋体"/>
          <w:sz w:val="24"/>
          <w:szCs w:val="24"/>
        </w:rPr>
        <w:t>位于湖州市经济技术开发区杨家埠霅水桥路618号</w:t>
      </w:r>
      <w:r>
        <w:rPr>
          <w:rFonts w:eastAsia="宋体"/>
          <w:sz w:val="24"/>
          <w:szCs w:val="24"/>
        </w:rPr>
        <w:t>，不开采地下水，项目</w:t>
      </w:r>
      <w:r>
        <w:rPr>
          <w:rFonts w:hint="eastAsia" w:eastAsia="宋体"/>
          <w:sz w:val="24"/>
          <w:szCs w:val="24"/>
        </w:rPr>
        <w:t>无废水排放</w:t>
      </w:r>
      <w:r>
        <w:rPr>
          <w:rFonts w:eastAsia="宋体"/>
          <w:sz w:val="24"/>
          <w:szCs w:val="24"/>
        </w:rPr>
        <w:t>。在对项目建立完善的地下水监测系统，强化地下水应急防范措施的基础上，项目建设对地下水环境的影响在可接受范围内。</w:t>
      </w:r>
    </w:p>
    <w:bookmarkEnd w:id="197"/>
    <w:bookmarkEnd w:id="198"/>
    <w:bookmarkEnd w:id="199"/>
    <w:bookmarkEnd w:id="200"/>
    <w:bookmarkEnd w:id="201"/>
    <w:p>
      <w:pPr>
        <w:pStyle w:val="3"/>
        <w:numPr>
          <w:ilvl w:val="1"/>
          <w:numId w:val="24"/>
        </w:numPr>
        <w:rPr>
          <w:rFonts w:ascii="Times New Roman" w:hAnsi="Times New Roman"/>
        </w:rPr>
      </w:pPr>
      <w:bookmarkStart w:id="210" w:name="_Toc10637169"/>
      <w:bookmarkStart w:id="211" w:name="_Toc469860892"/>
      <w:r>
        <w:rPr>
          <w:rFonts w:ascii="Times New Roman" w:hAnsi="Times New Roman"/>
        </w:rPr>
        <w:t>营运期声环境影响预测分析</w:t>
      </w:r>
      <w:bookmarkEnd w:id="210"/>
      <w:bookmarkEnd w:id="211"/>
    </w:p>
    <w:p>
      <w:pPr>
        <w:pStyle w:val="4"/>
        <w:ind w:firstLine="520"/>
        <w:rPr>
          <w:rFonts w:ascii="Times New Roman" w:hAnsi="Times New Roman" w:cs="Times New Roman"/>
          <w:spacing w:val="0"/>
        </w:rPr>
      </w:pPr>
      <w:r>
        <w:rPr>
          <w:rFonts w:ascii="Times New Roman" w:hAnsi="Times New Roman" w:cs="Times New Roman"/>
          <w:spacing w:val="0"/>
        </w:rPr>
        <w:t>根据预测结果可知，项目实施后</w:t>
      </w:r>
      <w:r>
        <w:rPr>
          <w:rFonts w:hint="eastAsia" w:ascii="Times New Roman" w:hAnsi="Times New Roman" w:cs="Times New Roman"/>
          <w:spacing w:val="0"/>
        </w:rPr>
        <w:t>厂</w:t>
      </w:r>
      <w:r>
        <w:rPr>
          <w:rFonts w:ascii="Times New Roman" w:hAnsi="Times New Roman" w:cs="Times New Roman"/>
          <w:spacing w:val="0"/>
        </w:rPr>
        <w:t>界四周昼</w:t>
      </w:r>
      <w:r>
        <w:rPr>
          <w:rFonts w:hint="eastAsia" w:ascii="Times New Roman" w:hAnsi="Times New Roman" w:cs="Times New Roman"/>
          <w:spacing w:val="0"/>
        </w:rPr>
        <w:t>间</w:t>
      </w:r>
      <w:r>
        <w:rPr>
          <w:rFonts w:ascii="Times New Roman" w:hAnsi="Times New Roman" w:cs="Times New Roman"/>
          <w:spacing w:val="0"/>
        </w:rPr>
        <w:t>噪声贡献值均符合《工业企业厂界环境噪声排放标准》(GB12348-2008)中3</w:t>
      </w:r>
      <w:r>
        <w:rPr>
          <w:rFonts w:hint="eastAsia" w:ascii="Times New Roman" w:hAnsi="Times New Roman" w:cs="Times New Roman"/>
          <w:spacing w:val="0"/>
        </w:rPr>
        <w:t>、</w:t>
      </w:r>
      <w:r>
        <w:rPr>
          <w:rFonts w:ascii="Times New Roman" w:hAnsi="Times New Roman" w:cs="Times New Roman"/>
          <w:spacing w:val="0"/>
        </w:rPr>
        <w:t>4类标准，即项目产生的噪声对周围环境的影响较小。</w:t>
      </w:r>
    </w:p>
    <w:p>
      <w:pPr>
        <w:pStyle w:val="3"/>
        <w:numPr>
          <w:ilvl w:val="1"/>
          <w:numId w:val="24"/>
        </w:numPr>
        <w:rPr>
          <w:rFonts w:ascii="Times New Roman" w:hAnsi="Times New Roman"/>
        </w:rPr>
      </w:pPr>
      <w:bookmarkStart w:id="212" w:name="_Toc268609174"/>
      <w:bookmarkStart w:id="213" w:name="_Toc227656588"/>
      <w:bookmarkStart w:id="214" w:name="_Toc221962972"/>
      <w:bookmarkStart w:id="215" w:name="_Toc152065666"/>
      <w:bookmarkStart w:id="216" w:name="_Toc128470768"/>
      <w:bookmarkStart w:id="217" w:name="_Toc286313967"/>
      <w:bookmarkStart w:id="218" w:name="_Toc369545772"/>
      <w:bookmarkStart w:id="219" w:name="_Toc469860893"/>
      <w:bookmarkStart w:id="220" w:name="_Toc10637170"/>
      <w:r>
        <w:rPr>
          <w:rFonts w:ascii="Times New Roman" w:hAnsi="Times New Roman"/>
        </w:rPr>
        <w:t>营运期固体废物环境影响分析</w:t>
      </w:r>
      <w:bookmarkEnd w:id="212"/>
      <w:bookmarkEnd w:id="213"/>
      <w:bookmarkEnd w:id="214"/>
      <w:bookmarkEnd w:id="215"/>
      <w:bookmarkEnd w:id="216"/>
      <w:bookmarkEnd w:id="217"/>
      <w:bookmarkEnd w:id="218"/>
      <w:bookmarkEnd w:id="219"/>
      <w:bookmarkEnd w:id="220"/>
    </w:p>
    <w:p>
      <w:pPr>
        <w:pStyle w:val="5"/>
        <w:numPr>
          <w:ilvl w:val="2"/>
          <w:numId w:val="24"/>
        </w:numPr>
        <w:tabs>
          <w:tab w:val="clear" w:pos="1080"/>
        </w:tabs>
        <w:spacing w:line="360" w:lineRule="exact"/>
        <w:rPr>
          <w:rFonts w:ascii="Times New Roman"/>
        </w:rPr>
      </w:pPr>
      <w:r>
        <w:rPr>
          <w:rFonts w:ascii="Times New Roman"/>
        </w:rPr>
        <w:t>固体废物的来源、种类及产生量</w:t>
      </w:r>
    </w:p>
    <w:p>
      <w:pPr>
        <w:pStyle w:val="4"/>
        <w:ind w:firstLine="520"/>
        <w:rPr>
          <w:rFonts w:ascii="Times New Roman" w:hAnsi="Times New Roman" w:cs="Times New Roman"/>
          <w:spacing w:val="0"/>
        </w:rPr>
      </w:pPr>
      <w:r>
        <w:rPr>
          <w:rFonts w:hint="eastAsia" w:ascii="Times New Roman" w:hAnsi="Times New Roman" w:cs="Times New Roman"/>
          <w:spacing w:val="0"/>
        </w:rPr>
        <w:t>项目固废</w:t>
      </w:r>
      <w:r>
        <w:rPr>
          <w:rFonts w:ascii="Times New Roman" w:hAnsi="Times New Roman" w:cs="Times New Roman"/>
          <w:spacing w:val="0"/>
        </w:rPr>
        <w:t>主要为</w:t>
      </w:r>
      <w:r>
        <w:rPr>
          <w:rFonts w:hint="eastAsia" w:ascii="Times New Roman" w:hAnsi="Times New Roman" w:cs="Times New Roman"/>
          <w:spacing w:val="0"/>
        </w:rPr>
        <w:t>氧化铁皮、除尘灰</w:t>
      </w:r>
      <w:r>
        <w:rPr>
          <w:rFonts w:ascii="Times New Roman" w:hAnsi="Times New Roman" w:cs="Times New Roman"/>
          <w:spacing w:val="0"/>
        </w:rPr>
        <w:t>、</w:t>
      </w:r>
      <w:r>
        <w:rPr>
          <w:rFonts w:hint="eastAsia" w:ascii="Times New Roman" w:hAnsi="Times New Roman" w:cs="Times New Roman"/>
          <w:spacing w:val="0"/>
        </w:rPr>
        <w:t>废润滑油、</w:t>
      </w:r>
      <w:r>
        <w:rPr>
          <w:rFonts w:ascii="Times New Roman" w:hAnsi="Times New Roman" w:cs="Times New Roman"/>
          <w:spacing w:val="0"/>
        </w:rPr>
        <w:t>废耐火材料、危险化学品使用过程中产生的废包装桶</w:t>
      </w:r>
      <w:r>
        <w:rPr>
          <w:rFonts w:hint="eastAsia" w:ascii="Times New Roman" w:hAnsi="Times New Roman" w:cs="Times New Roman"/>
          <w:spacing w:val="0"/>
        </w:rPr>
        <w:t>/袋</w:t>
      </w:r>
      <w:r>
        <w:rPr>
          <w:rFonts w:ascii="Times New Roman" w:hAnsi="Times New Roman" w:cs="Times New Roman"/>
          <w:spacing w:val="0"/>
        </w:rPr>
        <w:t>、废分子筛等。</w:t>
      </w:r>
      <w:r>
        <w:rPr>
          <w:rFonts w:ascii="Times New Roman" w:hAnsi="Times New Roman" w:cs="Times New Roman"/>
          <w:kern w:val="0"/>
        </w:rPr>
        <w:t>根据《中华人民共和国固体废物污染环境防治法》、《国家危险废物名录（2016）》、</w:t>
      </w:r>
      <w:r>
        <w:rPr>
          <w:rFonts w:ascii="Times New Roman" w:hAnsi="Times New Roman" w:cs="Times New Roman"/>
        </w:rPr>
        <w:t>《固体废物鉴别标准通则》（GB34330-2017）</w:t>
      </w:r>
      <w:r>
        <w:rPr>
          <w:rFonts w:ascii="Times New Roman" w:hAnsi="Times New Roman" w:cs="Times New Roman"/>
          <w:kern w:val="0"/>
        </w:rPr>
        <w:t>对项目固废进行判别，</w:t>
      </w:r>
      <w:r>
        <w:rPr>
          <w:rFonts w:ascii="Times New Roman" w:hAnsi="Times New Roman" w:cs="Times New Roman"/>
          <w:spacing w:val="0"/>
        </w:rPr>
        <w:t>本项目固体废物产生及处置情况分析结果见表6-1。</w:t>
      </w:r>
    </w:p>
    <w:p>
      <w:pPr>
        <w:pStyle w:val="6"/>
        <w:ind w:left="2117" w:firstLine="451"/>
        <w:rPr>
          <w:rFonts w:ascii="Times New Roman" w:hAnsi="Times New Roman"/>
        </w:rPr>
      </w:pPr>
      <w:r>
        <w:rPr>
          <w:rFonts w:ascii="Times New Roman" w:hAnsi="Times New Roman"/>
        </w:rPr>
        <w:t>固体废物产生及处置情况汇总</w:t>
      </w:r>
    </w:p>
    <w:tbl>
      <w:tblPr>
        <w:tblStyle w:val="87"/>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181"/>
        <w:gridCol w:w="992"/>
        <w:gridCol w:w="693"/>
        <w:gridCol w:w="995"/>
        <w:gridCol w:w="887"/>
        <w:gridCol w:w="1373"/>
        <w:gridCol w:w="1043"/>
        <w:gridCol w:w="1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序号</w:t>
            </w:r>
          </w:p>
        </w:tc>
        <w:tc>
          <w:tcPr>
            <w:tcW w:w="1181"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固废名称</w:t>
            </w:r>
          </w:p>
        </w:tc>
        <w:tc>
          <w:tcPr>
            <w:tcW w:w="992"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产生工序</w:t>
            </w:r>
          </w:p>
        </w:tc>
        <w:tc>
          <w:tcPr>
            <w:tcW w:w="69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形态</w:t>
            </w:r>
          </w:p>
        </w:tc>
        <w:tc>
          <w:tcPr>
            <w:tcW w:w="995"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主要成分</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属性</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危废代码</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预测产生量(t/a)</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1</w:t>
            </w:r>
          </w:p>
        </w:tc>
        <w:tc>
          <w:tcPr>
            <w:tcW w:w="1181" w:type="dxa"/>
            <w:vAlign w:val="center"/>
          </w:tcPr>
          <w:p>
            <w:pPr>
              <w:spacing w:line="360" w:lineRule="exact"/>
              <w:jc w:val="center"/>
              <w:rPr>
                <w:rFonts w:eastAsiaTheme="minorEastAsia"/>
                <w:sz w:val="18"/>
                <w:szCs w:val="18"/>
              </w:rPr>
            </w:pPr>
            <w:r>
              <w:rPr>
                <w:rFonts w:eastAsiaTheme="minorEastAsia"/>
                <w:sz w:val="18"/>
                <w:szCs w:val="18"/>
              </w:rPr>
              <w:t>氧化铁皮S1</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二冷室</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sz w:val="18"/>
                <w:szCs w:val="18"/>
              </w:rPr>
              <w:t>铁及其氧化物</w:t>
            </w:r>
          </w:p>
        </w:tc>
        <w:tc>
          <w:tcPr>
            <w:tcW w:w="88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150</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2</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除尘灰S4-1</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连铸</w:t>
            </w:r>
            <w:r>
              <w:rPr>
                <w:rFonts w:ascii="Times New Roman" w:hAnsi="Times New Roman" w:eastAsiaTheme="minorEastAsia"/>
                <w:kern w:val="2"/>
                <w:sz w:val="18"/>
                <w:szCs w:val="18"/>
              </w:rPr>
              <w:t>布袋除尘</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sz w:val="18"/>
                <w:szCs w:val="18"/>
                <w:lang w:eastAsia="zh-CN"/>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sz w:val="18"/>
                <w:szCs w:val="18"/>
              </w:rPr>
              <w:t>铁及其氧化物</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11. 937</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除尘灰S4-2</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精炼炉</w:t>
            </w:r>
            <w:r>
              <w:rPr>
                <w:rFonts w:ascii="Times New Roman" w:hAnsi="Times New Roman" w:eastAsiaTheme="minorEastAsia"/>
                <w:kern w:val="2"/>
                <w:sz w:val="18"/>
                <w:szCs w:val="18"/>
                <w:lang w:eastAsia="zh-CN"/>
              </w:rPr>
              <w:t>除尘灰</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sz w:val="18"/>
                <w:szCs w:val="18"/>
              </w:rPr>
            </w:pPr>
            <w:r>
              <w:rPr>
                <w:rFonts w:hint="eastAsia" w:ascii="Times New Roman" w:hAnsi="Times New Roman" w:eastAsiaTheme="minorEastAsia"/>
                <w:sz w:val="18"/>
                <w:szCs w:val="18"/>
                <w:lang w:eastAsia="zh-CN"/>
              </w:rPr>
              <w:t>铁极其</w:t>
            </w:r>
            <w:r>
              <w:rPr>
                <w:rFonts w:ascii="Times New Roman" w:hAnsi="Times New Roman" w:eastAsiaTheme="minorEastAsia"/>
                <w:sz w:val="18"/>
                <w:szCs w:val="18"/>
                <w:lang w:eastAsia="zh-CN"/>
              </w:rPr>
              <w:t>化合物、铬</w:t>
            </w:r>
          </w:p>
        </w:tc>
        <w:tc>
          <w:tcPr>
            <w:tcW w:w="88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危险废物</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HW21</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(315-002-21)</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377.76</w:t>
            </w:r>
          </w:p>
        </w:tc>
        <w:tc>
          <w:tcPr>
            <w:tcW w:w="1156"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废润滑油</w:t>
            </w:r>
            <w:r>
              <w:rPr>
                <w:rFonts w:hint="eastAsia" w:eastAsiaTheme="minorEastAsia"/>
                <w:sz w:val="18"/>
                <w:szCs w:val="18"/>
              </w:rPr>
              <w:t>、</w:t>
            </w:r>
            <w:r>
              <w:rPr>
                <w:rFonts w:eastAsiaTheme="minorEastAsia"/>
                <w:sz w:val="18"/>
                <w:szCs w:val="18"/>
              </w:rPr>
              <w:t>废油S5</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设备检修</w:t>
            </w:r>
          </w:p>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浊水</w:t>
            </w:r>
            <w:r>
              <w:rPr>
                <w:rFonts w:ascii="Times New Roman" w:hAnsi="Times New Roman" w:eastAsiaTheme="minorEastAsia"/>
                <w:kern w:val="2"/>
                <w:sz w:val="18"/>
                <w:szCs w:val="18"/>
                <w:lang w:eastAsia="zh-CN"/>
              </w:rPr>
              <w:t>系统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液态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hint="eastAsia" w:ascii="Times New Roman" w:hAnsi="Times New Roman" w:eastAsiaTheme="minorEastAsia"/>
                <w:kern w:val="2"/>
                <w:sz w:val="18"/>
                <w:szCs w:val="18"/>
                <w:lang w:eastAsia="zh-CN"/>
              </w:rPr>
              <w:t>矿物</w:t>
            </w:r>
            <w:r>
              <w:rPr>
                <w:rFonts w:ascii="Times New Roman" w:hAnsi="Times New Roman" w:eastAsiaTheme="minorEastAsia"/>
                <w:kern w:val="2"/>
                <w:sz w:val="18"/>
                <w:szCs w:val="18"/>
              </w:rPr>
              <w:t>油</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HW08</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(900-217-08)</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3</w:t>
            </w:r>
          </w:p>
        </w:tc>
        <w:tc>
          <w:tcPr>
            <w:tcW w:w="1156"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5</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废包装桶S7</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原料使用</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含油包装桶</w:t>
            </w:r>
          </w:p>
        </w:tc>
        <w:tc>
          <w:tcPr>
            <w:tcW w:w="88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HW49</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(900-041-49)</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0.075</w:t>
            </w:r>
          </w:p>
        </w:tc>
        <w:tc>
          <w:tcPr>
            <w:tcW w:w="1156"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6</w:t>
            </w:r>
          </w:p>
        </w:tc>
        <w:tc>
          <w:tcPr>
            <w:tcW w:w="1181" w:type="dxa"/>
            <w:vAlign w:val="center"/>
          </w:tcPr>
          <w:p>
            <w:pPr>
              <w:autoSpaceDE w:val="0"/>
              <w:autoSpaceDN w:val="0"/>
              <w:spacing w:line="360" w:lineRule="exact"/>
              <w:jc w:val="center"/>
              <w:rPr>
                <w:rFonts w:eastAsiaTheme="minorEastAsia"/>
                <w:sz w:val="18"/>
                <w:szCs w:val="18"/>
              </w:rPr>
            </w:pPr>
            <w:r>
              <w:rPr>
                <w:rFonts w:eastAsiaTheme="minorEastAsia"/>
                <w:sz w:val="18"/>
                <w:szCs w:val="18"/>
              </w:rPr>
              <w:t>废耐火材料S6</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设备检修</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rPr>
            </w:pPr>
            <w:r>
              <w:rPr>
                <w:rFonts w:ascii="Times New Roman" w:hAnsi="Times New Roman" w:eastAsiaTheme="minorEastAsia"/>
                <w:kern w:val="2"/>
                <w:sz w:val="18"/>
                <w:szCs w:val="18"/>
              </w:rPr>
              <w:t>固态</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ascii="Times New Roman" w:hAnsi="Times New Roman" w:eastAsiaTheme="minorEastAsia"/>
                <w:kern w:val="2"/>
                <w:sz w:val="18"/>
                <w:szCs w:val="18"/>
                <w:lang w:eastAsia="zh-CN"/>
              </w:rPr>
              <w:t>废耐火材料</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150</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7</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冶炼渣S8</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eastAsiaTheme="minorEastAsia"/>
                <w:sz w:val="18"/>
                <w:szCs w:val="18"/>
                <w:lang w:eastAsia="zh-CN"/>
              </w:rPr>
              <w:t>精炼</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铁及其氧化物</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4277.72</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收集暂存后</w:t>
            </w:r>
            <w:r>
              <w:rPr>
                <w:rFonts w:hint="eastAsia" w:eastAsiaTheme="minorEastAsia"/>
                <w:sz w:val="18"/>
                <w:szCs w:val="18"/>
              </w:rPr>
              <w:t>由钢渣</w:t>
            </w:r>
            <w:r>
              <w:rPr>
                <w:rFonts w:eastAsiaTheme="minorEastAsia"/>
                <w:sz w:val="18"/>
                <w:szCs w:val="18"/>
              </w:rPr>
              <w:t>车间处理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8</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废分子筛S</w:t>
            </w:r>
            <w:r>
              <w:rPr>
                <w:rFonts w:eastAsiaTheme="minorEastAsia"/>
                <w:sz w:val="18"/>
                <w:szCs w:val="18"/>
              </w:rPr>
              <w:t>9</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eastAsiaTheme="minorEastAsia"/>
                <w:sz w:val="18"/>
                <w:szCs w:val="18"/>
                <w:lang w:eastAsia="zh-CN"/>
              </w:rPr>
              <w:t>制氧</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分子筛</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一般固废</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0.1</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收集暂存后外卖处置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9</w:t>
            </w:r>
          </w:p>
        </w:tc>
        <w:tc>
          <w:tcPr>
            <w:tcW w:w="1181" w:type="dxa"/>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废</w:t>
            </w:r>
            <w:r>
              <w:rPr>
                <w:rFonts w:eastAsiaTheme="minorEastAsia"/>
                <w:sz w:val="18"/>
                <w:szCs w:val="18"/>
              </w:rPr>
              <w:t>布袋</w:t>
            </w:r>
            <w:r>
              <w:rPr>
                <w:rFonts w:hint="eastAsia" w:eastAsiaTheme="minorEastAsia"/>
                <w:sz w:val="18"/>
                <w:szCs w:val="18"/>
              </w:rPr>
              <w:t>S10</w:t>
            </w:r>
          </w:p>
        </w:tc>
        <w:tc>
          <w:tcPr>
            <w:tcW w:w="992" w:type="dxa"/>
            <w:tcBorders>
              <w:righ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lang w:eastAsia="zh-CN"/>
              </w:rPr>
            </w:pPr>
            <w:r>
              <w:rPr>
                <w:rFonts w:hint="eastAsia" w:eastAsiaTheme="minorEastAsia"/>
                <w:sz w:val="18"/>
                <w:szCs w:val="18"/>
                <w:lang w:eastAsia="zh-CN"/>
              </w:rPr>
              <w:t>布袋更换</w:t>
            </w:r>
          </w:p>
        </w:tc>
        <w:tc>
          <w:tcPr>
            <w:tcW w:w="693" w:type="dxa"/>
            <w:tcBorders>
              <w:left w:val="single" w:color="auto" w:sz="2" w:space="0"/>
            </w:tcBorders>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固态</w:t>
            </w:r>
          </w:p>
        </w:tc>
        <w:tc>
          <w:tcPr>
            <w:tcW w:w="995" w:type="dxa"/>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val="en-US" w:eastAsia="zh-CN"/>
              </w:rPr>
            </w:pPr>
            <w:r>
              <w:rPr>
                <w:rFonts w:hint="eastAsia" w:ascii="Times New Roman" w:hAnsi="Times New Roman" w:eastAsiaTheme="minorEastAsia"/>
                <w:kern w:val="2"/>
                <w:sz w:val="18"/>
                <w:szCs w:val="18"/>
                <w:lang w:val="en-US" w:eastAsia="zh-CN"/>
              </w:rPr>
              <w:t>废布袋</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危险废物</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HW49</w:t>
            </w:r>
          </w:p>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(900-041-49)</w:t>
            </w:r>
          </w:p>
        </w:tc>
        <w:tc>
          <w:tcPr>
            <w:tcW w:w="1043" w:type="dxa"/>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11</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收集暂存</w:t>
            </w:r>
            <w:r>
              <w:rPr>
                <w:rFonts w:eastAsiaTheme="minorEastAsia"/>
                <w:sz w:val="18"/>
                <w:szCs w:val="18"/>
              </w:rPr>
              <w:t>后委托有资质单位处置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restart"/>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合计</w:t>
            </w:r>
          </w:p>
        </w:tc>
        <w:tc>
          <w:tcPr>
            <w:tcW w:w="1181" w:type="dxa"/>
            <w:shd w:val="clear" w:color="auto" w:fill="auto"/>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工业固废</w:t>
            </w:r>
          </w:p>
        </w:tc>
        <w:tc>
          <w:tcPr>
            <w:tcW w:w="992"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eastAsiaTheme="minorEastAsia"/>
                <w:sz w:val="18"/>
                <w:szCs w:val="18"/>
              </w:rPr>
              <w:t>一般固废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eastAsiaTheme="minorEastAsia"/>
                <w:sz w:val="18"/>
                <w:szCs w:val="18"/>
              </w:rPr>
              <w:t>/</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rPr>
            </w:pPr>
            <w:r>
              <w:rPr>
                <w:rFonts w:hint="eastAsia" w:ascii="Times New Roman" w:eastAsiaTheme="minorEastAsia"/>
                <w:sz w:val="18"/>
                <w:szCs w:val="18"/>
              </w:rPr>
              <w:t>/</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4427.82</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7" w:type="dxa"/>
            <w:vMerge w:val="continue"/>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p>
        </w:tc>
        <w:tc>
          <w:tcPr>
            <w:tcW w:w="1181" w:type="dxa"/>
            <w:shd w:val="clear" w:color="auto" w:fill="auto"/>
            <w:vAlign w:val="center"/>
          </w:tcPr>
          <w:p>
            <w:pPr>
              <w:autoSpaceDE w:val="0"/>
              <w:autoSpaceDN w:val="0"/>
              <w:spacing w:line="360" w:lineRule="exact"/>
              <w:jc w:val="center"/>
              <w:rPr>
                <w:rFonts w:eastAsiaTheme="minorEastAsia"/>
                <w:sz w:val="18"/>
                <w:szCs w:val="18"/>
              </w:rPr>
            </w:pPr>
            <w:r>
              <w:rPr>
                <w:rFonts w:hint="eastAsia" w:eastAsiaTheme="minorEastAsia"/>
                <w:sz w:val="18"/>
                <w:szCs w:val="18"/>
              </w:rPr>
              <w:t>工业固废</w:t>
            </w:r>
          </w:p>
        </w:tc>
        <w:tc>
          <w:tcPr>
            <w:tcW w:w="992"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eastAsiaTheme="minorEastAsia"/>
                <w:sz w:val="18"/>
                <w:szCs w:val="18"/>
              </w:rPr>
              <w:t>危险固废</w:t>
            </w:r>
          </w:p>
        </w:tc>
        <w:tc>
          <w:tcPr>
            <w:tcW w:w="693"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ascii="Times New Roman" w:hAnsi="Times New Roman" w:eastAsiaTheme="minorEastAsia"/>
                <w:kern w:val="2"/>
                <w:sz w:val="18"/>
                <w:szCs w:val="18"/>
                <w:lang w:eastAsia="zh-CN"/>
              </w:rPr>
            </w:pPr>
            <w:r>
              <w:rPr>
                <w:rFonts w:hint="eastAsia" w:eastAsiaTheme="minorEastAsia"/>
                <w:sz w:val="18"/>
                <w:szCs w:val="18"/>
              </w:rPr>
              <w:t>/</w:t>
            </w:r>
          </w:p>
        </w:tc>
        <w:tc>
          <w:tcPr>
            <w:tcW w:w="995" w:type="dxa"/>
            <w:shd w:val="clear" w:color="auto" w:fill="auto"/>
            <w:vAlign w:val="center"/>
          </w:tcPr>
          <w:p>
            <w:pPr>
              <w:pStyle w:val="328"/>
              <w:widowControl w:val="0"/>
              <w:pBdr>
                <w:left w:val="none" w:color="auto" w:sz="0" w:space="0"/>
                <w:bottom w:val="none" w:color="auto" w:sz="0" w:space="0"/>
                <w:right w:val="none" w:color="auto" w:sz="0" w:space="0"/>
              </w:pBdr>
              <w:spacing w:before="0" w:beforeAutospacing="0" w:after="0" w:afterAutospacing="0" w:line="360" w:lineRule="exact"/>
              <w:rPr>
                <w:rFonts w:eastAsiaTheme="minorEastAsia"/>
                <w:sz w:val="18"/>
                <w:szCs w:val="18"/>
              </w:rPr>
            </w:pPr>
            <w:r>
              <w:rPr>
                <w:rFonts w:hint="eastAsia" w:ascii="Times New Roman" w:eastAsiaTheme="minorEastAsia"/>
                <w:sz w:val="18"/>
                <w:szCs w:val="18"/>
              </w:rPr>
              <w:t>/</w:t>
            </w:r>
          </w:p>
        </w:tc>
        <w:tc>
          <w:tcPr>
            <w:tcW w:w="887"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37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c>
          <w:tcPr>
            <w:tcW w:w="1043"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eastAsiaTheme="minorEastAsia"/>
                <w:sz w:val="18"/>
                <w:szCs w:val="18"/>
              </w:rPr>
              <w:t>391.835</w:t>
            </w:r>
          </w:p>
        </w:tc>
        <w:tc>
          <w:tcPr>
            <w:tcW w:w="1156" w:type="dxa"/>
            <w:shd w:val="clear" w:color="auto" w:fill="auto"/>
            <w:vAlign w:val="center"/>
          </w:tcPr>
          <w:p>
            <w:pPr>
              <w:autoSpaceDE w:val="0"/>
              <w:autoSpaceDN w:val="0"/>
              <w:spacing w:line="360" w:lineRule="exact"/>
              <w:ind w:left="-113" w:leftChars="-40" w:right="-113" w:rightChars="-40"/>
              <w:jc w:val="center"/>
              <w:rPr>
                <w:rFonts w:eastAsiaTheme="minorEastAsia"/>
                <w:sz w:val="18"/>
                <w:szCs w:val="18"/>
              </w:rPr>
            </w:pPr>
            <w:r>
              <w:rPr>
                <w:rFonts w:hint="eastAsia" w:eastAsiaTheme="minorEastAsia"/>
                <w:sz w:val="18"/>
                <w:szCs w:val="18"/>
              </w:rPr>
              <w:t>/</w:t>
            </w:r>
          </w:p>
        </w:tc>
      </w:tr>
    </w:tbl>
    <w:p>
      <w:pPr>
        <w:pStyle w:val="5"/>
        <w:numPr>
          <w:ilvl w:val="2"/>
          <w:numId w:val="24"/>
        </w:numPr>
        <w:tabs>
          <w:tab w:val="clear" w:pos="1080"/>
        </w:tabs>
        <w:spacing w:line="360" w:lineRule="exact"/>
        <w:rPr>
          <w:rFonts w:ascii="Times New Roman"/>
        </w:rPr>
      </w:pPr>
      <w:r>
        <w:rPr>
          <w:rFonts w:ascii="Times New Roman"/>
        </w:rPr>
        <w:t>固体废物</w:t>
      </w:r>
      <w:r>
        <w:rPr>
          <w:rFonts w:ascii="Times New Roman"/>
          <w:lang w:eastAsia="zh-CN"/>
        </w:rPr>
        <w:t>处置方案分析</w:t>
      </w:r>
    </w:p>
    <w:p>
      <w:pPr>
        <w:pStyle w:val="4"/>
        <w:spacing w:line="480" w:lineRule="exact"/>
        <w:ind w:firstLine="482"/>
        <w:rPr>
          <w:rFonts w:ascii="Times New Roman" w:hAnsi="Times New Roman" w:cs="Times New Roman"/>
          <w:spacing w:val="0"/>
          <w:lang w:val="zh-CN"/>
        </w:rPr>
      </w:pPr>
      <w:r>
        <w:rPr>
          <w:rFonts w:hint="eastAsia" w:ascii="Times New Roman" w:hAnsi="Times New Roman" w:cs="Times New Roman"/>
          <w:spacing w:val="0"/>
          <w:lang w:val="zh-CN"/>
        </w:rPr>
        <w:t>建设项目一般固废物主要有氧化铁皮、废耐火材料、废分子筛，一般固废按要求进行分类收集和处置，均出售给物资公司进行综合利用</w:t>
      </w:r>
      <w:r>
        <w:rPr>
          <w:rFonts w:ascii="Times New Roman" w:hAnsi="Times New Roman" w:cs="Times New Roman"/>
          <w:spacing w:val="0"/>
          <w:lang w:val="zh-CN"/>
        </w:rPr>
        <w:t>一般固废的贮存、处置需按《一般工业固体废物贮存、处置场污染控制标准》（GB18599-2001）</w:t>
      </w:r>
      <w:r>
        <w:rPr>
          <w:rFonts w:hint="eastAsia" w:ascii="Times New Roman" w:hAnsi="Times New Roman" w:cs="Times New Roman"/>
          <w:spacing w:val="0"/>
          <w:lang w:val="zh-CN"/>
        </w:rPr>
        <w:t>及</w:t>
      </w:r>
      <w:r>
        <w:rPr>
          <w:rFonts w:ascii="Times New Roman" w:hAnsi="Times New Roman" w:cs="Times New Roman"/>
          <w:spacing w:val="0"/>
          <w:lang w:val="zh-CN"/>
        </w:rPr>
        <w:t>修改单执行。</w:t>
      </w:r>
    </w:p>
    <w:p>
      <w:pPr>
        <w:pStyle w:val="4"/>
        <w:spacing w:line="480" w:lineRule="exact"/>
        <w:ind w:firstLine="482"/>
        <w:rPr>
          <w:rFonts w:ascii="Times New Roman" w:hAnsi="Times New Roman" w:cs="Times New Roman"/>
          <w:spacing w:val="0"/>
          <w:lang w:val="zh-CN"/>
        </w:rPr>
      </w:pPr>
      <w:r>
        <w:rPr>
          <w:rFonts w:hint="eastAsia" w:ascii="Times New Roman" w:hAnsi="Times New Roman" w:cs="Times New Roman"/>
          <w:spacing w:val="0"/>
          <w:lang w:val="zh-CN"/>
        </w:rPr>
        <w:t>项目产生的所有危险废物均应与有处理资质的单位签订长期综合利用或处置协议，项目投产后危险废物处置应有环保资质合同保障，综合利用渠道畅通，使其能得到全部合理处置。企业应加强固废的分类收集、贮存，各类固废严禁露天堆放，储存场所严格按照有关规定设计与建造，防风、防雨、防晒、防渗漏，避免因日晒雨淋产生二次污染，以“减量化、资源化、无害化”为基本原则，严格按照《中华人民共和国固体废物污染环境防治法》、《危险废物贮存污染控制标准》(GB18597-2001)和《浙江省固体废物污染环境防治条例》相关规定进行储存和管理。</w:t>
      </w:r>
    </w:p>
    <w:p>
      <w:pPr>
        <w:pStyle w:val="4"/>
        <w:spacing w:line="480" w:lineRule="exact"/>
        <w:ind w:firstLine="482"/>
        <w:rPr>
          <w:rFonts w:ascii="Times New Roman" w:hAnsi="Times New Roman" w:cs="Times New Roman" w:eastAsiaTheme="minorEastAsia"/>
          <w:spacing w:val="0"/>
          <w:szCs w:val="24"/>
        </w:rPr>
      </w:pPr>
      <w:r>
        <w:rPr>
          <w:rFonts w:hint="eastAsia" w:ascii="Times New Roman" w:hAnsi="Times New Roman" w:cs="Times New Roman"/>
          <w:spacing w:val="0"/>
          <w:lang w:val="zh-CN"/>
        </w:rPr>
        <w:t>企业在落实各项固废处置措施后，项目产生的各类固废均能妥善处理处置，只要加强管理，则固废处置对周围环境不会造成二次污染，对周围环境影响不大</w:t>
      </w:r>
      <w:r>
        <w:rPr>
          <w:rFonts w:ascii="Times New Roman" w:hAnsi="Times New Roman" w:cs="Times New Roman" w:eastAsiaTheme="minorEastAsia"/>
          <w:spacing w:val="0"/>
          <w:szCs w:val="24"/>
        </w:rPr>
        <w:t>。</w:t>
      </w:r>
    </w:p>
    <w:p>
      <w:pPr>
        <w:pStyle w:val="3"/>
        <w:numPr>
          <w:ilvl w:val="1"/>
          <w:numId w:val="24"/>
        </w:numPr>
        <w:tabs>
          <w:tab w:val="clear" w:pos="567"/>
        </w:tabs>
        <w:rPr>
          <w:rFonts w:ascii="Times New Roman" w:hAnsi="Times New Roman"/>
        </w:rPr>
      </w:pPr>
      <w:bookmarkStart w:id="221" w:name="_Toc511116313"/>
      <w:bookmarkStart w:id="222" w:name="_Toc10637171"/>
      <w:bookmarkStart w:id="223" w:name="_Toc494359396"/>
      <w:r>
        <w:rPr>
          <w:rFonts w:ascii="Times New Roman" w:hAnsi="Times New Roman"/>
        </w:rPr>
        <w:t>土壤环境影响分析</w:t>
      </w:r>
      <w:bookmarkEnd w:id="221"/>
      <w:bookmarkEnd w:id="222"/>
      <w:bookmarkEnd w:id="223"/>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根据核算可知，企业现状炼钢一厂、炼钢二厂达产时电炉炼钢废气经布袋除尘后，铬及其化合物排放量为1.1078t/a，排放浓度能够满足《铁合金工业污染物排放标准》（GB28666-2012）表6中特别排放限值要求；镍及其化合物排放量为0.8959t/a，排放浓度满足《大气污染物综合排放标准》（GB 16297-1996）表中的新污染源二级标准。同时根据现状土壤环境监测报告可知，企业炼钢工段运行多年并未对周围土壤环境造成影响，其重金属监测值均能满足《土壤环境质量 建设用地土壤污染风险管控标准(试行)》(GB366600-2018)中第二类用地基本项目及二噁英风险筛选值标准。</w:t>
      </w:r>
    </w:p>
    <w:p>
      <w:pPr>
        <w:pStyle w:val="4"/>
        <w:spacing w:line="480" w:lineRule="exact"/>
        <w:ind w:firstLine="482"/>
        <w:rPr>
          <w:rFonts w:ascii="Times New Roman" w:hAnsi="Times New Roman" w:cs="Times New Roman"/>
          <w:spacing w:val="0"/>
        </w:rPr>
      </w:pPr>
      <w:r>
        <w:rPr>
          <w:rFonts w:hint="eastAsia" w:ascii="Times New Roman" w:hAnsi="Times New Roman" w:cs="Times New Roman"/>
          <w:spacing w:val="0"/>
        </w:rPr>
        <w:t>本项目</w:t>
      </w:r>
      <w:r>
        <w:rPr>
          <w:rFonts w:ascii="Times New Roman" w:hAnsi="Times New Roman" w:cs="Times New Roman"/>
          <w:spacing w:val="0"/>
        </w:rPr>
        <w:t>废气中不含重金属</w:t>
      </w:r>
      <w:r>
        <w:rPr>
          <w:rFonts w:hint="eastAsia" w:ascii="Times New Roman" w:hAnsi="Times New Roman" w:cs="Times New Roman"/>
          <w:spacing w:val="0"/>
        </w:rPr>
        <w:t>及</w:t>
      </w:r>
      <w:r>
        <w:rPr>
          <w:rFonts w:ascii="Times New Roman" w:hAnsi="Times New Roman" w:cs="Times New Roman"/>
          <w:spacing w:val="0"/>
        </w:rPr>
        <w:t>二噁英，</w:t>
      </w:r>
      <w:r>
        <w:rPr>
          <w:rFonts w:hint="eastAsia" w:ascii="Times New Roman" w:hAnsi="Times New Roman" w:cs="Times New Roman"/>
          <w:spacing w:val="0"/>
        </w:rPr>
        <w:t>项目</w:t>
      </w:r>
      <w:r>
        <w:rPr>
          <w:rFonts w:ascii="Times New Roman" w:hAnsi="Times New Roman" w:cs="Times New Roman"/>
          <w:spacing w:val="0"/>
        </w:rPr>
        <w:t>废气主要为颗粒物。项目各建筑地面均采用防渗防漏措施，室外整个场地除绿化外均采用硬化地面，一般情况下不会导致化学品和废水向地下渗漏。项目各固体废物的厂内暂存设施均符合环保要求，各固体废物均能得到妥善处置或无害化处理，因此项目营运期在正常情况下对土壤环境基本无影响。</w:t>
      </w:r>
    </w:p>
    <w:p>
      <w:pPr>
        <w:pStyle w:val="3"/>
        <w:numPr>
          <w:ilvl w:val="1"/>
          <w:numId w:val="24"/>
        </w:numPr>
        <w:rPr>
          <w:rFonts w:ascii="Times New Roman" w:hAnsi="Times New Roman"/>
        </w:rPr>
      </w:pPr>
      <w:bookmarkStart w:id="224" w:name="_Toc294462584"/>
      <w:bookmarkStart w:id="225" w:name="_Toc312654770"/>
      <w:bookmarkStart w:id="226" w:name="_Toc372370235"/>
      <w:bookmarkStart w:id="227" w:name="_Toc479663195"/>
      <w:bookmarkStart w:id="228" w:name="_Toc10637172"/>
      <w:r>
        <w:rPr>
          <w:rFonts w:ascii="Times New Roman" w:hAnsi="Times New Roman"/>
        </w:rPr>
        <w:t>环境风险分析</w:t>
      </w:r>
      <w:bookmarkEnd w:id="224"/>
      <w:bookmarkEnd w:id="225"/>
      <w:bookmarkEnd w:id="226"/>
      <w:bookmarkEnd w:id="227"/>
      <w:bookmarkEnd w:id="228"/>
    </w:p>
    <w:p>
      <w:pPr>
        <w:widowControl/>
        <w:spacing w:line="480" w:lineRule="exact"/>
        <w:ind w:firstLine="486" w:firstLineChars="200"/>
        <w:rPr>
          <w:rFonts w:eastAsiaTheme="minorEastAsia"/>
          <w:kern w:val="0"/>
          <w:sz w:val="24"/>
          <w:szCs w:val="24"/>
        </w:rPr>
      </w:pPr>
      <w:r>
        <w:rPr>
          <w:rFonts w:hint="eastAsia" w:eastAsiaTheme="minorEastAsia"/>
          <w:kern w:val="0"/>
          <w:sz w:val="24"/>
          <w:szCs w:val="24"/>
        </w:rPr>
        <w:t>本项目环境风险潜势为Ⅰ，潜在的风险事故类别为化学品的泄漏及火灾事故</w:t>
      </w:r>
      <w:r>
        <w:rPr>
          <w:rFonts w:eastAsiaTheme="minorEastAsia"/>
          <w:kern w:val="0"/>
          <w:sz w:val="24"/>
          <w:szCs w:val="24"/>
        </w:rPr>
        <w:t>。</w:t>
      </w:r>
    </w:p>
    <w:p>
      <w:pPr>
        <w:widowControl/>
        <w:spacing w:line="480" w:lineRule="exact"/>
        <w:ind w:firstLine="486" w:firstLineChars="200"/>
        <w:rPr>
          <w:rFonts w:eastAsiaTheme="minorEastAsia"/>
          <w:kern w:val="0"/>
          <w:sz w:val="24"/>
        </w:rPr>
      </w:pPr>
      <w:r>
        <w:rPr>
          <w:rFonts w:hint="eastAsia" w:eastAsiaTheme="minorEastAsia"/>
          <w:kern w:val="0"/>
          <w:sz w:val="24"/>
        </w:rPr>
        <w:t>企业在化学品使用工位、储存点、危险废物暂存点设置黄沙、吸附棉、收集桶等应急物资存放点，用于泄漏事故发生时的应急处置；在厂区内按消防要求配置火器、消防栓，用于发生火灾时的应急处置。企业定制更新应急预案，并定期演练。企业拟采取的风险防范措施切实有效，项目化学品的储存量和使用量较小，发生事故造成的影响较小，可在短时间内进行事故处理，在落实本报告提出的环境风险防范措施的情况下，环境风险可控</w:t>
      </w:r>
      <w:r>
        <w:rPr>
          <w:rFonts w:eastAsiaTheme="minorEastAsia"/>
          <w:kern w:val="0"/>
          <w:sz w:val="24"/>
        </w:rPr>
        <w:t xml:space="preserve">。 </w:t>
      </w:r>
    </w:p>
    <w:p>
      <w:pPr>
        <w:pStyle w:val="3"/>
        <w:numPr>
          <w:ilvl w:val="1"/>
          <w:numId w:val="24"/>
        </w:numPr>
        <w:rPr>
          <w:rFonts w:ascii="Times New Roman" w:hAnsi="Times New Roman"/>
        </w:rPr>
      </w:pPr>
      <w:bookmarkStart w:id="229" w:name="_Toc10637173"/>
      <w:r>
        <w:rPr>
          <w:rFonts w:hint="eastAsia" w:ascii="Times New Roman" w:hAnsi="Times New Roman"/>
          <w:lang w:eastAsia="zh-CN"/>
        </w:rPr>
        <w:t>生态环境</w:t>
      </w:r>
      <w:r>
        <w:rPr>
          <w:rFonts w:ascii="Times New Roman" w:hAnsi="Times New Roman"/>
          <w:lang w:eastAsia="zh-CN"/>
        </w:rPr>
        <w:t>影响</w:t>
      </w:r>
      <w:r>
        <w:rPr>
          <w:rFonts w:ascii="Times New Roman" w:hAnsi="Times New Roman"/>
        </w:rPr>
        <w:t>分析</w:t>
      </w:r>
      <w:bookmarkEnd w:id="229"/>
    </w:p>
    <w:p>
      <w:pPr>
        <w:widowControl/>
        <w:spacing w:line="480" w:lineRule="exact"/>
        <w:ind w:firstLine="486" w:firstLineChars="200"/>
        <w:rPr>
          <w:rFonts w:eastAsiaTheme="minorEastAsia"/>
          <w:kern w:val="0"/>
          <w:sz w:val="24"/>
        </w:rPr>
      </w:pPr>
      <w:r>
        <w:rPr>
          <w:rFonts w:hint="eastAsia" w:eastAsiaTheme="minorEastAsia"/>
          <w:kern w:val="0"/>
          <w:sz w:val="24"/>
        </w:rPr>
        <w:t>1、陆域生态影响</w:t>
      </w:r>
    </w:p>
    <w:p>
      <w:pPr>
        <w:widowControl/>
        <w:spacing w:line="480" w:lineRule="exact"/>
        <w:ind w:firstLine="486" w:firstLineChars="200"/>
        <w:rPr>
          <w:rFonts w:eastAsiaTheme="minorEastAsia"/>
          <w:kern w:val="0"/>
          <w:sz w:val="24"/>
        </w:rPr>
      </w:pPr>
      <w:r>
        <w:rPr>
          <w:rFonts w:hint="eastAsia" w:eastAsiaTheme="minorEastAsia"/>
          <w:kern w:val="0"/>
          <w:sz w:val="24"/>
        </w:rPr>
        <w:t>本项目拟建地为工业</w:t>
      </w:r>
      <w:r>
        <w:rPr>
          <w:rFonts w:eastAsiaTheme="minorEastAsia"/>
          <w:kern w:val="0"/>
          <w:sz w:val="24"/>
        </w:rPr>
        <w:t>用地</w:t>
      </w:r>
      <w:r>
        <w:rPr>
          <w:rFonts w:hint="eastAsia" w:eastAsiaTheme="minorEastAsia"/>
          <w:kern w:val="0"/>
          <w:sz w:val="24"/>
        </w:rPr>
        <w:t>。项目建成后，企业拟采取一定的生态补偿措施，在厂内进行绿化，可维护项目周围生态环境。根据风险分析，本项目运营后环境风险事故有完善的应急体系，事故发生后可得到有效控制，且风险控制范围内无珍稀濒危野生动植物，风险事故间接造成的生态破坏属于可接受范围。</w:t>
      </w:r>
    </w:p>
    <w:p>
      <w:pPr>
        <w:widowControl/>
        <w:spacing w:line="480" w:lineRule="exact"/>
        <w:ind w:firstLine="486" w:firstLineChars="200"/>
        <w:rPr>
          <w:rFonts w:eastAsiaTheme="minorEastAsia"/>
          <w:kern w:val="0"/>
          <w:sz w:val="24"/>
        </w:rPr>
      </w:pPr>
      <w:r>
        <w:rPr>
          <w:rFonts w:hint="eastAsia" w:eastAsiaTheme="minorEastAsia"/>
          <w:kern w:val="0"/>
          <w:sz w:val="24"/>
        </w:rPr>
        <w:t>2、水域生态影响</w:t>
      </w:r>
    </w:p>
    <w:p>
      <w:pPr>
        <w:widowControl/>
        <w:spacing w:line="480" w:lineRule="exact"/>
        <w:ind w:firstLine="486" w:firstLineChars="200"/>
        <w:rPr>
          <w:rFonts w:eastAsiaTheme="minorEastAsia"/>
          <w:kern w:val="0"/>
          <w:sz w:val="24"/>
        </w:rPr>
      </w:pPr>
      <w:r>
        <w:rPr>
          <w:rFonts w:hint="eastAsia" w:eastAsiaTheme="minorEastAsia"/>
          <w:kern w:val="0"/>
          <w:sz w:val="24"/>
        </w:rPr>
        <w:t>本项目不占用水域，无废水排放，基本不会对附近水生生态造成影响。本项目正常情况下不会发生废水泄漏事故影响区域地下水环境。结合现有地下水环境现状，可认为在切实落实各项地下水污染防治措施的基础上，本项目废水不会对区域地下水环境造成明显影响，也不会因地下水污染间接影响水生生态。</w:t>
      </w:r>
    </w:p>
    <w:p>
      <w:pPr>
        <w:widowControl/>
        <w:spacing w:line="480" w:lineRule="exact"/>
        <w:ind w:firstLine="486" w:firstLineChars="200"/>
        <w:rPr>
          <w:rFonts w:eastAsiaTheme="minorEastAsia"/>
          <w:kern w:val="0"/>
          <w:sz w:val="24"/>
        </w:rPr>
      </w:pPr>
      <w:r>
        <w:rPr>
          <w:rFonts w:hint="eastAsia" w:eastAsiaTheme="minorEastAsia"/>
          <w:kern w:val="0"/>
          <w:sz w:val="24"/>
        </w:rPr>
        <w:t>综上，本项目的实施对周边生态环境影响不大。</w:t>
      </w:r>
    </w:p>
    <w:p>
      <w:pPr>
        <w:pStyle w:val="313"/>
        <w:tabs>
          <w:tab w:val="clear" w:pos="3908"/>
        </w:tabs>
        <w:ind w:left="1122" w:hanging="561"/>
        <w:rPr>
          <w:rFonts w:ascii="Times New Roman" w:hAnsi="Times New Roman"/>
        </w:rPr>
        <w:sectPr>
          <w:footerReference r:id="rId14" w:type="default"/>
          <w:pgSz w:w="11907" w:h="16840"/>
          <w:pgMar w:top="1644" w:right="1406" w:bottom="1701" w:left="1157" w:header="964" w:footer="964" w:gutter="567"/>
          <w:pgNumType w:fmt="numberInDash"/>
          <w:cols w:space="720" w:num="1"/>
          <w:docGrid w:type="linesAndChars" w:linePitch="421" w:charSpace="640"/>
        </w:sectPr>
      </w:pPr>
    </w:p>
    <w:bookmarkEnd w:id="129"/>
    <w:p>
      <w:pPr>
        <w:pStyle w:val="2"/>
        <w:numPr>
          <w:ilvl w:val="0"/>
          <w:numId w:val="1"/>
        </w:numPr>
      </w:pPr>
      <w:bookmarkStart w:id="230" w:name="_Toc364689783"/>
      <w:bookmarkStart w:id="231" w:name="_Toc341967510"/>
      <w:bookmarkStart w:id="232" w:name="_Toc10637174"/>
      <w:bookmarkStart w:id="233" w:name="_Toc286313978"/>
      <w:bookmarkStart w:id="234" w:name="_Toc82944751"/>
      <w:bookmarkStart w:id="235" w:name="_Toc236722024"/>
      <w:bookmarkStart w:id="236" w:name="_Toc231554504"/>
      <w:bookmarkStart w:id="237" w:name="_Toc84214504"/>
      <w:bookmarkStart w:id="238" w:name="_Toc128470778"/>
      <w:r>
        <w:t>环境保护措施及其</w:t>
      </w:r>
      <w:r>
        <w:rPr>
          <w:rFonts w:hint="eastAsia"/>
        </w:rPr>
        <w:t>可行性</w:t>
      </w:r>
      <w:r>
        <w:t>论证</w:t>
      </w:r>
      <w:bookmarkEnd w:id="230"/>
      <w:bookmarkEnd w:id="231"/>
      <w:bookmarkEnd w:id="232"/>
    </w:p>
    <w:bookmarkEnd w:id="233"/>
    <w:bookmarkEnd w:id="234"/>
    <w:bookmarkEnd w:id="235"/>
    <w:bookmarkEnd w:id="236"/>
    <w:bookmarkEnd w:id="237"/>
    <w:bookmarkEnd w:id="238"/>
    <w:p>
      <w:pPr>
        <w:pStyle w:val="3"/>
        <w:numPr>
          <w:ilvl w:val="1"/>
          <w:numId w:val="24"/>
        </w:numPr>
        <w:rPr>
          <w:rFonts w:ascii="Times New Roman" w:hAnsi="Times New Roman"/>
          <w:lang w:eastAsia="zh-CN"/>
        </w:rPr>
      </w:pPr>
      <w:bookmarkStart w:id="239" w:name="_Toc10637175"/>
      <w:bookmarkStart w:id="240" w:name="_Toc236722025"/>
      <w:bookmarkStart w:id="241" w:name="_Toc469860904"/>
      <w:bookmarkStart w:id="242" w:name="_Toc231554505"/>
      <w:r>
        <w:rPr>
          <w:rFonts w:hint="eastAsia" w:ascii="Times New Roman" w:hAnsi="Times New Roman"/>
          <w:lang w:eastAsia="zh-CN"/>
        </w:rPr>
        <w:t>施工期污染防治措施</w:t>
      </w:r>
      <w:bookmarkEnd w:id="239"/>
    </w:p>
    <w:p>
      <w:pPr>
        <w:pStyle w:val="835"/>
        <w:spacing w:line="480" w:lineRule="exact"/>
        <w:ind w:firstLine="486"/>
        <w:rPr>
          <w:rFonts w:ascii="Times New Roman" w:hAnsi="Times New Roman"/>
        </w:rPr>
      </w:pPr>
      <w:r>
        <w:rPr>
          <w:rFonts w:ascii="Times New Roman" w:hAnsi="Times New Roman"/>
        </w:rPr>
        <w:t>施工期污染防治措施汇总见表7-1。</w:t>
      </w:r>
    </w:p>
    <w:p>
      <w:pPr>
        <w:pStyle w:val="313"/>
        <w:tabs>
          <w:tab w:val="clear" w:pos="3908"/>
        </w:tabs>
        <w:ind w:left="1122" w:hanging="561"/>
        <w:rPr>
          <w:rFonts w:ascii="Times New Roman" w:hAnsi="Times New Roman"/>
        </w:rPr>
      </w:pPr>
      <w:r>
        <w:rPr>
          <w:rFonts w:hint="eastAsia" w:ascii="Times New Roman" w:hAnsi="Times New Roman"/>
        </w:rPr>
        <w:t>施工期</w:t>
      </w:r>
      <w:r>
        <w:rPr>
          <w:rFonts w:ascii="Times New Roman" w:hAnsi="Times New Roman"/>
        </w:rPr>
        <w:t>污染防治措施汇总</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5"/>
        <w:gridCol w:w="6368"/>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0"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类别</w:t>
            </w:r>
          </w:p>
        </w:tc>
        <w:tc>
          <w:tcPr>
            <w:tcW w:w="6368"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污染防治措施</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highlight w:val="yellow"/>
              </w:rPr>
            </w:pPr>
            <w:r>
              <w:rPr>
                <w:rFonts w:eastAsia="宋体"/>
                <w:sz w:val="21"/>
                <w:szCs w:val="21"/>
              </w:rPr>
              <w:t>预计影响分析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0"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废气</w:t>
            </w:r>
          </w:p>
        </w:tc>
        <w:tc>
          <w:tcPr>
            <w:tcW w:w="6368"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hint="eastAsia" w:ascii="宋体" w:hAnsi="宋体" w:eastAsia="宋体" w:cs="宋体"/>
                <w:sz w:val="21"/>
                <w:szCs w:val="21"/>
              </w:rPr>
              <w:t>①</w:t>
            </w:r>
            <w:r>
              <w:rPr>
                <w:rFonts w:eastAsia="宋体"/>
                <w:sz w:val="21"/>
                <w:szCs w:val="21"/>
              </w:rPr>
              <w:t>在场地周围设置不低于3.0m的遮挡围墙，推行硬地施工制度，并使用草帘覆盖，防止扬尘。所有临时道路均需清洁、湿润，并加强管理，运输车辆尽可能减缓行驶速度。</w:t>
            </w:r>
          </w:p>
          <w:p>
            <w:pPr>
              <w:spacing w:line="300" w:lineRule="exact"/>
              <w:rPr>
                <w:rFonts w:eastAsia="宋体"/>
                <w:sz w:val="21"/>
                <w:szCs w:val="21"/>
              </w:rPr>
            </w:pPr>
            <w:r>
              <w:rPr>
                <w:rFonts w:hint="eastAsia" w:ascii="宋体" w:hAnsi="宋体" w:eastAsia="宋体" w:cs="宋体"/>
                <w:sz w:val="21"/>
                <w:szCs w:val="21"/>
              </w:rPr>
              <w:t>②</w:t>
            </w:r>
            <w:r>
              <w:rPr>
                <w:rFonts w:eastAsia="宋体"/>
                <w:sz w:val="21"/>
                <w:szCs w:val="21"/>
              </w:rPr>
              <w:t>运输车辆出场时必须使用毡布覆盖，避免在运输过程中的抛洒现象。</w:t>
            </w:r>
          </w:p>
          <w:p>
            <w:pPr>
              <w:spacing w:line="300" w:lineRule="exact"/>
              <w:rPr>
                <w:rFonts w:eastAsia="宋体"/>
                <w:sz w:val="21"/>
                <w:szCs w:val="21"/>
              </w:rPr>
            </w:pPr>
            <w:r>
              <w:rPr>
                <w:rFonts w:hint="eastAsia" w:ascii="宋体" w:hAnsi="宋体" w:eastAsia="宋体" w:cs="宋体"/>
                <w:sz w:val="21"/>
                <w:szCs w:val="21"/>
              </w:rPr>
              <w:t>③</w:t>
            </w:r>
            <w:r>
              <w:rPr>
                <w:rFonts w:eastAsia="宋体"/>
                <w:sz w:val="21"/>
                <w:szCs w:val="21"/>
              </w:rPr>
              <w:t>在施工场地出口设置在厂区</w:t>
            </w:r>
            <w:r>
              <w:rPr>
                <w:rFonts w:hint="eastAsia" w:eastAsia="宋体"/>
                <w:sz w:val="21"/>
                <w:szCs w:val="21"/>
              </w:rPr>
              <w:t>东</w:t>
            </w:r>
            <w:r>
              <w:rPr>
                <w:rFonts w:eastAsia="宋体"/>
                <w:sz w:val="21"/>
                <w:szCs w:val="21"/>
              </w:rPr>
              <w:t>面，且放置防尘垫，对运输车辆现场需设置洗车场，用水清洗车体和轮胎。</w:t>
            </w:r>
          </w:p>
          <w:p>
            <w:pPr>
              <w:spacing w:line="300" w:lineRule="exact"/>
              <w:rPr>
                <w:rFonts w:eastAsia="宋体"/>
                <w:sz w:val="21"/>
                <w:szCs w:val="21"/>
              </w:rPr>
            </w:pPr>
            <w:r>
              <w:rPr>
                <w:rFonts w:hint="eastAsia" w:ascii="宋体" w:hAnsi="宋体" w:eastAsia="宋体" w:cs="宋体"/>
                <w:sz w:val="21"/>
                <w:szCs w:val="21"/>
              </w:rPr>
              <w:t>④</w:t>
            </w:r>
            <w:r>
              <w:rPr>
                <w:rFonts w:eastAsia="宋体"/>
                <w:sz w:val="21"/>
                <w:szCs w:val="21"/>
              </w:rPr>
              <w:t>对车辆行驶路面勤洒水，一般每天4~5次，这样可使扬尘减少70%左右，影响范围亦可缩小到20~50m范围之内。</w:t>
            </w:r>
          </w:p>
          <w:p>
            <w:pPr>
              <w:spacing w:line="300" w:lineRule="exact"/>
              <w:rPr>
                <w:rFonts w:eastAsia="宋体"/>
                <w:sz w:val="21"/>
                <w:szCs w:val="21"/>
              </w:rPr>
            </w:pPr>
            <w:r>
              <w:rPr>
                <w:rFonts w:hint="eastAsia" w:ascii="宋体" w:hAnsi="宋体" w:eastAsia="宋体" w:cs="宋体"/>
                <w:sz w:val="21"/>
                <w:szCs w:val="21"/>
              </w:rPr>
              <w:t>⑤</w:t>
            </w:r>
            <w:r>
              <w:rPr>
                <w:rFonts w:eastAsia="宋体"/>
                <w:sz w:val="21"/>
                <w:szCs w:val="21"/>
              </w:rPr>
              <w:t>避免大风天气作业，减少风力扬尘的产生。</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施工扬尘对周围环境的影响降至最低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0"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废水</w:t>
            </w:r>
          </w:p>
        </w:tc>
        <w:tc>
          <w:tcPr>
            <w:tcW w:w="6368" w:type="dxa"/>
            <w:tcBorders>
              <w:top w:val="single" w:color="auto" w:sz="4" w:space="0"/>
              <w:left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1．基础施工中的泥浆废水、地下用水应经沉淀后回用。建议在施工工地周界设置排水明沟，地面径流水经明沟引入沉淀池沉淀后</w:t>
            </w:r>
            <w:r>
              <w:rPr>
                <w:rFonts w:hint="eastAsia" w:eastAsia="宋体"/>
                <w:sz w:val="21"/>
                <w:szCs w:val="21"/>
              </w:rPr>
              <w:t>通过现有</w:t>
            </w:r>
            <w:r>
              <w:rPr>
                <w:rFonts w:eastAsia="宋体"/>
                <w:sz w:val="21"/>
                <w:szCs w:val="21"/>
              </w:rPr>
              <w:t>排污口纳管排放。</w:t>
            </w:r>
          </w:p>
          <w:p>
            <w:pPr>
              <w:spacing w:line="300" w:lineRule="exact"/>
              <w:rPr>
                <w:rFonts w:eastAsia="宋体"/>
                <w:sz w:val="21"/>
                <w:szCs w:val="21"/>
              </w:rPr>
            </w:pPr>
            <w:r>
              <w:rPr>
                <w:rFonts w:eastAsia="宋体"/>
                <w:sz w:val="21"/>
                <w:szCs w:val="21"/>
              </w:rPr>
              <w:t>2．施工期必须切实加强含油废水的收集、处理工作。机械设备在冲洗之前应首先清除油泵和积油，再用清水冲洗。一般情况下，废水含油量已较低，但也需设置废水接收池、经隔油沉淀后</w:t>
            </w:r>
            <w:r>
              <w:rPr>
                <w:rFonts w:hint="eastAsia" w:eastAsia="宋体"/>
                <w:sz w:val="21"/>
                <w:szCs w:val="21"/>
              </w:rPr>
              <w:t>通过现有</w:t>
            </w:r>
            <w:r>
              <w:rPr>
                <w:rFonts w:eastAsia="宋体"/>
                <w:sz w:val="21"/>
                <w:szCs w:val="21"/>
              </w:rPr>
              <w:t>排污口纳管排放。</w:t>
            </w:r>
          </w:p>
          <w:p>
            <w:pPr>
              <w:spacing w:line="300" w:lineRule="exact"/>
              <w:rPr>
                <w:rFonts w:eastAsia="宋体"/>
                <w:sz w:val="21"/>
                <w:szCs w:val="21"/>
              </w:rPr>
            </w:pPr>
            <w:r>
              <w:rPr>
                <w:rFonts w:eastAsia="宋体"/>
                <w:sz w:val="21"/>
                <w:szCs w:val="21"/>
              </w:rPr>
              <w:t>3．施工人员</w:t>
            </w:r>
            <w:r>
              <w:rPr>
                <w:rFonts w:hint="eastAsia" w:eastAsia="宋体"/>
                <w:sz w:val="21"/>
                <w:szCs w:val="21"/>
              </w:rPr>
              <w:t>生活利用</w:t>
            </w:r>
            <w:r>
              <w:rPr>
                <w:rFonts w:eastAsia="宋体"/>
                <w:sz w:val="21"/>
                <w:szCs w:val="21"/>
              </w:rPr>
              <w:t>现有生活设施，生活污水经化粪池预处理后纳管排放，由凤凰污水处理厂处理后排放。</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对地表水环境基本无影响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80"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噪声</w:t>
            </w:r>
          </w:p>
        </w:tc>
        <w:tc>
          <w:tcPr>
            <w:tcW w:w="6368" w:type="dxa"/>
            <w:tcBorders>
              <w:top w:val="single" w:color="auto" w:sz="4" w:space="0"/>
              <w:left w:val="single" w:color="auto" w:sz="4" w:space="0"/>
              <w:bottom w:val="single" w:color="auto" w:sz="4" w:space="0"/>
              <w:right w:val="single" w:color="auto" w:sz="4" w:space="0"/>
            </w:tcBorders>
            <w:vAlign w:val="center"/>
          </w:tcPr>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①</w:t>
            </w:r>
            <w:r>
              <w:rPr>
                <w:rFonts w:ascii="Times New Roman" w:hAnsi="Times New Roman"/>
                <w:sz w:val="21"/>
                <w:szCs w:val="21"/>
              </w:rPr>
              <w:t>从声源上控制：建设单位在与施工单位签订合同时，应要求其使用的主要机械设备为低噪声机械设备，例如选液压机械取代燃油机械。同时在施工过程中应设专人对设备进行定期保养和维护，并负责对现场工作人员进行培训，严格按操作规范使用各类机械；</w:t>
            </w:r>
          </w:p>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②</w:t>
            </w:r>
            <w:r>
              <w:rPr>
                <w:rFonts w:ascii="Times New Roman" w:hAnsi="Times New Roman"/>
                <w:sz w:val="21"/>
                <w:szCs w:val="21"/>
              </w:rPr>
              <w:t>合理安排施工时间：除工程必须，并取得环保部门批准外，严禁在22：00～6：00期间施工；如需夜间施工，施工单位应当持所在地建设行政主管部门的施工意见书，向所在地环境保护部门申领夜间作业证明。同时，施工单位应当将夜间作业证明提前三日向附近居民公告，并按照夜间作业证明载明的作业时间、作业内容、作业方式以及避免或者减轻干扰附近居民正常生活的防范措施等要求进行施工。</w:t>
            </w:r>
          </w:p>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③</w:t>
            </w:r>
            <w:r>
              <w:rPr>
                <w:rFonts w:ascii="Times New Roman" w:hAnsi="Times New Roman"/>
                <w:sz w:val="21"/>
                <w:szCs w:val="21"/>
              </w:rPr>
              <w:t>采用距离防护措施：在不影响施工情况下将噪声设备尽量不集中安排，同时对固定的机械设备尽量入棚操作；</w:t>
            </w:r>
          </w:p>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④</w:t>
            </w:r>
            <w:r>
              <w:rPr>
                <w:rFonts w:ascii="Times New Roman" w:hAnsi="Times New Roman"/>
                <w:sz w:val="21"/>
                <w:szCs w:val="21"/>
              </w:rPr>
              <w:t>用商品混凝土，避免混凝土搅拌机等噪声的影响。</w:t>
            </w:r>
          </w:p>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⑤</w:t>
            </w:r>
            <w:r>
              <w:rPr>
                <w:rFonts w:ascii="Times New Roman" w:hAnsi="Times New Roman"/>
                <w:sz w:val="21"/>
                <w:szCs w:val="21"/>
              </w:rPr>
              <w:t>在建筑施工期间，必须严格执行国标《建筑施工场界环境噪声排放标准》(GB12523-2011)的要求和规定。</w:t>
            </w:r>
          </w:p>
          <w:p>
            <w:pPr>
              <w:pStyle w:val="835"/>
              <w:spacing w:before="0" w:line="300" w:lineRule="exact"/>
              <w:ind w:firstLine="0" w:firstLineChars="0"/>
              <w:rPr>
                <w:rFonts w:ascii="Times New Roman" w:hAnsi="Times New Roman"/>
                <w:sz w:val="21"/>
                <w:szCs w:val="21"/>
              </w:rPr>
            </w:pPr>
            <w:r>
              <w:rPr>
                <w:rFonts w:hint="eastAsia" w:ascii="宋体" w:hAnsi="宋体" w:cs="宋体"/>
                <w:sz w:val="21"/>
                <w:szCs w:val="21"/>
              </w:rPr>
              <w:t>⑥</w:t>
            </w:r>
            <w:r>
              <w:rPr>
                <w:rFonts w:ascii="Times New Roman" w:hAnsi="Times New Roman"/>
                <w:sz w:val="21"/>
                <w:szCs w:val="21"/>
              </w:rPr>
              <w:t>施工车辆出入现场时应低速、禁鸣；</w:t>
            </w:r>
            <w:r>
              <w:rPr>
                <w:rFonts w:ascii="Times New Roman" w:hAnsi="Times New Roman"/>
                <w:sz w:val="21"/>
                <w:szCs w:val="21"/>
              </w:rPr>
              <w:tab/>
            </w:r>
          </w:p>
          <w:p>
            <w:pPr>
              <w:pStyle w:val="835"/>
              <w:spacing w:before="0" w:line="300" w:lineRule="exact"/>
              <w:ind w:firstLine="0" w:firstLineChars="0"/>
              <w:rPr>
                <w:sz w:val="21"/>
                <w:szCs w:val="21"/>
              </w:rPr>
            </w:pPr>
            <w:r>
              <w:rPr>
                <w:rFonts w:hint="eastAsia" w:ascii="宋体" w:hAnsi="宋体" w:cs="宋体"/>
                <w:sz w:val="21"/>
                <w:szCs w:val="21"/>
              </w:rPr>
              <w:t>⑦</w:t>
            </w:r>
            <w:r>
              <w:rPr>
                <w:sz w:val="21"/>
                <w:szCs w:val="21"/>
              </w:rPr>
              <w:t>建设管理部门应加强对施工场地的噪声管理，施工企业也应对施工噪声进行自律，文明施工，避免因施工噪声产生纠纷。</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施工噪声对周围环境的影响降至最低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8"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固废</w:t>
            </w:r>
          </w:p>
        </w:tc>
        <w:tc>
          <w:tcPr>
            <w:tcW w:w="6368" w:type="dxa"/>
            <w:tcBorders>
              <w:top w:val="single" w:color="auto" w:sz="4" w:space="0"/>
              <w:left w:val="single" w:color="auto" w:sz="4" w:space="0"/>
              <w:right w:val="single" w:color="auto" w:sz="4" w:space="0"/>
            </w:tcBorders>
            <w:vAlign w:val="center"/>
          </w:tcPr>
          <w:p>
            <w:pPr>
              <w:spacing w:line="300" w:lineRule="exact"/>
              <w:rPr>
                <w:rFonts w:eastAsia="宋体"/>
                <w:sz w:val="21"/>
                <w:szCs w:val="21"/>
              </w:rPr>
            </w:pPr>
            <w:r>
              <w:rPr>
                <w:rFonts w:hint="eastAsia" w:ascii="宋体" w:hAnsi="宋体" w:eastAsia="宋体" w:cs="宋体"/>
                <w:sz w:val="21"/>
                <w:szCs w:val="21"/>
              </w:rPr>
              <w:t>①</w:t>
            </w:r>
            <w:r>
              <w:rPr>
                <w:rFonts w:eastAsia="宋体"/>
                <w:sz w:val="21"/>
                <w:szCs w:val="21"/>
              </w:rPr>
              <w:t>生活垃圾要收集到指定的垃圾箱（筒）内，由环卫部门统一处理。</w:t>
            </w:r>
          </w:p>
          <w:p>
            <w:pPr>
              <w:spacing w:line="300" w:lineRule="exact"/>
              <w:rPr>
                <w:rFonts w:eastAsia="宋体"/>
                <w:sz w:val="21"/>
                <w:szCs w:val="21"/>
              </w:rPr>
            </w:pPr>
            <w:r>
              <w:rPr>
                <w:rFonts w:hint="eastAsia" w:ascii="宋体" w:hAnsi="宋体" w:eastAsia="宋体" w:cs="宋体"/>
                <w:sz w:val="21"/>
                <w:szCs w:val="21"/>
              </w:rPr>
              <w:t>②</w:t>
            </w:r>
            <w:r>
              <w:rPr>
                <w:rFonts w:eastAsia="宋体"/>
                <w:sz w:val="21"/>
                <w:szCs w:val="21"/>
              </w:rPr>
              <w:t>项目施工过程中产生的弃方</w:t>
            </w:r>
            <w:r>
              <w:rPr>
                <w:rFonts w:hint="eastAsia" w:eastAsia="宋体"/>
                <w:sz w:val="21"/>
                <w:szCs w:val="21"/>
              </w:rPr>
              <w:t>应</w:t>
            </w:r>
            <w:r>
              <w:rPr>
                <w:rFonts w:eastAsia="宋体"/>
                <w:sz w:val="21"/>
                <w:szCs w:val="21"/>
              </w:rPr>
              <w:t>根据当地建设工程渣土管理办法在其规定的已合法登记的消纳场地内处理。建设单位应该严格要求施工单位按规范运输，防止随地散落、随意倾倒垃圾，尽可能少产生垃圾。工程渣土运输车辆必须满足密闭化技术标准要求，统一设置车身颜色、喷涂企业名称及监督电话，安装GPS定位及视频监控设备并确保正常运行，取得工程渣土车辆准运证明。</w:t>
            </w:r>
          </w:p>
        </w:tc>
        <w:tc>
          <w:tcPr>
            <w:tcW w:w="1634" w:type="dxa"/>
            <w:tcBorders>
              <w:top w:val="single" w:color="auto" w:sz="4" w:space="0"/>
              <w:left w:val="single" w:color="auto" w:sz="4" w:space="0"/>
              <w:bottom w:val="single" w:color="auto" w:sz="4" w:space="0"/>
              <w:right w:val="single" w:color="auto" w:sz="4" w:space="0"/>
            </w:tcBorders>
            <w:vAlign w:val="center"/>
          </w:tcPr>
          <w:p>
            <w:pPr>
              <w:spacing w:line="300" w:lineRule="exact"/>
              <w:rPr>
                <w:rFonts w:eastAsia="宋体"/>
                <w:sz w:val="21"/>
                <w:szCs w:val="21"/>
              </w:rPr>
            </w:pPr>
            <w:r>
              <w:rPr>
                <w:rFonts w:eastAsia="宋体"/>
                <w:sz w:val="21"/>
                <w:szCs w:val="21"/>
              </w:rPr>
              <w:t>生活垃圾及建筑垃圾得到妥善处置</w:t>
            </w:r>
          </w:p>
        </w:tc>
      </w:tr>
    </w:tbl>
    <w:p>
      <w:pPr>
        <w:pStyle w:val="3"/>
        <w:numPr>
          <w:ilvl w:val="1"/>
          <w:numId w:val="24"/>
        </w:numPr>
        <w:rPr>
          <w:rFonts w:ascii="Times New Roman" w:hAnsi="Times New Roman"/>
        </w:rPr>
      </w:pPr>
      <w:bookmarkStart w:id="243" w:name="_Toc10637176"/>
      <w:r>
        <w:rPr>
          <w:rFonts w:ascii="Times New Roman" w:hAnsi="Times New Roman"/>
        </w:rPr>
        <w:t>营运期污染防治措施</w:t>
      </w:r>
      <w:bookmarkEnd w:id="240"/>
      <w:bookmarkEnd w:id="241"/>
      <w:bookmarkEnd w:id="242"/>
      <w:bookmarkEnd w:id="243"/>
    </w:p>
    <w:p>
      <w:pPr>
        <w:pStyle w:val="4"/>
        <w:rPr>
          <w:rFonts w:ascii="Times New Roman" w:hAnsi="Times New Roman" w:cs="Times New Roman"/>
          <w:spacing w:val="0"/>
        </w:rPr>
      </w:pPr>
      <w:r>
        <w:rPr>
          <w:rFonts w:ascii="Times New Roman" w:hAnsi="Times New Roman" w:cs="Times New Roman"/>
          <w:spacing w:val="0"/>
        </w:rPr>
        <w:t>营运期污染防治措施汇总见表7-2。</w:t>
      </w:r>
    </w:p>
    <w:p>
      <w:pPr>
        <w:pStyle w:val="6"/>
        <w:ind w:left="2117" w:firstLine="451"/>
        <w:rPr>
          <w:rFonts w:ascii="Times New Roman" w:hAnsi="Times New Roman"/>
          <w:lang w:eastAsia="zh-CN"/>
        </w:rPr>
      </w:pPr>
      <w:r>
        <w:rPr>
          <w:rFonts w:ascii="Times New Roman" w:hAnsi="Times New Roman"/>
        </w:rPr>
        <w:t>营运期污染防治措施汇总</w:t>
      </w:r>
    </w:p>
    <w:tbl>
      <w:tblPr>
        <w:tblStyle w:val="87"/>
        <w:tblW w:w="87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882"/>
        <w:gridCol w:w="5397"/>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tcBorders>
              <w:tl2br w:val="single" w:color="auto" w:sz="4" w:space="0"/>
            </w:tcBorders>
            <w:vAlign w:val="center"/>
          </w:tcPr>
          <w:p>
            <w:pPr>
              <w:spacing w:line="280" w:lineRule="exact"/>
              <w:ind w:left="-141" w:leftChars="-50" w:right="-141" w:rightChars="-50"/>
              <w:jc w:val="right"/>
              <w:rPr>
                <w:rFonts w:eastAsiaTheme="minorEastAsia"/>
                <w:sz w:val="21"/>
                <w:szCs w:val="21"/>
              </w:rPr>
            </w:pPr>
            <w:r>
              <w:rPr>
                <w:rFonts w:eastAsiaTheme="minorEastAsia"/>
                <w:sz w:val="21"/>
                <w:szCs w:val="21"/>
              </w:rPr>
              <w:t>内容</w:t>
            </w:r>
          </w:p>
          <w:p>
            <w:pPr>
              <w:spacing w:line="280" w:lineRule="exact"/>
              <w:ind w:left="-141" w:leftChars="-50" w:right="-141" w:rightChars="-50"/>
              <w:rPr>
                <w:rFonts w:eastAsiaTheme="minorEastAsia"/>
                <w:sz w:val="21"/>
                <w:szCs w:val="21"/>
              </w:rPr>
            </w:pPr>
            <w:r>
              <w:rPr>
                <w:rFonts w:eastAsiaTheme="minorEastAsia"/>
                <w:sz w:val="21"/>
                <w:szCs w:val="21"/>
              </w:rPr>
              <w:t>类型</w:t>
            </w:r>
          </w:p>
        </w:tc>
        <w:tc>
          <w:tcPr>
            <w:tcW w:w="882" w:type="dxa"/>
            <w:vAlign w:val="center"/>
          </w:tcPr>
          <w:p>
            <w:pPr>
              <w:spacing w:line="280" w:lineRule="exact"/>
              <w:jc w:val="center"/>
              <w:rPr>
                <w:rFonts w:eastAsiaTheme="minorEastAsia"/>
                <w:sz w:val="21"/>
                <w:szCs w:val="21"/>
              </w:rPr>
            </w:pPr>
            <w:r>
              <w:rPr>
                <w:rFonts w:eastAsiaTheme="minorEastAsia"/>
                <w:sz w:val="21"/>
                <w:szCs w:val="21"/>
              </w:rPr>
              <w:t>污染物</w:t>
            </w:r>
          </w:p>
        </w:tc>
        <w:tc>
          <w:tcPr>
            <w:tcW w:w="5397" w:type="dxa"/>
            <w:vAlign w:val="center"/>
          </w:tcPr>
          <w:p>
            <w:pPr>
              <w:spacing w:line="280" w:lineRule="exact"/>
              <w:jc w:val="center"/>
              <w:rPr>
                <w:rFonts w:eastAsiaTheme="minorEastAsia"/>
                <w:sz w:val="21"/>
                <w:szCs w:val="21"/>
              </w:rPr>
            </w:pPr>
            <w:r>
              <w:rPr>
                <w:rFonts w:eastAsiaTheme="minorEastAsia"/>
                <w:sz w:val="21"/>
                <w:szCs w:val="21"/>
              </w:rPr>
              <w:t>防治措施</w:t>
            </w:r>
          </w:p>
        </w:tc>
        <w:tc>
          <w:tcPr>
            <w:tcW w:w="1967" w:type="dxa"/>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restart"/>
            <w:vAlign w:val="center"/>
          </w:tcPr>
          <w:p>
            <w:pPr>
              <w:snapToGrid w:val="0"/>
              <w:spacing w:line="280" w:lineRule="exact"/>
              <w:jc w:val="center"/>
              <w:rPr>
                <w:rFonts w:eastAsiaTheme="minorEastAsia"/>
                <w:sz w:val="21"/>
                <w:szCs w:val="21"/>
              </w:rPr>
            </w:pPr>
            <w:r>
              <w:rPr>
                <w:rFonts w:eastAsiaTheme="minorEastAsia"/>
                <w:sz w:val="21"/>
                <w:szCs w:val="21"/>
              </w:rPr>
              <w:t>大气污染物</w:t>
            </w:r>
          </w:p>
        </w:tc>
        <w:tc>
          <w:tcPr>
            <w:tcW w:w="882" w:type="dxa"/>
            <w:vAlign w:val="center"/>
          </w:tcPr>
          <w:p>
            <w:pPr>
              <w:snapToGrid w:val="0"/>
              <w:spacing w:line="280" w:lineRule="exact"/>
              <w:jc w:val="center"/>
              <w:rPr>
                <w:rFonts w:eastAsiaTheme="minorEastAsia"/>
                <w:sz w:val="21"/>
                <w:szCs w:val="21"/>
              </w:rPr>
            </w:pPr>
            <w:r>
              <w:rPr>
                <w:rFonts w:eastAsiaTheme="minorEastAsia"/>
                <w:sz w:val="21"/>
                <w:szCs w:val="21"/>
              </w:rPr>
              <w:t>精炼废气、连铸废气</w:t>
            </w:r>
          </w:p>
        </w:tc>
        <w:tc>
          <w:tcPr>
            <w:tcW w:w="5397" w:type="dxa"/>
            <w:vAlign w:val="center"/>
          </w:tcPr>
          <w:p>
            <w:pPr>
              <w:snapToGrid w:val="0"/>
              <w:spacing w:line="280" w:lineRule="exact"/>
              <w:rPr>
                <w:rFonts w:eastAsia="宋体"/>
                <w:sz w:val="21"/>
                <w:szCs w:val="21"/>
              </w:rPr>
            </w:pPr>
            <w:r>
              <w:rPr>
                <w:rFonts w:eastAsia="宋体"/>
                <w:sz w:val="21"/>
                <w:szCs w:val="21"/>
              </w:rPr>
              <w:t>LF炉精炼炉废气经炉顶盖收集后进入电炉除尘器主烟道、VD炉废气收集后经布袋除尘+旋风你除尘后直接接入电炉除尘器主烟道、连铸废气经收集后进入连铸布袋除尘器，除尘尾气进入电炉除尘器主烟道，经现有</w:t>
            </w:r>
            <w:r>
              <w:rPr>
                <w:rFonts w:eastAsia="宋体"/>
                <w:kern w:val="0"/>
                <w:sz w:val="21"/>
                <w:szCs w:val="21"/>
              </w:rPr>
              <w:t>换热型离线回转脉冲袋式除尘器除尘</w:t>
            </w:r>
            <w:r>
              <w:rPr>
                <w:rFonts w:eastAsia="宋体"/>
                <w:sz w:val="21"/>
                <w:szCs w:val="21"/>
              </w:rPr>
              <w:t>后通过现有30m高排气筒(DA001)排放</w:t>
            </w:r>
            <w:r>
              <w:rPr>
                <w:rFonts w:hint="eastAsia" w:eastAsiaTheme="minorEastAsia"/>
                <w:sz w:val="21"/>
                <w:szCs w:val="21"/>
              </w:rPr>
              <w:t>；</w:t>
            </w:r>
            <w:r>
              <w:rPr>
                <w:rFonts w:eastAsiaTheme="minorEastAsia"/>
                <w:sz w:val="21"/>
                <w:szCs w:val="21"/>
              </w:rPr>
              <w:t>项目实施后将对现有布袋</w:t>
            </w:r>
            <w:r>
              <w:rPr>
                <w:rFonts w:hint="eastAsia" w:eastAsiaTheme="minorEastAsia"/>
                <w:sz w:val="21"/>
                <w:szCs w:val="21"/>
              </w:rPr>
              <w:t>进行</w:t>
            </w:r>
            <w:r>
              <w:rPr>
                <w:rFonts w:eastAsiaTheme="minorEastAsia"/>
                <w:sz w:val="21"/>
                <w:szCs w:val="21"/>
              </w:rPr>
              <w:t>更换</w:t>
            </w:r>
            <w:r>
              <w:rPr>
                <w:rFonts w:hint="eastAsia" w:eastAsiaTheme="minorEastAsia"/>
                <w:sz w:val="21"/>
                <w:szCs w:val="21"/>
              </w:rPr>
              <w:t>，</w:t>
            </w:r>
            <w:r>
              <w:rPr>
                <w:rFonts w:eastAsiaTheme="minorEastAsia"/>
                <w:sz w:val="21"/>
                <w:szCs w:val="21"/>
              </w:rPr>
              <w:t>更换为覆膜滤料</w:t>
            </w:r>
            <w:r>
              <w:rPr>
                <w:rFonts w:hint="eastAsia" w:eastAsiaTheme="minorEastAsia"/>
                <w:sz w:val="21"/>
                <w:szCs w:val="21"/>
              </w:rPr>
              <w:t>布袋</w:t>
            </w:r>
            <w:r>
              <w:rPr>
                <w:rFonts w:eastAsiaTheme="minorEastAsia"/>
                <w:sz w:val="21"/>
                <w:szCs w:val="21"/>
              </w:rPr>
              <w:t>，以提高除尘效率（除尘效率不低于99.5%）</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符合</w:t>
            </w:r>
            <w:r>
              <w:rPr>
                <w:rFonts w:eastAsiaTheme="minorEastAsia"/>
                <w:sz w:val="21"/>
                <w:szCs w:val="21"/>
              </w:rPr>
              <w:t>炼钢工业大气污染物排放标准》（GB28664-2012）中表3的特别排放限值</w:t>
            </w:r>
            <w:r>
              <w:rPr>
                <w:rFonts w:hint="eastAsia" w:eastAsiaTheme="minorEastAsia"/>
                <w:sz w:val="21"/>
                <w:szCs w:val="21"/>
              </w:rPr>
              <w:t>、</w:t>
            </w:r>
            <w:r>
              <w:rPr>
                <w:rFonts w:eastAsiaTheme="minorEastAsia"/>
                <w:sz w:val="21"/>
                <w:szCs w:val="21"/>
              </w:rPr>
              <w:t>超低排放限值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napToGrid w:val="0"/>
              <w:spacing w:line="280" w:lineRule="exact"/>
              <w:jc w:val="center"/>
              <w:rPr>
                <w:rFonts w:eastAsiaTheme="minorEastAsia"/>
                <w:sz w:val="21"/>
                <w:szCs w:val="21"/>
              </w:rPr>
            </w:pPr>
          </w:p>
        </w:tc>
        <w:tc>
          <w:tcPr>
            <w:tcW w:w="882" w:type="dxa"/>
            <w:vAlign w:val="center"/>
          </w:tcPr>
          <w:p>
            <w:pPr>
              <w:snapToGrid w:val="0"/>
              <w:spacing w:line="280" w:lineRule="exact"/>
              <w:jc w:val="center"/>
              <w:rPr>
                <w:rFonts w:eastAsiaTheme="minorEastAsia"/>
                <w:sz w:val="21"/>
                <w:szCs w:val="21"/>
              </w:rPr>
            </w:pPr>
            <w:r>
              <w:rPr>
                <w:rFonts w:eastAsiaTheme="minorEastAsia"/>
                <w:sz w:val="21"/>
                <w:szCs w:val="21"/>
              </w:rPr>
              <w:t>天然气燃烧废气</w:t>
            </w:r>
          </w:p>
        </w:tc>
        <w:tc>
          <w:tcPr>
            <w:tcW w:w="5397" w:type="dxa"/>
            <w:vAlign w:val="center"/>
          </w:tcPr>
          <w:p>
            <w:pPr>
              <w:spacing w:line="280" w:lineRule="exact"/>
              <w:rPr>
                <w:rFonts w:eastAsiaTheme="minorEastAsia"/>
                <w:sz w:val="21"/>
                <w:szCs w:val="21"/>
              </w:rPr>
            </w:pPr>
            <w:r>
              <w:rPr>
                <w:rFonts w:eastAsiaTheme="minorEastAsia"/>
                <w:sz w:val="21"/>
                <w:szCs w:val="21"/>
              </w:rPr>
              <w:t>项目钢包烘烤采用天然气为燃料，天然气属于清洁能源，其产生的污染物</w:t>
            </w:r>
            <w:r>
              <w:rPr>
                <w:rFonts w:hint="eastAsia" w:eastAsiaTheme="minorEastAsia"/>
                <w:sz w:val="21"/>
                <w:szCs w:val="21"/>
              </w:rPr>
              <w:t>较少</w:t>
            </w:r>
            <w:r>
              <w:rPr>
                <w:rFonts w:eastAsiaTheme="minorEastAsia"/>
                <w:sz w:val="21"/>
                <w:szCs w:val="21"/>
              </w:rPr>
              <w:t>，均无组织排放</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rPr>
              <w:t>《大气污染物综合排放标准》（GB16297-1996）中新污染源二级排放标准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napToGrid w:val="0"/>
              <w:spacing w:line="280" w:lineRule="exact"/>
              <w:jc w:val="center"/>
              <w:rPr>
                <w:rFonts w:eastAsiaTheme="minorEastAsia"/>
                <w:sz w:val="21"/>
                <w:szCs w:val="21"/>
              </w:rPr>
            </w:pPr>
          </w:p>
        </w:tc>
        <w:tc>
          <w:tcPr>
            <w:tcW w:w="882" w:type="dxa"/>
            <w:vAlign w:val="center"/>
          </w:tcPr>
          <w:p>
            <w:pPr>
              <w:spacing w:line="280" w:lineRule="exact"/>
              <w:ind w:left="-141" w:leftChars="-50" w:right="-141" w:rightChars="-50"/>
              <w:jc w:val="center"/>
              <w:rPr>
                <w:rFonts w:eastAsiaTheme="minorEastAsia"/>
                <w:sz w:val="21"/>
                <w:szCs w:val="21"/>
              </w:rPr>
            </w:pPr>
            <w:r>
              <w:rPr>
                <w:rFonts w:eastAsiaTheme="minorEastAsia"/>
                <w:sz w:val="21"/>
                <w:szCs w:val="21"/>
              </w:rPr>
              <w:t>大气环境防护距离</w:t>
            </w:r>
          </w:p>
        </w:tc>
        <w:tc>
          <w:tcPr>
            <w:tcW w:w="5397" w:type="dxa"/>
            <w:vAlign w:val="center"/>
          </w:tcPr>
          <w:p>
            <w:pPr>
              <w:spacing w:line="280" w:lineRule="exact"/>
              <w:rPr>
                <w:rFonts w:eastAsiaTheme="minorEastAsia"/>
                <w:sz w:val="21"/>
                <w:szCs w:val="21"/>
              </w:rPr>
            </w:pPr>
            <w:r>
              <w:rPr>
                <w:rFonts w:eastAsiaTheme="minorEastAsia"/>
                <w:sz w:val="21"/>
                <w:szCs w:val="21"/>
              </w:rPr>
              <w:t>本项目无需设置大气环境防护距离</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napToGrid w:val="0"/>
              <w:spacing w:line="280" w:lineRule="exact"/>
              <w:jc w:val="center"/>
              <w:rPr>
                <w:rFonts w:eastAsiaTheme="minorEastAsia"/>
                <w:sz w:val="21"/>
                <w:szCs w:val="21"/>
              </w:rPr>
            </w:pPr>
          </w:p>
        </w:tc>
        <w:tc>
          <w:tcPr>
            <w:tcW w:w="882" w:type="dxa"/>
            <w:vAlign w:val="center"/>
          </w:tcPr>
          <w:p>
            <w:pPr>
              <w:spacing w:line="280" w:lineRule="exact"/>
              <w:jc w:val="center"/>
              <w:rPr>
                <w:rFonts w:eastAsiaTheme="minorEastAsia"/>
                <w:sz w:val="21"/>
                <w:szCs w:val="21"/>
              </w:rPr>
            </w:pPr>
            <w:r>
              <w:rPr>
                <w:rFonts w:eastAsiaTheme="minorEastAsia"/>
                <w:sz w:val="21"/>
                <w:szCs w:val="21"/>
              </w:rPr>
              <w:t>其它要求</w:t>
            </w:r>
          </w:p>
        </w:tc>
        <w:tc>
          <w:tcPr>
            <w:tcW w:w="5397" w:type="dxa"/>
            <w:vAlign w:val="center"/>
          </w:tcPr>
          <w:p>
            <w:pPr>
              <w:spacing w:line="280" w:lineRule="exact"/>
              <w:jc w:val="left"/>
              <w:rPr>
                <w:rFonts w:eastAsiaTheme="minorEastAsia"/>
                <w:sz w:val="21"/>
                <w:szCs w:val="21"/>
              </w:rPr>
            </w:pPr>
            <w:r>
              <w:rPr>
                <w:rFonts w:hint="eastAsia" w:eastAsiaTheme="minorEastAsia"/>
                <w:sz w:val="21"/>
                <w:szCs w:val="21"/>
              </w:rPr>
              <w:t>对连铸单元于中间罐拆包、火焰清理时产生的瞬时粉尘，由于瞬时粉尘产生时间较短，通过工位周边采取喷淋洒水抑尘措施进一步控制粉尘产生量，最大限度减少粉尘外逸</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restart"/>
            <w:vAlign w:val="center"/>
          </w:tcPr>
          <w:p>
            <w:pPr>
              <w:snapToGrid w:val="0"/>
              <w:spacing w:line="280" w:lineRule="exact"/>
              <w:jc w:val="center"/>
              <w:rPr>
                <w:rFonts w:eastAsiaTheme="minorEastAsia"/>
                <w:sz w:val="21"/>
                <w:szCs w:val="21"/>
              </w:rPr>
            </w:pPr>
            <w:r>
              <w:rPr>
                <w:rFonts w:eastAsiaTheme="minorEastAsia"/>
                <w:sz w:val="21"/>
                <w:szCs w:val="21"/>
              </w:rPr>
              <w:t>水污染物</w:t>
            </w:r>
          </w:p>
        </w:tc>
        <w:tc>
          <w:tcPr>
            <w:tcW w:w="882" w:type="dxa"/>
            <w:vAlign w:val="center"/>
          </w:tcPr>
          <w:p>
            <w:pPr>
              <w:snapToGrid w:val="0"/>
              <w:spacing w:line="280" w:lineRule="exact"/>
              <w:jc w:val="center"/>
              <w:rPr>
                <w:rFonts w:eastAsiaTheme="minorEastAsia"/>
                <w:sz w:val="21"/>
                <w:szCs w:val="21"/>
              </w:rPr>
            </w:pPr>
            <w:r>
              <w:rPr>
                <w:rFonts w:hint="eastAsia" w:eastAsiaTheme="minorEastAsia"/>
                <w:sz w:val="21"/>
                <w:szCs w:val="21"/>
              </w:rPr>
              <w:t>排水系统设置</w:t>
            </w:r>
          </w:p>
        </w:tc>
        <w:tc>
          <w:tcPr>
            <w:tcW w:w="5397" w:type="dxa"/>
            <w:vAlign w:val="center"/>
          </w:tcPr>
          <w:p>
            <w:pPr>
              <w:snapToGrid w:val="0"/>
              <w:spacing w:line="280" w:lineRule="exact"/>
              <w:jc w:val="left"/>
              <w:rPr>
                <w:rFonts w:eastAsiaTheme="minorEastAsia"/>
                <w:sz w:val="21"/>
                <w:szCs w:val="21"/>
              </w:rPr>
            </w:pPr>
            <w:r>
              <w:rPr>
                <w:rFonts w:hint="eastAsia" w:eastAsiaTheme="minorEastAsia"/>
                <w:sz w:val="21"/>
                <w:szCs w:val="21"/>
              </w:rPr>
              <w:t>炼钢一厂厂区排水系统按照雨污分流的原则设计：一为雨水系统，厂区雨水进入市政雨水管网直接外排；二为污水系统，本项目不新增生活污水，厂区现有生活污水经化粪池处理后排入凤凰污水处理厂处理。三为冷却水处理系统，厂区净环水排放水</w:t>
            </w:r>
            <w:r>
              <w:rPr>
                <w:rFonts w:eastAsiaTheme="minorEastAsia"/>
                <w:sz w:val="21"/>
                <w:szCs w:val="21"/>
              </w:rPr>
              <w:t>作为浊环水系统的补充水，浊环水经隔油</w:t>
            </w:r>
            <w:r>
              <w:rPr>
                <w:rFonts w:hint="eastAsia" w:eastAsiaTheme="minorEastAsia"/>
                <w:sz w:val="21"/>
                <w:szCs w:val="21"/>
              </w:rPr>
              <w:t>+沉淀+过滤+冷却</w:t>
            </w:r>
            <w:r>
              <w:rPr>
                <w:rFonts w:eastAsiaTheme="minorEastAsia"/>
                <w:sz w:val="21"/>
                <w:szCs w:val="21"/>
              </w:rPr>
              <w:t>后循环使用，不排放。</w:t>
            </w:r>
          </w:p>
        </w:tc>
        <w:tc>
          <w:tcPr>
            <w:tcW w:w="1967" w:type="dxa"/>
            <w:vMerge w:val="restart"/>
            <w:shd w:val="clear" w:color="auto" w:fill="auto"/>
            <w:vAlign w:val="center"/>
          </w:tcPr>
          <w:p>
            <w:pPr>
              <w:snapToGrid w:val="0"/>
              <w:spacing w:line="280" w:lineRule="exact"/>
              <w:jc w:val="center"/>
              <w:rPr>
                <w:rFonts w:eastAsiaTheme="minorEastAsia"/>
                <w:sz w:val="21"/>
                <w:szCs w:val="21"/>
                <w:lang w:val="zh-CN"/>
              </w:rPr>
            </w:pPr>
            <w:r>
              <w:rPr>
                <w:rFonts w:eastAsiaTheme="minorEastAsia"/>
                <w:sz w:val="21"/>
                <w:szCs w:val="21"/>
                <w:lang w:val="zh-CN"/>
              </w:rPr>
              <w:t>符合环保规范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napToGrid w:val="0"/>
              <w:spacing w:line="280" w:lineRule="exact"/>
              <w:jc w:val="center"/>
              <w:rPr>
                <w:rFonts w:eastAsiaTheme="minorEastAsia"/>
                <w:sz w:val="21"/>
                <w:szCs w:val="21"/>
              </w:rPr>
            </w:pPr>
          </w:p>
        </w:tc>
        <w:tc>
          <w:tcPr>
            <w:tcW w:w="882" w:type="dxa"/>
            <w:vAlign w:val="center"/>
          </w:tcPr>
          <w:p>
            <w:pPr>
              <w:snapToGrid w:val="0"/>
              <w:spacing w:line="300" w:lineRule="exact"/>
              <w:rPr>
                <w:rFonts w:eastAsiaTheme="minorEastAsia"/>
                <w:sz w:val="21"/>
                <w:szCs w:val="21"/>
              </w:rPr>
            </w:pPr>
            <w:r>
              <w:rPr>
                <w:rFonts w:hint="eastAsia" w:eastAsiaTheme="minorEastAsia"/>
                <w:sz w:val="21"/>
                <w:szCs w:val="21"/>
              </w:rPr>
              <w:t>冷却水处理方案</w:t>
            </w:r>
          </w:p>
        </w:tc>
        <w:tc>
          <w:tcPr>
            <w:tcW w:w="5397" w:type="dxa"/>
            <w:vAlign w:val="center"/>
          </w:tcPr>
          <w:p>
            <w:pPr>
              <w:pStyle w:val="4"/>
              <w:spacing w:line="300" w:lineRule="exact"/>
              <w:ind w:firstLine="0"/>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生产用水分为净水循环系统、浊水循环系统2 个相互独立的循环系统。</w:t>
            </w:r>
          </w:p>
          <w:p>
            <w:pPr>
              <w:pStyle w:val="4"/>
              <w:spacing w:line="300" w:lineRule="exact"/>
              <w:ind w:firstLine="0"/>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净循环水用于工艺设备的间接冷却，经冷却塔降温后循环使用，净环水排水补充浊环水系统。</w:t>
            </w:r>
          </w:p>
          <w:p>
            <w:pPr>
              <w:pStyle w:val="4"/>
              <w:spacing w:line="300" w:lineRule="exact"/>
              <w:ind w:firstLine="0"/>
              <w:rPr>
                <w:rFonts w:ascii="Times New Roman" w:hAnsi="Times New Roman" w:cs="Times New Roman" w:eastAsiaTheme="minorEastAsia"/>
                <w:spacing w:val="0"/>
                <w:sz w:val="21"/>
                <w:szCs w:val="21"/>
              </w:rPr>
            </w:pPr>
            <w:r>
              <w:rPr>
                <w:rFonts w:hint="eastAsia" w:ascii="Times New Roman" w:hAnsi="Times New Roman" w:cs="Times New Roman" w:eastAsiaTheme="minorEastAsia"/>
                <w:spacing w:val="0"/>
                <w:sz w:val="21"/>
                <w:szCs w:val="21"/>
              </w:rPr>
              <w:t>浊循环水主要为冲氧化铁皮水等设备直接冷却水，其特点是含有大量的氧化铁皮和油，且温度较高。针对排放的浊循环水，采用隔油+多级沉淀池过滤后再经冷却后循环使用，浊环水处理系统处理规模</w:t>
            </w:r>
            <w:r>
              <w:rPr>
                <w:rFonts w:ascii="Times New Roman" w:hAnsi="Times New Roman" w:cs="Times New Roman" w:eastAsiaTheme="minorEastAsia"/>
                <w:spacing w:val="0"/>
                <w:sz w:val="21"/>
                <w:szCs w:val="21"/>
              </w:rPr>
              <w:t>7</w:t>
            </w:r>
            <w:r>
              <w:rPr>
                <w:rFonts w:hint="eastAsia" w:ascii="Times New Roman" w:hAnsi="Times New Roman" w:cs="Times New Roman" w:eastAsiaTheme="minorEastAsia"/>
                <w:spacing w:val="0"/>
                <w:sz w:val="21"/>
                <w:szCs w:val="21"/>
              </w:rPr>
              <w:t>0m</w:t>
            </w:r>
            <w:r>
              <w:rPr>
                <w:rFonts w:hint="eastAsia" w:ascii="Times New Roman" w:hAnsi="Times New Roman" w:cs="Times New Roman" w:eastAsiaTheme="minorEastAsia"/>
                <w:spacing w:val="0"/>
                <w:sz w:val="21"/>
                <w:szCs w:val="21"/>
                <w:vertAlign w:val="superscript"/>
              </w:rPr>
              <w:t>3</w:t>
            </w:r>
            <w:r>
              <w:rPr>
                <w:rFonts w:hint="eastAsia" w:ascii="Times New Roman" w:hAnsi="Times New Roman" w:cs="Times New Roman" w:eastAsiaTheme="minorEastAsia"/>
                <w:spacing w:val="0"/>
                <w:sz w:val="21"/>
                <w:szCs w:val="21"/>
              </w:rPr>
              <w:t>/h。</w:t>
            </w:r>
          </w:p>
          <w:p>
            <w:pPr>
              <w:snapToGrid w:val="0"/>
              <w:spacing w:line="300" w:lineRule="exact"/>
              <w:rPr>
                <w:rFonts w:eastAsiaTheme="minorEastAsia"/>
                <w:sz w:val="21"/>
                <w:szCs w:val="21"/>
              </w:rPr>
            </w:pPr>
            <w:r>
              <w:rPr>
                <w:rFonts w:hint="eastAsia" w:eastAsiaTheme="minorEastAsia"/>
                <w:sz w:val="21"/>
                <w:szCs w:val="21"/>
              </w:rPr>
              <w:t>通过以上循环使用，可以做到“以清补净，以净补浊”，大大提高了水的循环使用率，降低了新鲜水耗量，从而实现生产废水零排放</w:t>
            </w:r>
          </w:p>
        </w:tc>
        <w:tc>
          <w:tcPr>
            <w:tcW w:w="1967" w:type="dxa"/>
            <w:vMerge w:val="continue"/>
            <w:shd w:val="clear" w:color="auto" w:fill="auto"/>
            <w:vAlign w:val="center"/>
          </w:tcPr>
          <w:p>
            <w:pPr>
              <w:snapToGrid w:val="0"/>
              <w:spacing w:line="280" w:lineRule="exact"/>
              <w:jc w:val="center"/>
              <w:rPr>
                <w:rFonts w:eastAsiaTheme="minorEastAsia"/>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521" w:type="dxa"/>
            <w:vAlign w:val="center"/>
          </w:tcPr>
          <w:p>
            <w:pPr>
              <w:spacing w:line="280" w:lineRule="exact"/>
              <w:jc w:val="center"/>
              <w:rPr>
                <w:rFonts w:eastAsiaTheme="minorEastAsia"/>
                <w:sz w:val="21"/>
                <w:szCs w:val="21"/>
              </w:rPr>
            </w:pPr>
            <w:r>
              <w:rPr>
                <w:rFonts w:eastAsiaTheme="minorEastAsia"/>
                <w:sz w:val="21"/>
                <w:szCs w:val="21"/>
              </w:rPr>
              <w:t>地下水</w:t>
            </w:r>
          </w:p>
        </w:tc>
        <w:tc>
          <w:tcPr>
            <w:tcW w:w="882" w:type="dxa"/>
            <w:vAlign w:val="center"/>
          </w:tcPr>
          <w:p>
            <w:pPr>
              <w:spacing w:line="280" w:lineRule="exact"/>
              <w:jc w:val="center"/>
              <w:rPr>
                <w:rFonts w:eastAsiaTheme="minorEastAsia"/>
                <w:sz w:val="21"/>
                <w:szCs w:val="21"/>
              </w:rPr>
            </w:pPr>
            <w:r>
              <w:rPr>
                <w:rFonts w:eastAsiaTheme="minorEastAsia"/>
                <w:sz w:val="21"/>
                <w:szCs w:val="21"/>
              </w:rPr>
              <w:t>地下水防护</w:t>
            </w:r>
          </w:p>
        </w:tc>
        <w:tc>
          <w:tcPr>
            <w:tcW w:w="5397" w:type="dxa"/>
            <w:vAlign w:val="center"/>
          </w:tcPr>
          <w:p>
            <w:pPr>
              <w:spacing w:line="280" w:lineRule="exact"/>
              <w:rPr>
                <w:rFonts w:eastAsiaTheme="minorEastAsia"/>
                <w:sz w:val="21"/>
                <w:szCs w:val="21"/>
              </w:rPr>
            </w:pPr>
            <w:r>
              <w:rPr>
                <w:rFonts w:eastAsiaTheme="minorEastAsia"/>
                <w:sz w:val="21"/>
                <w:szCs w:val="21"/>
              </w:rPr>
              <w:t>根据厂区天然包气带防污性能、污染控制难易程度及污染物特性，将厂区划分为重点防渗区、一般防渗区和简单防渗区。其中危险废物暂存库为重点防渗区，净环水系统、浊环水系统、一般废物暂存库和其它仓库均为一般防渗区，其他区域(厂区道路、配电房、水泵房、警卫室等)为简单防渗区。</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Align w:val="center"/>
          </w:tcPr>
          <w:p>
            <w:pPr>
              <w:spacing w:line="280" w:lineRule="exact"/>
              <w:jc w:val="center"/>
              <w:rPr>
                <w:rFonts w:eastAsiaTheme="minorEastAsia"/>
                <w:sz w:val="21"/>
                <w:szCs w:val="21"/>
              </w:rPr>
            </w:pPr>
            <w:r>
              <w:rPr>
                <w:rFonts w:eastAsiaTheme="minorEastAsia"/>
                <w:sz w:val="21"/>
                <w:szCs w:val="21"/>
              </w:rPr>
              <w:t>噪  声</w:t>
            </w:r>
          </w:p>
        </w:tc>
        <w:tc>
          <w:tcPr>
            <w:tcW w:w="882" w:type="dxa"/>
            <w:vAlign w:val="center"/>
          </w:tcPr>
          <w:p>
            <w:pPr>
              <w:spacing w:line="280" w:lineRule="exact"/>
              <w:jc w:val="center"/>
              <w:rPr>
                <w:rFonts w:eastAsiaTheme="minorEastAsia"/>
                <w:sz w:val="21"/>
                <w:szCs w:val="21"/>
              </w:rPr>
            </w:pPr>
            <w:r>
              <w:rPr>
                <w:rFonts w:eastAsiaTheme="minorEastAsia"/>
                <w:sz w:val="21"/>
                <w:szCs w:val="21"/>
              </w:rPr>
              <w:t>机械设备噪声</w:t>
            </w:r>
          </w:p>
        </w:tc>
        <w:tc>
          <w:tcPr>
            <w:tcW w:w="5397" w:type="dxa"/>
            <w:vAlign w:val="center"/>
          </w:tcPr>
          <w:p>
            <w:pPr>
              <w:pStyle w:val="4"/>
              <w:spacing w:line="280" w:lineRule="exact"/>
              <w:ind w:firstLine="0"/>
              <w:jc w:val="lef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1、根据拟建项目噪声源特征，在设计和设备采购阶段，充分选用先进的低噪设备，从声源上降低设备本身噪声。</w:t>
            </w:r>
          </w:p>
          <w:p>
            <w:pPr>
              <w:pStyle w:val="4"/>
              <w:spacing w:line="280" w:lineRule="exact"/>
              <w:ind w:firstLine="0"/>
              <w:jc w:val="lef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2、强声源设备采用减振、消声、隔音措施。</w:t>
            </w:r>
          </w:p>
          <w:p>
            <w:pPr>
              <w:pStyle w:val="4"/>
              <w:spacing w:line="280" w:lineRule="exact"/>
              <w:ind w:firstLine="0"/>
              <w:jc w:val="lef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3、加强设备的维护，确保设备处于良好的运转状态，杜绝因设备不正常运转时产生的高噪声现象。</w:t>
            </w:r>
          </w:p>
          <w:p>
            <w:pPr>
              <w:pStyle w:val="4"/>
              <w:spacing w:line="280" w:lineRule="exact"/>
              <w:ind w:firstLine="0"/>
              <w:jc w:val="lef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4、厂区内合理布局，将高噪音设备车间尽量置于厂区中部位置，减少对厂界噪声的影响。在噪声较大的岗位设置隔声值班室，以保护操作工人的身体健康。</w:t>
            </w:r>
          </w:p>
          <w:p>
            <w:pPr>
              <w:pStyle w:val="4"/>
              <w:spacing w:line="280" w:lineRule="exact"/>
              <w:ind w:firstLine="0"/>
              <w:jc w:val="left"/>
              <w:rPr>
                <w:rFonts w:ascii="Times New Roman" w:hAnsi="Times New Roman" w:cs="Times New Roman" w:eastAsiaTheme="minorEastAsia"/>
                <w:spacing w:val="0"/>
                <w:sz w:val="21"/>
                <w:szCs w:val="21"/>
              </w:rPr>
            </w:pPr>
            <w:r>
              <w:rPr>
                <w:rFonts w:ascii="Times New Roman" w:hAnsi="Times New Roman" w:cs="Times New Roman" w:eastAsiaTheme="minorEastAsia"/>
                <w:spacing w:val="0"/>
                <w:sz w:val="21"/>
                <w:szCs w:val="21"/>
              </w:rPr>
              <w:t>5、在工程设计、设备选型、管线设计、隔声消声设计时要严格按照《工业企业噪声控制设计规范》（GBJ87-85）的要求进行，严把工程质量关</w:t>
            </w:r>
          </w:p>
          <w:p>
            <w:pPr>
              <w:spacing w:line="280" w:lineRule="exact"/>
              <w:jc w:val="left"/>
              <w:rPr>
                <w:rFonts w:eastAsiaTheme="minorEastAsia"/>
                <w:sz w:val="21"/>
                <w:szCs w:val="21"/>
              </w:rPr>
            </w:pPr>
            <w:r>
              <w:rPr>
                <w:rFonts w:eastAsiaTheme="minorEastAsia"/>
                <w:sz w:val="21"/>
                <w:szCs w:val="21"/>
              </w:rPr>
              <w:t>6、搞好整个厂区的绿化，努力营造绿色屏障，既美化环境又能减轻声污染</w:t>
            </w:r>
          </w:p>
        </w:tc>
        <w:tc>
          <w:tcPr>
            <w:tcW w:w="1967" w:type="dxa"/>
            <w:shd w:val="clear" w:color="auto" w:fill="auto"/>
            <w:vAlign w:val="center"/>
          </w:tcPr>
          <w:p>
            <w:pPr>
              <w:snapToGrid w:val="0"/>
              <w:spacing w:line="280" w:lineRule="exact"/>
              <w:jc w:val="center"/>
              <w:rPr>
                <w:rFonts w:eastAsiaTheme="minorEastAsia"/>
                <w:sz w:val="21"/>
                <w:szCs w:val="21"/>
                <w:lang w:val="zh-CN" w:eastAsia="zh-CN"/>
              </w:rPr>
            </w:pPr>
            <w:r>
              <w:rPr>
                <w:rFonts w:eastAsiaTheme="minorEastAsia"/>
                <w:sz w:val="21"/>
                <w:szCs w:val="21"/>
                <w:lang w:val="zh-CN" w:eastAsia="zh-CN"/>
              </w:rPr>
              <w:t>符合《工业企业厂界环境噪声排放标准》</w:t>
            </w:r>
            <w:r>
              <w:rPr>
                <w:rFonts w:eastAsiaTheme="minorEastAsia"/>
                <w:sz w:val="21"/>
                <w:szCs w:val="21"/>
              </w:rPr>
              <w:t>（GB12348-2008）</w:t>
            </w:r>
            <w:r>
              <w:rPr>
                <w:rFonts w:eastAsiaTheme="minorEastAsia"/>
                <w:sz w:val="21"/>
                <w:szCs w:val="21"/>
                <w:lang w:val="zh-CN" w:eastAsia="zh-CN"/>
              </w:rPr>
              <w:t>3</w:t>
            </w:r>
            <w:r>
              <w:rPr>
                <w:rFonts w:eastAsiaTheme="minorEastAsia"/>
                <w:sz w:val="21"/>
                <w:szCs w:val="21"/>
                <w:lang w:val="zh-CN"/>
              </w:rPr>
              <w:t>、</w:t>
            </w:r>
            <w:r>
              <w:rPr>
                <w:rFonts w:hint="eastAsia" w:eastAsiaTheme="minorEastAsia"/>
                <w:sz w:val="21"/>
                <w:szCs w:val="21"/>
                <w:lang w:val="zh-CN"/>
              </w:rPr>
              <w:t>4</w:t>
            </w:r>
            <w:r>
              <w:rPr>
                <w:rFonts w:eastAsiaTheme="minorEastAsia"/>
                <w:sz w:val="21"/>
                <w:szCs w:val="21"/>
                <w:lang w:val="zh-CN"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restart"/>
            <w:vAlign w:val="center"/>
          </w:tcPr>
          <w:p>
            <w:pPr>
              <w:spacing w:line="280" w:lineRule="exact"/>
              <w:jc w:val="center"/>
              <w:rPr>
                <w:rFonts w:eastAsiaTheme="minorEastAsia"/>
                <w:sz w:val="21"/>
                <w:szCs w:val="21"/>
              </w:rPr>
            </w:pPr>
            <w:r>
              <w:rPr>
                <w:rFonts w:eastAsiaTheme="minorEastAsia"/>
                <w:sz w:val="21"/>
                <w:szCs w:val="21"/>
              </w:rPr>
              <w:t>固体废物</w:t>
            </w:r>
          </w:p>
          <w:p>
            <w:pPr>
              <w:spacing w:line="280" w:lineRule="exact"/>
              <w:jc w:val="center"/>
              <w:rPr>
                <w:rFonts w:eastAsiaTheme="minorEastAsia"/>
                <w:sz w:val="21"/>
                <w:szCs w:val="21"/>
              </w:rPr>
            </w:pPr>
            <w:r>
              <w:rPr>
                <w:rFonts w:eastAsiaTheme="minorEastAsia"/>
                <w:sz w:val="21"/>
                <w:szCs w:val="21"/>
                <w:lang w:val="zh-CN" w:eastAsia="zh-CN"/>
              </w:rPr>
              <w:br w:type="page"/>
            </w:r>
            <w:r>
              <w:rPr>
                <w:rFonts w:eastAsiaTheme="minorEastAsia"/>
                <w:sz w:val="21"/>
                <w:szCs w:val="21"/>
              </w:rPr>
              <w:t xml:space="preserve"> </w:t>
            </w:r>
          </w:p>
        </w:tc>
        <w:tc>
          <w:tcPr>
            <w:tcW w:w="882" w:type="dxa"/>
            <w:vAlign w:val="center"/>
          </w:tcPr>
          <w:p>
            <w:pPr>
              <w:spacing w:line="280" w:lineRule="exact"/>
              <w:jc w:val="center"/>
              <w:rPr>
                <w:rFonts w:eastAsiaTheme="minorEastAsia"/>
                <w:sz w:val="21"/>
                <w:szCs w:val="21"/>
              </w:rPr>
            </w:pPr>
            <w:r>
              <w:rPr>
                <w:rFonts w:eastAsiaTheme="minorEastAsia"/>
                <w:sz w:val="21"/>
                <w:szCs w:val="21"/>
              </w:rPr>
              <w:t>固废收集</w:t>
            </w:r>
          </w:p>
        </w:tc>
        <w:tc>
          <w:tcPr>
            <w:tcW w:w="5397" w:type="dxa"/>
            <w:vAlign w:val="center"/>
          </w:tcPr>
          <w:p>
            <w:pPr>
              <w:spacing w:line="280" w:lineRule="exact"/>
              <w:jc w:val="left"/>
              <w:rPr>
                <w:rFonts w:eastAsiaTheme="minorEastAsia"/>
                <w:sz w:val="21"/>
                <w:szCs w:val="21"/>
              </w:rPr>
            </w:pPr>
            <w:r>
              <w:rPr>
                <w:rFonts w:eastAsiaTheme="minorEastAsia"/>
                <w:sz w:val="21"/>
                <w:szCs w:val="21"/>
              </w:rPr>
              <w:t>建立固体废物分类收集制度，固体废物应按危险废物、一般固废分类收集，同时应将生活垃圾与工业固废进行分类收集。</w:t>
            </w:r>
          </w:p>
        </w:tc>
        <w:tc>
          <w:tcPr>
            <w:tcW w:w="1967" w:type="dxa"/>
            <w:vMerge w:val="restart"/>
            <w:vAlign w:val="center"/>
          </w:tcPr>
          <w:p>
            <w:pPr>
              <w:snapToGrid w:val="0"/>
              <w:spacing w:line="280" w:lineRule="exact"/>
              <w:jc w:val="center"/>
              <w:rPr>
                <w:rFonts w:eastAsiaTheme="minorEastAsia"/>
                <w:sz w:val="21"/>
                <w:szCs w:val="21"/>
                <w:lang w:val="zh-CN" w:eastAsia="zh-CN"/>
              </w:rPr>
            </w:pPr>
            <w:r>
              <w:rPr>
                <w:rFonts w:eastAsiaTheme="minorEastAsia"/>
                <w:sz w:val="21"/>
                <w:szCs w:val="21"/>
              </w:rPr>
              <w:t>《一般工业固体废物贮存、处置场污染物控制标准》(GB18599-2001)及修改单、《危险废物贮存污染控制标准》(GB18597-2001)及修改单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pacing w:line="280" w:lineRule="exact"/>
              <w:jc w:val="center"/>
              <w:rPr>
                <w:rFonts w:eastAsiaTheme="minorEastAsia"/>
                <w:sz w:val="21"/>
                <w:szCs w:val="21"/>
              </w:rPr>
            </w:pPr>
          </w:p>
        </w:tc>
        <w:tc>
          <w:tcPr>
            <w:tcW w:w="882" w:type="dxa"/>
            <w:vAlign w:val="center"/>
          </w:tcPr>
          <w:p>
            <w:pPr>
              <w:spacing w:line="280" w:lineRule="exact"/>
              <w:jc w:val="center"/>
              <w:rPr>
                <w:rFonts w:eastAsiaTheme="minorEastAsia"/>
                <w:sz w:val="21"/>
                <w:szCs w:val="21"/>
              </w:rPr>
            </w:pPr>
            <w:r>
              <w:rPr>
                <w:rFonts w:eastAsiaTheme="minorEastAsia"/>
                <w:sz w:val="21"/>
                <w:szCs w:val="21"/>
              </w:rPr>
              <w:t>固废暂存</w:t>
            </w:r>
          </w:p>
        </w:tc>
        <w:tc>
          <w:tcPr>
            <w:tcW w:w="5397" w:type="dxa"/>
            <w:vAlign w:val="center"/>
          </w:tcPr>
          <w:p>
            <w:pPr>
              <w:spacing w:line="300" w:lineRule="exact"/>
              <w:jc w:val="left"/>
              <w:rPr>
                <w:rFonts w:eastAsia="宋体"/>
                <w:sz w:val="21"/>
                <w:szCs w:val="21"/>
              </w:rPr>
            </w:pPr>
            <w:r>
              <w:rPr>
                <w:rFonts w:hint="eastAsia" w:eastAsia="宋体"/>
                <w:sz w:val="21"/>
                <w:szCs w:val="21"/>
              </w:rPr>
              <w:t>1、</w:t>
            </w:r>
            <w:r>
              <w:rPr>
                <w:rFonts w:eastAsia="宋体"/>
                <w:sz w:val="21"/>
                <w:szCs w:val="21"/>
              </w:rPr>
              <w:t>一般固废暂存间：氧化铁皮仓库位于炼钢一厂东侧，有效库容为150</w:t>
            </w:r>
            <w:r>
              <w:rPr>
                <w:rFonts w:hint="eastAsia" w:eastAsiaTheme="minorEastAsia"/>
                <w:sz w:val="21"/>
                <w:szCs w:val="21"/>
              </w:rPr>
              <w:t xml:space="preserve"> m</w:t>
            </w:r>
            <w:r>
              <w:rPr>
                <w:rFonts w:hint="eastAsia" w:eastAsiaTheme="minorEastAsia"/>
                <w:sz w:val="21"/>
                <w:szCs w:val="21"/>
                <w:vertAlign w:val="superscript"/>
              </w:rPr>
              <w:t>3</w:t>
            </w:r>
            <w:r>
              <w:rPr>
                <w:rFonts w:eastAsia="宋体"/>
                <w:sz w:val="21"/>
                <w:szCs w:val="21"/>
              </w:rPr>
              <w:t>，主要临时暂存氧化铁皮、切割渣、砂轮片；废耐火材料仓库位于炼钢一厂内，总有效库容200</w:t>
            </w:r>
            <w:r>
              <w:rPr>
                <w:rFonts w:hint="eastAsia" w:eastAsiaTheme="minorEastAsia"/>
                <w:sz w:val="21"/>
                <w:szCs w:val="21"/>
              </w:rPr>
              <w:t xml:space="preserve"> m</w:t>
            </w:r>
            <w:r>
              <w:rPr>
                <w:rFonts w:hint="eastAsia" w:eastAsiaTheme="minorEastAsia"/>
                <w:sz w:val="21"/>
                <w:szCs w:val="21"/>
                <w:vertAlign w:val="superscript"/>
              </w:rPr>
              <w:t>3</w:t>
            </w:r>
            <w:r>
              <w:rPr>
                <w:rFonts w:eastAsia="宋体"/>
                <w:sz w:val="21"/>
                <w:szCs w:val="21"/>
              </w:rPr>
              <w:t>，主要存放各种耐火材料；钢渣(炉渣)仓库位于危险总仓库东侧，有效库容230</w:t>
            </w:r>
            <w:r>
              <w:rPr>
                <w:rFonts w:hint="eastAsia" w:eastAsiaTheme="minorEastAsia"/>
                <w:sz w:val="21"/>
                <w:szCs w:val="21"/>
              </w:rPr>
              <w:t xml:space="preserve"> m</w:t>
            </w:r>
            <w:r>
              <w:rPr>
                <w:rFonts w:hint="eastAsia" w:eastAsiaTheme="minorEastAsia"/>
                <w:sz w:val="21"/>
                <w:szCs w:val="21"/>
                <w:vertAlign w:val="superscript"/>
              </w:rPr>
              <w:t>3</w:t>
            </w:r>
            <w:r>
              <w:rPr>
                <w:rFonts w:eastAsia="宋体"/>
                <w:sz w:val="21"/>
                <w:szCs w:val="21"/>
              </w:rPr>
              <w:t>，主要用于贮存铸余渣</w:t>
            </w:r>
          </w:p>
          <w:p>
            <w:pPr>
              <w:spacing w:line="300" w:lineRule="exact"/>
              <w:jc w:val="left"/>
              <w:rPr>
                <w:rFonts w:eastAsiaTheme="minorEastAsia"/>
                <w:sz w:val="21"/>
                <w:szCs w:val="21"/>
              </w:rPr>
            </w:pPr>
            <w:r>
              <w:rPr>
                <w:rFonts w:eastAsia="宋体"/>
                <w:sz w:val="21"/>
                <w:szCs w:val="21"/>
              </w:rPr>
              <w:t>2、危险废物暂存间：炼钢一厂除尘灰仓库位于布袋除尘器西侧，</w:t>
            </w:r>
            <w:r>
              <w:rPr>
                <w:rFonts w:hint="eastAsia" w:eastAsia="宋体"/>
                <w:sz w:val="21"/>
                <w:szCs w:val="21"/>
              </w:rPr>
              <w:t>有效库容90</w:t>
            </w:r>
            <w:r>
              <w:rPr>
                <w:rFonts w:hint="eastAsia" w:eastAsiaTheme="minorEastAsia"/>
                <w:sz w:val="21"/>
                <w:szCs w:val="21"/>
              </w:rPr>
              <w:t xml:space="preserve"> m</w:t>
            </w:r>
            <w:r>
              <w:rPr>
                <w:rFonts w:hint="eastAsia" w:eastAsiaTheme="minorEastAsia"/>
                <w:sz w:val="21"/>
                <w:szCs w:val="21"/>
                <w:vertAlign w:val="superscript"/>
              </w:rPr>
              <w:t>3</w:t>
            </w:r>
            <w:r>
              <w:rPr>
                <w:rFonts w:hint="eastAsia" w:eastAsiaTheme="minorEastAsia"/>
                <w:sz w:val="21"/>
                <w:szCs w:val="21"/>
              </w:rPr>
              <w:t>，</w:t>
            </w:r>
            <w:r>
              <w:rPr>
                <w:rFonts w:eastAsia="宋体"/>
                <w:sz w:val="21"/>
                <w:szCs w:val="21"/>
              </w:rPr>
              <w:t>用于贮存布袋除尘器收集灰；危废总仓库位于厂区西侧</w:t>
            </w:r>
            <w:r>
              <w:rPr>
                <w:rFonts w:hint="eastAsia" w:eastAsia="宋体"/>
                <w:sz w:val="21"/>
                <w:szCs w:val="21"/>
              </w:rPr>
              <w:t>，</w:t>
            </w:r>
            <w:r>
              <w:rPr>
                <w:rFonts w:eastAsia="宋体"/>
                <w:sz w:val="21"/>
                <w:szCs w:val="21"/>
              </w:rPr>
              <w:t>有效库容</w:t>
            </w:r>
            <w:r>
              <w:rPr>
                <w:rFonts w:hint="eastAsia" w:eastAsia="宋体"/>
                <w:sz w:val="21"/>
                <w:szCs w:val="21"/>
              </w:rPr>
              <w:t>2195</w:t>
            </w:r>
            <w:r>
              <w:rPr>
                <w:rFonts w:hint="eastAsia" w:eastAsiaTheme="minorEastAsia"/>
                <w:sz w:val="21"/>
                <w:szCs w:val="21"/>
              </w:rPr>
              <w:t xml:space="preserve"> m</w:t>
            </w:r>
            <w:r>
              <w:rPr>
                <w:rFonts w:hint="eastAsia" w:eastAsiaTheme="minorEastAsia"/>
                <w:sz w:val="21"/>
                <w:szCs w:val="21"/>
                <w:vertAlign w:val="superscript"/>
              </w:rPr>
              <w:t>3</w:t>
            </w:r>
            <w:r>
              <w:rPr>
                <w:rFonts w:eastAsia="宋体"/>
                <w:sz w:val="21"/>
                <w:szCs w:val="21"/>
              </w:rPr>
              <w:t>，用于贮存废润滑油、废油、废包装桶</w:t>
            </w:r>
          </w:p>
        </w:tc>
        <w:tc>
          <w:tcPr>
            <w:tcW w:w="1967" w:type="dxa"/>
            <w:vMerge w:val="continue"/>
            <w:vAlign w:val="center"/>
          </w:tcPr>
          <w:p>
            <w:pPr>
              <w:snapToGrid w:val="0"/>
              <w:spacing w:line="280" w:lineRule="exact"/>
              <w:jc w:val="center"/>
              <w:rPr>
                <w:rFonts w:eastAsiaTheme="minorEastAsia"/>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1" w:type="dxa"/>
            <w:vMerge w:val="continue"/>
            <w:vAlign w:val="center"/>
          </w:tcPr>
          <w:p>
            <w:pPr>
              <w:spacing w:line="280" w:lineRule="exact"/>
              <w:jc w:val="center"/>
              <w:rPr>
                <w:rFonts w:eastAsiaTheme="minorEastAsia"/>
                <w:sz w:val="21"/>
                <w:szCs w:val="21"/>
              </w:rPr>
            </w:pPr>
          </w:p>
        </w:tc>
        <w:tc>
          <w:tcPr>
            <w:tcW w:w="882" w:type="dxa"/>
            <w:vAlign w:val="center"/>
          </w:tcPr>
          <w:p>
            <w:pPr>
              <w:spacing w:line="280" w:lineRule="exact"/>
              <w:jc w:val="center"/>
              <w:rPr>
                <w:rFonts w:eastAsiaTheme="minorEastAsia"/>
                <w:sz w:val="21"/>
                <w:szCs w:val="21"/>
              </w:rPr>
            </w:pPr>
            <w:r>
              <w:rPr>
                <w:rFonts w:eastAsiaTheme="minorEastAsia"/>
                <w:sz w:val="21"/>
                <w:szCs w:val="21"/>
              </w:rPr>
              <w:t>固废处置</w:t>
            </w:r>
          </w:p>
        </w:tc>
        <w:tc>
          <w:tcPr>
            <w:tcW w:w="5397" w:type="dxa"/>
            <w:vAlign w:val="center"/>
          </w:tcPr>
          <w:p>
            <w:pPr>
              <w:spacing w:line="280" w:lineRule="exact"/>
              <w:jc w:val="left"/>
              <w:rPr>
                <w:rFonts w:eastAsiaTheme="minorEastAsia"/>
                <w:sz w:val="21"/>
                <w:szCs w:val="21"/>
              </w:rPr>
            </w:pPr>
            <w:r>
              <w:rPr>
                <w:rFonts w:eastAsiaTheme="minorEastAsia"/>
                <w:sz w:val="21"/>
                <w:szCs w:val="21"/>
              </w:rPr>
              <w:t>1、项目一般废包装材料、废耐火材料等出售给回收公司综合利用</w:t>
            </w:r>
          </w:p>
          <w:p>
            <w:pPr>
              <w:spacing w:line="280" w:lineRule="exact"/>
              <w:jc w:val="left"/>
              <w:rPr>
                <w:rFonts w:eastAsiaTheme="minorEastAsia"/>
                <w:sz w:val="21"/>
                <w:szCs w:val="21"/>
              </w:rPr>
            </w:pPr>
            <w:r>
              <w:rPr>
                <w:rFonts w:eastAsiaTheme="minorEastAsia"/>
                <w:sz w:val="21"/>
                <w:szCs w:val="21"/>
              </w:rPr>
              <w:t>2、废包装桶/袋、布袋除尘器除尘灰、废润滑油等危险废物收集暂存后委托有资质单位进行处置。</w:t>
            </w:r>
          </w:p>
        </w:tc>
        <w:tc>
          <w:tcPr>
            <w:tcW w:w="1967" w:type="dxa"/>
            <w:vMerge w:val="continue"/>
            <w:vAlign w:val="center"/>
          </w:tcPr>
          <w:p>
            <w:pPr>
              <w:snapToGrid w:val="0"/>
              <w:spacing w:line="280" w:lineRule="exact"/>
              <w:jc w:val="center"/>
              <w:rPr>
                <w:rFonts w:eastAsiaTheme="minorEastAsia"/>
                <w:sz w:val="21"/>
                <w:szCs w:val="21"/>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3" w:type="dxa"/>
            <w:gridSpan w:val="2"/>
            <w:vAlign w:val="center"/>
          </w:tcPr>
          <w:p>
            <w:pPr>
              <w:spacing w:line="280" w:lineRule="exact"/>
              <w:jc w:val="center"/>
              <w:rPr>
                <w:rFonts w:eastAsiaTheme="minorEastAsia"/>
                <w:sz w:val="21"/>
                <w:szCs w:val="21"/>
              </w:rPr>
            </w:pPr>
            <w:r>
              <w:rPr>
                <w:rFonts w:eastAsiaTheme="minorEastAsia"/>
                <w:sz w:val="21"/>
                <w:szCs w:val="21"/>
              </w:rPr>
              <w:t>其它</w:t>
            </w:r>
          </w:p>
        </w:tc>
        <w:tc>
          <w:tcPr>
            <w:tcW w:w="5397" w:type="dxa"/>
            <w:vAlign w:val="center"/>
          </w:tcPr>
          <w:p>
            <w:pPr>
              <w:spacing w:line="280" w:lineRule="exact"/>
              <w:jc w:val="left"/>
              <w:rPr>
                <w:rFonts w:eastAsiaTheme="minorEastAsia"/>
                <w:sz w:val="21"/>
                <w:szCs w:val="21"/>
              </w:rPr>
            </w:pPr>
            <w:r>
              <w:rPr>
                <w:rFonts w:eastAsiaTheme="minorEastAsia"/>
                <w:sz w:val="21"/>
                <w:szCs w:val="21"/>
              </w:rPr>
              <w:t>1、</w:t>
            </w:r>
            <w:r>
              <w:rPr>
                <w:rFonts w:hint="eastAsia" w:eastAsiaTheme="minorEastAsia"/>
                <w:sz w:val="21"/>
                <w:szCs w:val="21"/>
              </w:rPr>
              <w:t>更新</w:t>
            </w:r>
            <w:r>
              <w:rPr>
                <w:rFonts w:eastAsiaTheme="minorEastAsia"/>
                <w:sz w:val="21"/>
                <w:szCs w:val="21"/>
              </w:rPr>
              <w:t>企业</w:t>
            </w:r>
            <w:r>
              <w:rPr>
                <w:rFonts w:hint="eastAsia" w:eastAsiaTheme="minorEastAsia"/>
                <w:sz w:val="21"/>
                <w:szCs w:val="21"/>
              </w:rPr>
              <w:t>现有</w:t>
            </w:r>
            <w:r>
              <w:rPr>
                <w:rFonts w:eastAsiaTheme="minorEastAsia"/>
                <w:sz w:val="21"/>
                <w:szCs w:val="21"/>
              </w:rPr>
              <w:t>突发环境事件应急预案并定期进行演练。2、制定相关环保规章制度。3、建立相关的废水、废气、固废等台账，并按要求填写。4、按要求配置监测人员、仪器，制定监测方案，并按要求进行监测。</w:t>
            </w:r>
          </w:p>
        </w:tc>
        <w:tc>
          <w:tcPr>
            <w:tcW w:w="1967" w:type="dxa"/>
            <w:vAlign w:val="center"/>
          </w:tcPr>
          <w:p>
            <w:pPr>
              <w:spacing w:line="280" w:lineRule="exact"/>
              <w:jc w:val="center"/>
              <w:rPr>
                <w:rFonts w:eastAsiaTheme="minorEastAsia"/>
                <w:sz w:val="21"/>
                <w:szCs w:val="21"/>
              </w:rPr>
            </w:pPr>
            <w:r>
              <w:rPr>
                <w:rFonts w:eastAsiaTheme="minorEastAsia"/>
                <w:sz w:val="21"/>
                <w:szCs w:val="21"/>
              </w:rPr>
              <w:t>符合环保要求</w:t>
            </w:r>
          </w:p>
        </w:tc>
      </w:tr>
    </w:tbl>
    <w:p>
      <w:pPr>
        <w:spacing w:line="480" w:lineRule="exact"/>
        <w:ind w:firstLine="486" w:firstLineChars="200"/>
        <w:rPr>
          <w:rFonts w:eastAsiaTheme="minorEastAsia"/>
          <w:bCs/>
          <w:sz w:val="24"/>
          <w:szCs w:val="24"/>
        </w:rPr>
        <w:sectPr>
          <w:footerReference r:id="rId15" w:type="default"/>
          <w:pgSz w:w="11907" w:h="16840"/>
          <w:pgMar w:top="1644" w:right="1406" w:bottom="1701" w:left="1157" w:header="964" w:footer="964" w:gutter="567"/>
          <w:pgNumType w:fmt="numberInDash"/>
          <w:cols w:space="720" w:num="1"/>
          <w:docGrid w:type="linesAndChars" w:linePitch="421" w:charSpace="640"/>
        </w:sectPr>
      </w:pPr>
    </w:p>
    <w:p>
      <w:pPr>
        <w:pStyle w:val="2"/>
        <w:numPr>
          <w:ilvl w:val="0"/>
          <w:numId w:val="1"/>
        </w:numPr>
      </w:pPr>
      <w:bookmarkStart w:id="244" w:name="_Toc10637177"/>
      <w:r>
        <w:t>环境影响经济损益分析</w:t>
      </w:r>
      <w:bookmarkEnd w:id="244"/>
    </w:p>
    <w:p>
      <w:pPr>
        <w:pStyle w:val="3"/>
        <w:numPr>
          <w:ilvl w:val="1"/>
          <w:numId w:val="24"/>
        </w:numPr>
        <w:tabs>
          <w:tab w:val="clear" w:pos="567"/>
        </w:tabs>
        <w:rPr>
          <w:rFonts w:ascii="Times New Roman" w:hAnsi="Times New Roman"/>
        </w:rPr>
      </w:pPr>
      <w:bookmarkStart w:id="245" w:name="_Toc10637178"/>
      <w:bookmarkStart w:id="246" w:name="_Toc511116320"/>
      <w:r>
        <w:rPr>
          <w:rFonts w:ascii="Times New Roman" w:hAnsi="Times New Roman"/>
        </w:rPr>
        <w:t>环保投入估算</w:t>
      </w:r>
      <w:bookmarkEnd w:id="245"/>
      <w:bookmarkEnd w:id="246"/>
    </w:p>
    <w:p>
      <w:pPr>
        <w:pStyle w:val="835"/>
        <w:numPr>
          <w:ilvl w:val="0"/>
          <w:numId w:val="30"/>
        </w:numPr>
        <w:adjustRightInd w:val="0"/>
        <w:snapToGrid w:val="0"/>
        <w:spacing w:line="440" w:lineRule="exact"/>
        <w:ind w:firstLineChars="0"/>
        <w:rPr>
          <w:rFonts w:ascii="Times New Roman" w:hAnsi="Times New Roman"/>
        </w:rPr>
      </w:pPr>
      <w:r>
        <w:rPr>
          <w:rFonts w:ascii="Times New Roman" w:hAnsi="Times New Roman"/>
        </w:rPr>
        <w:t>环境保护措施及设施的建设费用</w:t>
      </w:r>
    </w:p>
    <w:p>
      <w:pPr>
        <w:pStyle w:val="4"/>
        <w:spacing w:line="440" w:lineRule="exact"/>
        <w:ind w:firstLine="489"/>
        <w:rPr>
          <w:rFonts w:ascii="Times New Roman" w:hAnsi="Times New Roman" w:cs="Times New Roman"/>
          <w:spacing w:val="0"/>
        </w:rPr>
      </w:pPr>
      <w:r>
        <w:rPr>
          <w:rFonts w:ascii="Times New Roman" w:hAnsi="Times New Roman" w:cs="Times New Roman"/>
          <w:spacing w:val="0"/>
        </w:rPr>
        <w:t>根据工程分析，项目投产后会产生一定量的“三废”污染物。因此，企业在项目建设过程中必须考虑投入一定的经费进行环保治理，以改善企业职工的劳动条件和降低对环境的影响。环保投入估算如下表。</w:t>
      </w:r>
    </w:p>
    <w:p>
      <w:pPr>
        <w:pStyle w:val="313"/>
        <w:tabs>
          <w:tab w:val="clear" w:pos="3908"/>
        </w:tabs>
        <w:ind w:left="1122" w:hanging="561"/>
        <w:rPr>
          <w:rFonts w:ascii="Times New Roman" w:hAnsi="Times New Roman"/>
        </w:rPr>
      </w:pPr>
      <w:r>
        <w:rPr>
          <w:rFonts w:ascii="Times New Roman" w:hAnsi="Times New Roman"/>
        </w:rPr>
        <w:t>项目环保投资估算</w:t>
      </w:r>
    </w:p>
    <w:tbl>
      <w:tblPr>
        <w:tblStyle w:val="87"/>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542"/>
        <w:gridCol w:w="1134"/>
        <w:gridCol w:w="3969"/>
        <w:gridCol w:w="98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序号</w:t>
            </w:r>
          </w:p>
        </w:tc>
        <w:tc>
          <w:tcPr>
            <w:tcW w:w="542" w:type="dxa"/>
            <w:shd w:val="clear" w:color="auto" w:fill="auto"/>
            <w:vAlign w:val="center"/>
          </w:tcPr>
          <w:p>
            <w:pPr>
              <w:spacing w:line="300" w:lineRule="exact"/>
              <w:jc w:val="center"/>
              <w:rPr>
                <w:rFonts w:eastAsiaTheme="minorEastAsia"/>
                <w:sz w:val="21"/>
                <w:szCs w:val="21"/>
              </w:rPr>
            </w:pPr>
            <w:r>
              <w:rPr>
                <w:rFonts w:eastAsiaTheme="minorEastAsia"/>
                <w:sz w:val="21"/>
                <w:szCs w:val="21"/>
              </w:rPr>
              <w:t>时段</w:t>
            </w: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污染物</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环保投资项目</w:t>
            </w:r>
          </w:p>
        </w:tc>
        <w:tc>
          <w:tcPr>
            <w:tcW w:w="980" w:type="dxa"/>
            <w:shd w:val="clear" w:color="auto" w:fill="auto"/>
            <w:vAlign w:val="center"/>
          </w:tcPr>
          <w:p>
            <w:pPr>
              <w:spacing w:line="300" w:lineRule="exact"/>
              <w:jc w:val="center"/>
              <w:rPr>
                <w:rFonts w:eastAsiaTheme="minorEastAsia"/>
                <w:sz w:val="21"/>
                <w:szCs w:val="21"/>
              </w:rPr>
            </w:pPr>
            <w:r>
              <w:rPr>
                <w:rFonts w:eastAsiaTheme="minorEastAsia"/>
                <w:sz w:val="21"/>
                <w:szCs w:val="21"/>
              </w:rPr>
              <w:t>一次性（万元）</w:t>
            </w:r>
          </w:p>
        </w:tc>
        <w:tc>
          <w:tcPr>
            <w:tcW w:w="1140" w:type="dxa"/>
            <w:vAlign w:val="center"/>
          </w:tcPr>
          <w:p>
            <w:pPr>
              <w:spacing w:line="300" w:lineRule="exact"/>
              <w:jc w:val="center"/>
              <w:rPr>
                <w:rFonts w:eastAsiaTheme="minorEastAsia"/>
                <w:sz w:val="21"/>
                <w:szCs w:val="21"/>
              </w:rPr>
            </w:pPr>
            <w:r>
              <w:rPr>
                <w:rFonts w:eastAsiaTheme="minorEastAsia"/>
                <w:sz w:val="21"/>
                <w:szCs w:val="21"/>
              </w:rPr>
              <w:t>运行费用</w:t>
            </w:r>
            <w:r>
              <w:rPr>
                <w:rFonts w:hint="eastAsia" w:eastAsiaTheme="minorEastAsia"/>
                <w:sz w:val="21"/>
                <w:szCs w:val="21"/>
              </w:rPr>
              <w:t>(</w:t>
            </w:r>
            <w:r>
              <w:rPr>
                <w:rFonts w:eastAsiaTheme="minorEastAsia"/>
                <w:sz w:val="21"/>
                <w:szCs w:val="21"/>
              </w:rPr>
              <w:t>万元/年</w:t>
            </w:r>
            <w:r>
              <w:rPr>
                <w:rFonts w:hint="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1</w:t>
            </w:r>
          </w:p>
        </w:tc>
        <w:tc>
          <w:tcPr>
            <w:tcW w:w="542"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施工期</w:t>
            </w: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扬尘</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道路、运输车辆及施工场地喷洒等</w:t>
            </w:r>
          </w:p>
        </w:tc>
        <w:tc>
          <w:tcPr>
            <w:tcW w:w="980" w:type="dxa"/>
            <w:shd w:val="clear" w:color="auto" w:fill="auto"/>
            <w:vAlign w:val="center"/>
          </w:tcPr>
          <w:p>
            <w:pPr>
              <w:spacing w:line="300" w:lineRule="exact"/>
              <w:jc w:val="center"/>
              <w:rPr>
                <w:rFonts w:eastAsiaTheme="minorEastAsia"/>
                <w:sz w:val="21"/>
                <w:szCs w:val="21"/>
              </w:rPr>
            </w:pPr>
            <w:r>
              <w:rPr>
                <w:rFonts w:eastAsiaTheme="minorEastAsia"/>
                <w:sz w:val="21"/>
                <w:szCs w:val="21"/>
              </w:rPr>
              <w:t>4</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2</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废水</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沉砂池等</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4</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3</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噪声</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围护设备</w:t>
            </w:r>
          </w:p>
        </w:tc>
        <w:tc>
          <w:tcPr>
            <w:tcW w:w="980" w:type="dxa"/>
            <w:shd w:val="clear" w:color="auto" w:fill="auto"/>
            <w:vAlign w:val="center"/>
          </w:tcPr>
          <w:p>
            <w:pPr>
              <w:spacing w:line="300" w:lineRule="exact"/>
              <w:jc w:val="center"/>
              <w:rPr>
                <w:rFonts w:eastAsiaTheme="minorEastAsia"/>
                <w:sz w:val="21"/>
                <w:szCs w:val="21"/>
              </w:rPr>
            </w:pPr>
            <w:r>
              <w:rPr>
                <w:rFonts w:eastAsiaTheme="minorEastAsia"/>
                <w:sz w:val="21"/>
                <w:szCs w:val="21"/>
              </w:rPr>
              <w:t>3</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4</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固体废物</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生活垃圾</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5</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vMerge w:val="continue"/>
            <w:shd w:val="clear" w:color="auto" w:fill="auto"/>
            <w:vAlign w:val="center"/>
          </w:tcPr>
          <w:p>
            <w:pPr>
              <w:spacing w:line="300" w:lineRule="exact"/>
              <w:jc w:val="center"/>
              <w:rPr>
                <w:rFonts w:eastAsiaTheme="minorEastAsia"/>
                <w:sz w:val="21"/>
                <w:szCs w:val="21"/>
              </w:rPr>
            </w:pP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工程渣土</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5</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6</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水土保持</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工程措施和生态措施等</w:t>
            </w:r>
          </w:p>
        </w:tc>
        <w:tc>
          <w:tcPr>
            <w:tcW w:w="980" w:type="dxa"/>
            <w:shd w:val="clear" w:color="auto" w:fill="auto"/>
            <w:vAlign w:val="center"/>
          </w:tcPr>
          <w:p>
            <w:pPr>
              <w:spacing w:line="300" w:lineRule="exact"/>
              <w:jc w:val="center"/>
              <w:rPr>
                <w:rFonts w:eastAsiaTheme="minorEastAsia"/>
                <w:sz w:val="21"/>
                <w:szCs w:val="21"/>
              </w:rPr>
            </w:pPr>
            <w:r>
              <w:rPr>
                <w:rFonts w:eastAsiaTheme="minorEastAsia"/>
                <w:sz w:val="21"/>
                <w:szCs w:val="21"/>
              </w:rPr>
              <w:t>1</w:t>
            </w:r>
          </w:p>
        </w:tc>
        <w:tc>
          <w:tcPr>
            <w:tcW w:w="1140" w:type="dxa"/>
            <w:vAlign w:val="center"/>
          </w:tcPr>
          <w:p>
            <w:pPr>
              <w:spacing w:line="300" w:lineRule="exact"/>
              <w:jc w:val="center"/>
              <w:rPr>
                <w:rFonts w:eastAsiaTheme="minorEastAsia"/>
                <w:sz w:val="21"/>
                <w:szCs w:val="21"/>
              </w:rPr>
            </w:pPr>
            <w:r>
              <w:rPr>
                <w:rFonts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7</w:t>
            </w:r>
          </w:p>
        </w:tc>
        <w:tc>
          <w:tcPr>
            <w:tcW w:w="542"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运</w:t>
            </w:r>
          </w:p>
          <w:p>
            <w:pPr>
              <w:spacing w:line="300" w:lineRule="exact"/>
              <w:jc w:val="center"/>
              <w:rPr>
                <w:rFonts w:eastAsiaTheme="minorEastAsia"/>
                <w:sz w:val="21"/>
                <w:szCs w:val="21"/>
              </w:rPr>
            </w:pPr>
            <w:r>
              <w:rPr>
                <w:rFonts w:eastAsiaTheme="minorEastAsia"/>
                <w:sz w:val="21"/>
                <w:szCs w:val="21"/>
              </w:rPr>
              <w:t>营</w:t>
            </w:r>
          </w:p>
          <w:p>
            <w:pPr>
              <w:spacing w:line="300" w:lineRule="exact"/>
              <w:jc w:val="center"/>
              <w:rPr>
                <w:rFonts w:eastAsiaTheme="minorEastAsia"/>
                <w:sz w:val="21"/>
                <w:szCs w:val="21"/>
              </w:rPr>
            </w:pPr>
            <w:r>
              <w:rPr>
                <w:rFonts w:eastAsiaTheme="minorEastAsia"/>
                <w:sz w:val="21"/>
                <w:szCs w:val="21"/>
              </w:rPr>
              <w:t>期</w:t>
            </w:r>
          </w:p>
        </w:tc>
        <w:tc>
          <w:tcPr>
            <w:tcW w:w="1134" w:type="dxa"/>
            <w:vMerge w:val="restart"/>
            <w:shd w:val="clear" w:color="auto" w:fill="auto"/>
            <w:vAlign w:val="center"/>
          </w:tcPr>
          <w:p>
            <w:pPr>
              <w:spacing w:line="300" w:lineRule="exact"/>
              <w:jc w:val="center"/>
              <w:rPr>
                <w:rFonts w:eastAsiaTheme="minorEastAsia"/>
                <w:sz w:val="21"/>
                <w:szCs w:val="21"/>
              </w:rPr>
            </w:pPr>
            <w:r>
              <w:rPr>
                <w:rFonts w:eastAsiaTheme="minorEastAsia"/>
                <w:sz w:val="21"/>
                <w:szCs w:val="21"/>
              </w:rPr>
              <w:t>废气</w:t>
            </w:r>
          </w:p>
        </w:tc>
        <w:tc>
          <w:tcPr>
            <w:tcW w:w="3969" w:type="dxa"/>
            <w:shd w:val="clear" w:color="auto" w:fill="auto"/>
            <w:vAlign w:val="center"/>
          </w:tcPr>
          <w:p>
            <w:pPr>
              <w:pStyle w:val="574"/>
              <w:spacing w:line="300" w:lineRule="exact"/>
              <w:rPr>
                <w:rFonts w:ascii="Times New Roman" w:eastAsiaTheme="minorEastAsia"/>
                <w:szCs w:val="21"/>
              </w:rPr>
            </w:pPr>
            <w:r>
              <w:rPr>
                <w:rFonts w:hint="eastAsia" w:ascii="Times New Roman" w:eastAsiaTheme="minorEastAsia"/>
                <w:szCs w:val="21"/>
              </w:rPr>
              <w:t>连铸废气收集装置、</w:t>
            </w:r>
            <w:r>
              <w:rPr>
                <w:rFonts w:ascii="Times New Roman" w:eastAsiaTheme="minorEastAsia"/>
                <w:szCs w:val="21"/>
              </w:rPr>
              <w:t>连铸布袋除尘器</w:t>
            </w:r>
          </w:p>
        </w:tc>
        <w:tc>
          <w:tcPr>
            <w:tcW w:w="980" w:type="dxa"/>
            <w:shd w:val="clear" w:color="auto" w:fill="auto"/>
            <w:vAlign w:val="center"/>
          </w:tcPr>
          <w:p>
            <w:pPr>
              <w:pStyle w:val="574"/>
              <w:spacing w:line="300" w:lineRule="exact"/>
              <w:rPr>
                <w:rFonts w:ascii="Times New Roman" w:eastAsiaTheme="minorEastAsia"/>
                <w:szCs w:val="21"/>
              </w:rPr>
            </w:pPr>
            <w:r>
              <w:rPr>
                <w:rFonts w:ascii="Times New Roman" w:eastAsiaTheme="minorEastAsia"/>
                <w:szCs w:val="21"/>
              </w:rPr>
              <w:t>28</w:t>
            </w:r>
          </w:p>
        </w:tc>
        <w:tc>
          <w:tcPr>
            <w:tcW w:w="1140" w:type="dxa"/>
            <w:vAlign w:val="center"/>
          </w:tcPr>
          <w:p>
            <w:pPr>
              <w:pStyle w:val="574"/>
              <w:spacing w:line="300" w:lineRule="exact"/>
              <w:rPr>
                <w:rFonts w:ascii="Times New Roman" w:eastAsiaTheme="minorEastAsia"/>
                <w:szCs w:val="21"/>
              </w:rPr>
            </w:pPr>
            <w:r>
              <w:rPr>
                <w:rFonts w:ascii="Times New Roman"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vMerge w:val="continue"/>
            <w:shd w:val="clear" w:color="auto" w:fill="auto"/>
            <w:vAlign w:val="center"/>
          </w:tcPr>
          <w:p>
            <w:pPr>
              <w:spacing w:line="300" w:lineRule="exact"/>
              <w:jc w:val="center"/>
              <w:rPr>
                <w:rFonts w:eastAsiaTheme="minorEastAsia"/>
                <w:sz w:val="21"/>
                <w:szCs w:val="21"/>
              </w:rPr>
            </w:pPr>
          </w:p>
        </w:tc>
        <w:tc>
          <w:tcPr>
            <w:tcW w:w="3969" w:type="dxa"/>
            <w:shd w:val="clear" w:color="auto" w:fill="auto"/>
            <w:vAlign w:val="center"/>
          </w:tcPr>
          <w:p>
            <w:pPr>
              <w:pStyle w:val="574"/>
              <w:spacing w:line="300" w:lineRule="exact"/>
              <w:rPr>
                <w:rFonts w:ascii="Times New Roman" w:eastAsiaTheme="minorEastAsia"/>
                <w:szCs w:val="21"/>
              </w:rPr>
            </w:pPr>
            <w:r>
              <w:rPr>
                <w:rFonts w:hint="eastAsia" w:ascii="Times New Roman" w:eastAsiaTheme="minorEastAsia"/>
                <w:szCs w:val="21"/>
              </w:rPr>
              <w:t>VD炉废气</w:t>
            </w:r>
            <w:r>
              <w:rPr>
                <w:rFonts w:ascii="Times New Roman" w:eastAsiaTheme="minorEastAsia"/>
                <w:szCs w:val="21"/>
              </w:rPr>
              <w:t>布袋除尘器</w:t>
            </w:r>
            <w:r>
              <w:rPr>
                <w:rFonts w:hint="eastAsia" w:ascii="Times New Roman" w:eastAsiaTheme="minorEastAsia"/>
                <w:szCs w:val="21"/>
              </w:rPr>
              <w:t>+旋风除尘器</w:t>
            </w:r>
          </w:p>
        </w:tc>
        <w:tc>
          <w:tcPr>
            <w:tcW w:w="980" w:type="dxa"/>
            <w:shd w:val="clear" w:color="auto" w:fill="auto"/>
            <w:vAlign w:val="center"/>
          </w:tcPr>
          <w:p>
            <w:pPr>
              <w:pStyle w:val="574"/>
              <w:spacing w:line="300" w:lineRule="exact"/>
              <w:rPr>
                <w:rFonts w:ascii="Times New Roman" w:eastAsiaTheme="minorEastAsia"/>
                <w:szCs w:val="21"/>
              </w:rPr>
            </w:pPr>
            <w:r>
              <w:rPr>
                <w:rFonts w:ascii="Times New Roman" w:eastAsiaTheme="minorEastAsia"/>
                <w:szCs w:val="21"/>
              </w:rPr>
              <w:t>72</w:t>
            </w:r>
          </w:p>
        </w:tc>
        <w:tc>
          <w:tcPr>
            <w:tcW w:w="1140" w:type="dxa"/>
            <w:vAlign w:val="center"/>
          </w:tcPr>
          <w:p>
            <w:pPr>
              <w:pStyle w:val="574"/>
              <w:spacing w:line="300" w:lineRule="exact"/>
              <w:rPr>
                <w:rFonts w:ascii="Times New Roman" w:eastAsiaTheme="minorEastAsia"/>
                <w:szCs w:val="21"/>
              </w:rPr>
            </w:pPr>
            <w:r>
              <w:rPr>
                <w:rFonts w:ascii="Times New Roman"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8</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vMerge w:val="continue"/>
            <w:shd w:val="clear" w:color="auto" w:fill="auto"/>
            <w:vAlign w:val="center"/>
          </w:tcPr>
          <w:p>
            <w:pPr>
              <w:spacing w:line="300" w:lineRule="exact"/>
              <w:jc w:val="center"/>
              <w:rPr>
                <w:rFonts w:eastAsiaTheme="minorEastAsia"/>
                <w:sz w:val="21"/>
                <w:szCs w:val="21"/>
              </w:rPr>
            </w:pPr>
          </w:p>
        </w:tc>
        <w:tc>
          <w:tcPr>
            <w:tcW w:w="3969" w:type="dxa"/>
            <w:shd w:val="clear" w:color="auto" w:fill="auto"/>
            <w:vAlign w:val="center"/>
          </w:tcPr>
          <w:p>
            <w:pPr>
              <w:pStyle w:val="574"/>
              <w:spacing w:line="300" w:lineRule="exact"/>
              <w:rPr>
                <w:rFonts w:ascii="Times New Roman" w:eastAsiaTheme="minorEastAsia"/>
                <w:szCs w:val="21"/>
              </w:rPr>
            </w:pPr>
            <w:r>
              <w:rPr>
                <w:rFonts w:hint="eastAsia" w:ascii="Times New Roman" w:eastAsiaTheme="minorEastAsia"/>
                <w:szCs w:val="21"/>
              </w:rPr>
              <w:t>现有布袋除尘器更换布袋</w:t>
            </w:r>
          </w:p>
        </w:tc>
        <w:tc>
          <w:tcPr>
            <w:tcW w:w="980" w:type="dxa"/>
            <w:shd w:val="clear" w:color="auto" w:fill="auto"/>
            <w:vAlign w:val="center"/>
          </w:tcPr>
          <w:p>
            <w:pPr>
              <w:pStyle w:val="574"/>
              <w:spacing w:line="300" w:lineRule="exact"/>
              <w:rPr>
                <w:rFonts w:ascii="Times New Roman" w:eastAsiaTheme="minorEastAsia"/>
                <w:szCs w:val="21"/>
              </w:rPr>
            </w:pPr>
            <w:r>
              <w:rPr>
                <w:rFonts w:ascii="Times New Roman" w:eastAsiaTheme="minorEastAsia"/>
                <w:szCs w:val="21"/>
              </w:rPr>
              <w:t>60</w:t>
            </w:r>
          </w:p>
        </w:tc>
        <w:tc>
          <w:tcPr>
            <w:tcW w:w="1140" w:type="dxa"/>
            <w:vAlign w:val="center"/>
          </w:tcPr>
          <w:p>
            <w:pPr>
              <w:pStyle w:val="574"/>
              <w:spacing w:line="300" w:lineRule="exact"/>
              <w:rPr>
                <w:rFonts w:ascii="Times New Roman" w:eastAsiaTheme="minorEastAsia"/>
                <w:szCs w:val="21"/>
              </w:rPr>
            </w:pPr>
            <w:r>
              <w:rPr>
                <w:rFonts w:ascii="Times New Roman"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eastAsiaTheme="minorEastAsia"/>
                <w:sz w:val="21"/>
                <w:szCs w:val="21"/>
              </w:rPr>
              <w:t>12</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废水</w:t>
            </w:r>
          </w:p>
        </w:tc>
        <w:tc>
          <w:tcPr>
            <w:tcW w:w="3969" w:type="dxa"/>
            <w:shd w:val="clear" w:color="auto" w:fill="auto"/>
            <w:vAlign w:val="center"/>
          </w:tcPr>
          <w:p>
            <w:pPr>
              <w:pStyle w:val="574"/>
              <w:spacing w:line="300" w:lineRule="exact"/>
              <w:rPr>
                <w:rFonts w:ascii="Times New Roman" w:eastAsiaTheme="minorEastAsia"/>
                <w:szCs w:val="21"/>
              </w:rPr>
            </w:pPr>
            <w:r>
              <w:rPr>
                <w:rFonts w:hint="eastAsia" w:ascii="Times New Roman" w:eastAsiaTheme="minorEastAsia"/>
                <w:szCs w:val="21"/>
              </w:rPr>
              <w:t>净环水循环水系统</w:t>
            </w:r>
            <w:r>
              <w:rPr>
                <w:rFonts w:ascii="Times New Roman" w:eastAsiaTheme="minorEastAsia"/>
                <w:szCs w:val="21"/>
              </w:rPr>
              <w:t>（1套）</w:t>
            </w:r>
            <w:r>
              <w:rPr>
                <w:rFonts w:hint="eastAsia" w:ascii="Times New Roman" w:eastAsiaTheme="minorEastAsia"/>
                <w:szCs w:val="21"/>
              </w:rPr>
              <w:t>、浊环水循环系统</w:t>
            </w:r>
            <w:r>
              <w:rPr>
                <w:rFonts w:ascii="Times New Roman" w:eastAsiaTheme="minorEastAsia"/>
                <w:szCs w:val="21"/>
              </w:rPr>
              <w:t>（1套）</w:t>
            </w:r>
          </w:p>
        </w:tc>
        <w:tc>
          <w:tcPr>
            <w:tcW w:w="980" w:type="dxa"/>
            <w:shd w:val="clear" w:color="auto" w:fill="auto"/>
            <w:vAlign w:val="center"/>
          </w:tcPr>
          <w:p>
            <w:pPr>
              <w:pStyle w:val="574"/>
              <w:spacing w:line="300" w:lineRule="exact"/>
              <w:rPr>
                <w:rFonts w:ascii="Times New Roman" w:eastAsiaTheme="minorEastAsia"/>
                <w:szCs w:val="21"/>
              </w:rPr>
            </w:pPr>
            <w:r>
              <w:rPr>
                <w:rFonts w:ascii="Times New Roman" w:eastAsiaTheme="minorEastAsia"/>
                <w:szCs w:val="21"/>
              </w:rPr>
              <w:t>228</w:t>
            </w:r>
          </w:p>
        </w:tc>
        <w:tc>
          <w:tcPr>
            <w:tcW w:w="1140" w:type="dxa"/>
            <w:vAlign w:val="center"/>
          </w:tcPr>
          <w:p>
            <w:pPr>
              <w:pStyle w:val="574"/>
              <w:spacing w:line="300" w:lineRule="exact"/>
              <w:rPr>
                <w:rFonts w:ascii="Times New Roman" w:eastAsiaTheme="minorEastAsia"/>
                <w:szCs w:val="21"/>
              </w:rPr>
            </w:pPr>
            <w:r>
              <w:rPr>
                <w:rFonts w:ascii="Times New Roman" w:eastAsiaTheme="minorEastAsia"/>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13</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固废</w:t>
            </w:r>
          </w:p>
        </w:tc>
        <w:tc>
          <w:tcPr>
            <w:tcW w:w="3969" w:type="dxa"/>
            <w:shd w:val="clear" w:color="auto" w:fill="auto"/>
            <w:vAlign w:val="center"/>
          </w:tcPr>
          <w:p>
            <w:pPr>
              <w:pStyle w:val="574"/>
              <w:spacing w:line="300" w:lineRule="exact"/>
              <w:rPr>
                <w:rFonts w:ascii="Times New Roman" w:eastAsiaTheme="minorEastAsia"/>
                <w:szCs w:val="21"/>
              </w:rPr>
            </w:pPr>
            <w:r>
              <w:rPr>
                <w:rFonts w:ascii="Times New Roman" w:eastAsiaTheme="minorEastAsia"/>
                <w:szCs w:val="21"/>
              </w:rPr>
              <w:t>固废库地面防腐、防渗处理、危险固废委托处理</w:t>
            </w:r>
          </w:p>
        </w:tc>
        <w:tc>
          <w:tcPr>
            <w:tcW w:w="980" w:type="dxa"/>
            <w:shd w:val="clear" w:color="auto" w:fill="auto"/>
            <w:vAlign w:val="center"/>
          </w:tcPr>
          <w:p>
            <w:pPr>
              <w:pStyle w:val="574"/>
              <w:spacing w:line="300" w:lineRule="exact"/>
              <w:rPr>
                <w:rFonts w:ascii="Times New Roman" w:eastAsiaTheme="minorEastAsia"/>
                <w:szCs w:val="21"/>
              </w:rPr>
            </w:pPr>
            <w:r>
              <w:rPr>
                <w:rFonts w:hint="eastAsia" w:ascii="Times New Roman" w:eastAsiaTheme="minorEastAsia"/>
                <w:szCs w:val="21"/>
              </w:rPr>
              <w:t>10</w:t>
            </w:r>
          </w:p>
        </w:tc>
        <w:tc>
          <w:tcPr>
            <w:tcW w:w="1140" w:type="dxa"/>
            <w:vAlign w:val="center"/>
          </w:tcPr>
          <w:p>
            <w:pPr>
              <w:pStyle w:val="574"/>
              <w:spacing w:line="300" w:lineRule="exact"/>
              <w:rPr>
                <w:rFonts w:ascii="Times New Roman" w:eastAsiaTheme="minorEastAsia"/>
                <w:szCs w:val="21"/>
              </w:rPr>
            </w:pPr>
            <w:r>
              <w:rPr>
                <w:rFonts w:hint="eastAsia" w:ascii="Times New Roman" w:eastAsiaTheme="minor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14</w:t>
            </w:r>
          </w:p>
        </w:tc>
        <w:tc>
          <w:tcPr>
            <w:tcW w:w="542" w:type="dxa"/>
            <w:vMerge w:val="continue"/>
            <w:shd w:val="clear" w:color="auto" w:fill="auto"/>
            <w:vAlign w:val="center"/>
          </w:tcPr>
          <w:p>
            <w:pPr>
              <w:spacing w:line="300" w:lineRule="exact"/>
              <w:jc w:val="center"/>
              <w:rPr>
                <w:rFonts w:eastAsiaTheme="minorEastAsia"/>
                <w:sz w:val="21"/>
                <w:szCs w:val="21"/>
              </w:rPr>
            </w:pPr>
          </w:p>
        </w:tc>
        <w:tc>
          <w:tcPr>
            <w:tcW w:w="1134" w:type="dxa"/>
            <w:shd w:val="clear" w:color="auto" w:fill="auto"/>
            <w:vAlign w:val="center"/>
          </w:tcPr>
          <w:p>
            <w:pPr>
              <w:spacing w:line="300" w:lineRule="exact"/>
              <w:jc w:val="center"/>
              <w:rPr>
                <w:rFonts w:eastAsiaTheme="minorEastAsia"/>
                <w:sz w:val="21"/>
                <w:szCs w:val="21"/>
              </w:rPr>
            </w:pPr>
            <w:r>
              <w:rPr>
                <w:rFonts w:eastAsiaTheme="minorEastAsia"/>
                <w:sz w:val="21"/>
                <w:szCs w:val="21"/>
              </w:rPr>
              <w:t>噪声</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水泵机房、风机隔声等</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w:t>
            </w:r>
            <w:r>
              <w:rPr>
                <w:rFonts w:eastAsiaTheme="minorEastAsia"/>
                <w:sz w:val="21"/>
                <w:szCs w:val="21"/>
              </w:rPr>
              <w:t>0</w:t>
            </w:r>
          </w:p>
        </w:tc>
        <w:tc>
          <w:tcPr>
            <w:tcW w:w="1140" w:type="dxa"/>
            <w:vAlign w:val="center"/>
          </w:tcPr>
          <w:p>
            <w:pPr>
              <w:spacing w:line="300" w:lineRule="exact"/>
              <w:jc w:val="center"/>
              <w:rPr>
                <w:rFonts w:eastAsiaTheme="minorEastAsia"/>
                <w:sz w:val="21"/>
                <w:szCs w:val="21"/>
              </w:rPr>
            </w:pPr>
            <w:r>
              <w:rPr>
                <w:rFonts w:hint="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15</w:t>
            </w:r>
          </w:p>
        </w:tc>
        <w:tc>
          <w:tcPr>
            <w:tcW w:w="1676" w:type="dxa"/>
            <w:gridSpan w:val="2"/>
            <w:shd w:val="clear" w:color="auto" w:fill="auto"/>
            <w:vAlign w:val="center"/>
          </w:tcPr>
          <w:p>
            <w:pPr>
              <w:spacing w:line="300" w:lineRule="exact"/>
              <w:jc w:val="center"/>
              <w:rPr>
                <w:rFonts w:eastAsiaTheme="minorEastAsia"/>
                <w:sz w:val="21"/>
                <w:szCs w:val="21"/>
              </w:rPr>
            </w:pPr>
            <w:r>
              <w:rPr>
                <w:rFonts w:eastAsiaTheme="minorEastAsia"/>
                <w:sz w:val="21"/>
                <w:szCs w:val="21"/>
              </w:rPr>
              <w:t>地下水</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车间地面硬化、</w:t>
            </w:r>
            <w:r>
              <w:rPr>
                <w:rFonts w:hint="eastAsia" w:eastAsiaTheme="minorEastAsia"/>
                <w:sz w:val="21"/>
                <w:szCs w:val="21"/>
              </w:rPr>
              <w:t>分区</w:t>
            </w:r>
            <w:r>
              <w:rPr>
                <w:rFonts w:eastAsiaTheme="minorEastAsia"/>
                <w:sz w:val="21"/>
                <w:szCs w:val="21"/>
              </w:rPr>
              <w:t>防渗、防腐处理、监测费用</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15</w:t>
            </w:r>
          </w:p>
        </w:tc>
        <w:tc>
          <w:tcPr>
            <w:tcW w:w="1140" w:type="dxa"/>
            <w:vAlign w:val="center"/>
          </w:tcPr>
          <w:p>
            <w:pPr>
              <w:spacing w:line="300" w:lineRule="exact"/>
              <w:jc w:val="center"/>
              <w:rPr>
                <w:rFonts w:eastAsiaTheme="minorEastAsia"/>
                <w:sz w:val="21"/>
                <w:szCs w:val="21"/>
              </w:rPr>
            </w:pPr>
            <w:r>
              <w:rPr>
                <w:rFonts w:hint="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16</w:t>
            </w:r>
          </w:p>
        </w:tc>
        <w:tc>
          <w:tcPr>
            <w:tcW w:w="1676" w:type="dxa"/>
            <w:gridSpan w:val="2"/>
            <w:shd w:val="clear" w:color="auto" w:fill="auto"/>
            <w:vAlign w:val="center"/>
          </w:tcPr>
          <w:p>
            <w:pPr>
              <w:spacing w:line="300" w:lineRule="exact"/>
              <w:jc w:val="center"/>
              <w:rPr>
                <w:rFonts w:eastAsiaTheme="minorEastAsia"/>
                <w:sz w:val="21"/>
                <w:szCs w:val="21"/>
              </w:rPr>
            </w:pPr>
            <w:r>
              <w:rPr>
                <w:rFonts w:eastAsiaTheme="minorEastAsia"/>
                <w:sz w:val="21"/>
                <w:szCs w:val="21"/>
              </w:rPr>
              <w:t>应急措施</w:t>
            </w:r>
          </w:p>
        </w:tc>
        <w:tc>
          <w:tcPr>
            <w:tcW w:w="3969" w:type="dxa"/>
            <w:shd w:val="clear" w:color="auto" w:fill="auto"/>
            <w:vAlign w:val="center"/>
          </w:tcPr>
          <w:p>
            <w:pPr>
              <w:spacing w:line="300" w:lineRule="exact"/>
              <w:jc w:val="center"/>
              <w:rPr>
                <w:rFonts w:eastAsiaTheme="minorEastAsia"/>
                <w:sz w:val="21"/>
                <w:szCs w:val="21"/>
              </w:rPr>
            </w:pPr>
            <w:r>
              <w:rPr>
                <w:rFonts w:eastAsiaTheme="minorEastAsia"/>
                <w:sz w:val="21"/>
                <w:szCs w:val="21"/>
              </w:rPr>
              <w:t>应急监测费用</w:t>
            </w:r>
          </w:p>
        </w:tc>
        <w:tc>
          <w:tcPr>
            <w:tcW w:w="980" w:type="dxa"/>
            <w:shd w:val="clear" w:color="auto" w:fill="auto"/>
            <w:vAlign w:val="center"/>
          </w:tcPr>
          <w:p>
            <w:pPr>
              <w:spacing w:line="300" w:lineRule="exact"/>
              <w:jc w:val="center"/>
              <w:rPr>
                <w:rFonts w:eastAsiaTheme="minorEastAsia"/>
                <w:sz w:val="21"/>
                <w:szCs w:val="21"/>
              </w:rPr>
            </w:pPr>
            <w:r>
              <w:rPr>
                <w:rFonts w:hint="eastAsia" w:eastAsiaTheme="minorEastAsia"/>
                <w:sz w:val="21"/>
                <w:szCs w:val="21"/>
              </w:rPr>
              <w:t>5</w:t>
            </w:r>
          </w:p>
        </w:tc>
        <w:tc>
          <w:tcPr>
            <w:tcW w:w="1140" w:type="dxa"/>
            <w:vAlign w:val="center"/>
          </w:tcPr>
          <w:p>
            <w:pPr>
              <w:spacing w:line="300" w:lineRule="exact"/>
              <w:jc w:val="center"/>
              <w:rPr>
                <w:rFonts w:eastAsiaTheme="minorEastAsia"/>
                <w:sz w:val="21"/>
                <w:szCs w:val="21"/>
              </w:rPr>
            </w:pPr>
            <w:r>
              <w:rPr>
                <w:rFonts w:hint="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85" w:type="dxa"/>
            <w:gridSpan w:val="4"/>
            <w:shd w:val="clear" w:color="auto" w:fill="auto"/>
            <w:vAlign w:val="center"/>
          </w:tcPr>
          <w:p>
            <w:pPr>
              <w:spacing w:line="300" w:lineRule="exact"/>
              <w:jc w:val="center"/>
              <w:rPr>
                <w:rFonts w:eastAsiaTheme="minorEastAsia"/>
                <w:sz w:val="21"/>
                <w:szCs w:val="21"/>
              </w:rPr>
            </w:pPr>
            <w:r>
              <w:rPr>
                <w:rFonts w:eastAsiaTheme="minorEastAsia"/>
                <w:sz w:val="21"/>
                <w:szCs w:val="21"/>
              </w:rPr>
              <w:t>合计</w:t>
            </w:r>
          </w:p>
        </w:tc>
        <w:tc>
          <w:tcPr>
            <w:tcW w:w="980" w:type="dxa"/>
            <w:shd w:val="clear" w:color="auto" w:fill="auto"/>
            <w:vAlign w:val="center"/>
          </w:tcPr>
          <w:p>
            <w:pPr>
              <w:spacing w:line="300" w:lineRule="exact"/>
              <w:jc w:val="center"/>
              <w:rPr>
                <w:rFonts w:eastAsiaTheme="minorEastAsia"/>
                <w:sz w:val="21"/>
                <w:szCs w:val="21"/>
              </w:rPr>
            </w:pPr>
            <w:r>
              <w:rPr>
                <w:rFonts w:eastAsiaTheme="minorEastAsia"/>
                <w:sz w:val="21"/>
                <w:szCs w:val="21"/>
              </w:rPr>
              <w:fldChar w:fldCharType="begin"/>
            </w:r>
            <w:r>
              <w:rPr>
                <w:rFonts w:eastAsiaTheme="minorEastAsia"/>
                <w:sz w:val="21"/>
                <w:szCs w:val="21"/>
              </w:rPr>
              <w:instrText xml:space="preserve"> =SUM(ABOVE) </w:instrText>
            </w:r>
            <w:r>
              <w:rPr>
                <w:rFonts w:eastAsiaTheme="minorEastAsia"/>
                <w:sz w:val="21"/>
                <w:szCs w:val="21"/>
              </w:rPr>
              <w:fldChar w:fldCharType="separate"/>
            </w:r>
            <w:r>
              <w:rPr>
                <w:rFonts w:eastAsiaTheme="minorEastAsia"/>
                <w:sz w:val="21"/>
                <w:szCs w:val="21"/>
              </w:rPr>
              <w:t>446</w:t>
            </w:r>
            <w:r>
              <w:rPr>
                <w:rFonts w:eastAsiaTheme="minorEastAsia"/>
                <w:sz w:val="21"/>
                <w:szCs w:val="21"/>
              </w:rPr>
              <w:fldChar w:fldCharType="end"/>
            </w:r>
          </w:p>
        </w:tc>
        <w:tc>
          <w:tcPr>
            <w:tcW w:w="1140" w:type="dxa"/>
            <w:vAlign w:val="center"/>
          </w:tcPr>
          <w:p>
            <w:pPr>
              <w:spacing w:line="300" w:lineRule="exact"/>
              <w:jc w:val="center"/>
              <w:rPr>
                <w:rFonts w:eastAsiaTheme="minorEastAsia"/>
                <w:sz w:val="21"/>
                <w:szCs w:val="21"/>
              </w:rPr>
            </w:pPr>
            <w:r>
              <w:rPr>
                <w:rFonts w:eastAsiaTheme="minorEastAsia"/>
                <w:sz w:val="21"/>
                <w:szCs w:val="21"/>
              </w:rPr>
              <w:fldChar w:fldCharType="begin"/>
            </w:r>
            <w:r>
              <w:rPr>
                <w:rFonts w:eastAsiaTheme="minorEastAsia"/>
                <w:sz w:val="21"/>
                <w:szCs w:val="21"/>
              </w:rPr>
              <w:instrText xml:space="preserve"> =SUM(ABOVE) </w:instrText>
            </w:r>
            <w:r>
              <w:rPr>
                <w:rFonts w:eastAsiaTheme="minorEastAsia"/>
                <w:sz w:val="21"/>
                <w:szCs w:val="21"/>
              </w:rPr>
              <w:fldChar w:fldCharType="separate"/>
            </w:r>
            <w:r>
              <w:rPr>
                <w:rFonts w:eastAsiaTheme="minorEastAsia"/>
                <w:sz w:val="21"/>
                <w:szCs w:val="21"/>
              </w:rPr>
              <w:t>43</w:t>
            </w:r>
            <w:r>
              <w:rPr>
                <w:rFonts w:eastAsiaTheme="minorEastAsia"/>
                <w:sz w:val="21"/>
                <w:szCs w:val="21"/>
              </w:rPr>
              <w:fldChar w:fldCharType="end"/>
            </w:r>
          </w:p>
        </w:tc>
      </w:tr>
    </w:tbl>
    <w:p>
      <w:pPr>
        <w:pStyle w:val="835"/>
        <w:spacing w:before="0" w:line="480" w:lineRule="exact"/>
        <w:ind w:firstLine="486"/>
        <w:rPr>
          <w:rFonts w:ascii="Times New Roman" w:hAnsi="Times New Roman"/>
        </w:rPr>
      </w:pPr>
      <w:r>
        <w:rPr>
          <w:rFonts w:ascii="Times New Roman" w:hAnsi="Times New Roman"/>
        </w:rPr>
        <w:t>本项目总投资</w:t>
      </w:r>
      <w:r>
        <w:rPr>
          <w:rFonts w:hint="eastAsia" w:ascii="Times New Roman" w:hAnsi="Times New Roman"/>
        </w:rPr>
        <w:t>10808万元</w:t>
      </w:r>
      <w:r>
        <w:rPr>
          <w:rFonts w:ascii="Times New Roman" w:hAnsi="Times New Roman"/>
        </w:rPr>
        <w:t>，一次性环保投入446万元，约占项目总投资额的4.1%。污染处理工艺技术相对成熟，可使各项污染物达标排放，项目污染治理措施从经济、技术角度看是可行的。</w:t>
      </w:r>
    </w:p>
    <w:p>
      <w:pPr>
        <w:pStyle w:val="835"/>
        <w:spacing w:before="0" w:line="480" w:lineRule="exact"/>
        <w:ind w:firstLine="486"/>
        <w:rPr>
          <w:rFonts w:ascii="Times New Roman" w:hAnsi="Times New Roman"/>
        </w:rPr>
      </w:pPr>
      <w:r>
        <w:rPr>
          <w:rFonts w:hint="eastAsia" w:ascii="宋体" w:hAnsi="宋体" w:cs="宋体"/>
        </w:rPr>
        <w:t>⑵</w:t>
      </w:r>
      <w:r>
        <w:rPr>
          <w:rFonts w:ascii="Times New Roman" w:hAnsi="Times New Roman"/>
        </w:rPr>
        <w:t>运行和维护费用</w:t>
      </w:r>
    </w:p>
    <w:p>
      <w:pPr>
        <w:pStyle w:val="835"/>
        <w:spacing w:before="0" w:line="480" w:lineRule="exact"/>
        <w:ind w:firstLine="486"/>
        <w:rPr>
          <w:rFonts w:ascii="Times New Roman" w:hAnsi="Times New Roman"/>
        </w:rPr>
      </w:pPr>
      <w:r>
        <w:rPr>
          <w:rFonts w:ascii="Times New Roman" w:hAnsi="Times New Roman"/>
        </w:rPr>
        <w:t>本项目的环保运行费用主要包括四部分，即设备折旧费、环保设施运行费用、检修维护费和人工费。</w:t>
      </w:r>
    </w:p>
    <w:p>
      <w:pPr>
        <w:pStyle w:val="835"/>
        <w:spacing w:before="0" w:line="480" w:lineRule="exact"/>
        <w:ind w:firstLine="486"/>
        <w:rPr>
          <w:rFonts w:ascii="Times New Roman" w:hAnsi="Times New Roman"/>
        </w:rPr>
      </w:pPr>
      <w:r>
        <w:rPr>
          <w:rFonts w:hint="eastAsia" w:ascii="Times New Roman" w:hAnsi="Times New Roman"/>
        </w:rPr>
        <w:t>设备折旧费：设备折旧以10年计，则年设备折旧费约</w:t>
      </w:r>
      <w:r>
        <w:rPr>
          <w:rFonts w:ascii="Times New Roman" w:hAnsi="Times New Roman"/>
        </w:rPr>
        <w:t>43</w:t>
      </w:r>
      <w:r>
        <w:rPr>
          <w:rFonts w:hint="eastAsia" w:ascii="Times New Roman" w:hAnsi="Times New Roman"/>
        </w:rPr>
        <w:t>万元。</w:t>
      </w:r>
    </w:p>
    <w:p>
      <w:pPr>
        <w:pStyle w:val="835"/>
        <w:spacing w:before="0" w:line="480" w:lineRule="exact"/>
        <w:ind w:firstLine="486"/>
        <w:rPr>
          <w:rFonts w:ascii="Times New Roman" w:hAnsi="Times New Roman"/>
        </w:rPr>
      </w:pPr>
      <w:r>
        <w:rPr>
          <w:rFonts w:hint="eastAsia" w:ascii="Times New Roman" w:hAnsi="Times New Roman"/>
        </w:rPr>
        <w:t>环保设施运行费用：年环保设施运行费用约</w:t>
      </w:r>
      <w:r>
        <w:rPr>
          <w:rFonts w:ascii="Times New Roman" w:hAnsi="Times New Roman"/>
        </w:rPr>
        <w:t>43</w:t>
      </w:r>
      <w:r>
        <w:rPr>
          <w:rFonts w:hint="eastAsia" w:ascii="Times New Roman" w:hAnsi="Times New Roman"/>
        </w:rPr>
        <w:t>万元。</w:t>
      </w:r>
    </w:p>
    <w:p>
      <w:pPr>
        <w:pStyle w:val="835"/>
        <w:spacing w:before="0" w:line="480" w:lineRule="exact"/>
        <w:ind w:firstLine="486"/>
        <w:rPr>
          <w:rFonts w:ascii="Times New Roman" w:hAnsi="Times New Roman"/>
        </w:rPr>
      </w:pPr>
      <w:r>
        <w:rPr>
          <w:rFonts w:hint="eastAsia" w:ascii="Times New Roman" w:hAnsi="Times New Roman"/>
        </w:rPr>
        <w:t>检修维护费：检修维护费主要是指零件更换及环保设施的其它易损件的更换所发生的费用。检修维护费以设备投资的3%计算，则全年合计约5万元。</w:t>
      </w:r>
    </w:p>
    <w:p>
      <w:pPr>
        <w:pStyle w:val="835"/>
        <w:spacing w:before="0" w:line="480" w:lineRule="exact"/>
        <w:ind w:firstLine="486"/>
        <w:rPr>
          <w:rFonts w:ascii="Times New Roman" w:hAnsi="Times New Roman"/>
        </w:rPr>
      </w:pPr>
      <w:r>
        <w:rPr>
          <w:rFonts w:ascii="Times New Roman" w:hAnsi="Times New Roman"/>
        </w:rPr>
        <w:t>人工费：已计入设备运行费中。</w:t>
      </w:r>
    </w:p>
    <w:p>
      <w:pPr>
        <w:pStyle w:val="835"/>
        <w:spacing w:before="0" w:line="480" w:lineRule="exact"/>
        <w:ind w:firstLine="486"/>
        <w:rPr>
          <w:rFonts w:ascii="Times New Roman" w:hAnsi="Times New Roman"/>
        </w:rPr>
      </w:pPr>
      <w:r>
        <w:rPr>
          <w:rFonts w:ascii="Times New Roman" w:hAnsi="Times New Roman"/>
        </w:rPr>
        <w:t>本项目的年环保运行费用总计91万元。</w:t>
      </w:r>
    </w:p>
    <w:p>
      <w:pPr>
        <w:pStyle w:val="3"/>
        <w:numPr>
          <w:ilvl w:val="1"/>
          <w:numId w:val="24"/>
        </w:numPr>
        <w:tabs>
          <w:tab w:val="clear" w:pos="567"/>
        </w:tabs>
        <w:rPr>
          <w:rFonts w:ascii="Times New Roman" w:hAnsi="Times New Roman"/>
        </w:rPr>
      </w:pPr>
      <w:bookmarkStart w:id="247" w:name="_Toc10637179"/>
      <w:bookmarkStart w:id="248" w:name="_Toc511116321"/>
      <w:r>
        <w:rPr>
          <w:rFonts w:ascii="Times New Roman" w:hAnsi="Times New Roman"/>
        </w:rPr>
        <w:t>环境影响经济损益分析</w:t>
      </w:r>
      <w:bookmarkEnd w:id="247"/>
      <w:bookmarkEnd w:id="248"/>
    </w:p>
    <w:p>
      <w:pPr>
        <w:snapToGrid w:val="0"/>
        <w:spacing w:line="500" w:lineRule="exact"/>
        <w:ind w:firstLine="486" w:firstLineChars="200"/>
        <w:rPr>
          <w:rFonts w:eastAsia="宋体"/>
          <w:sz w:val="24"/>
        </w:rPr>
      </w:pPr>
      <w:bookmarkStart w:id="249" w:name="_Toc207888252"/>
      <w:bookmarkStart w:id="250" w:name="_Toc316636041"/>
      <w:bookmarkStart w:id="251" w:name="_Toc215920753"/>
      <w:bookmarkStart w:id="252" w:name="_Toc178003367"/>
      <w:bookmarkStart w:id="253" w:name="_Toc163031085"/>
      <w:bookmarkStart w:id="254" w:name="_Toc147160635"/>
      <w:bookmarkStart w:id="255" w:name="_Toc146094796"/>
      <w:bookmarkStart w:id="256" w:name="_Toc532745582"/>
      <w:bookmarkStart w:id="257" w:name="_Toc327187836"/>
      <w:bookmarkStart w:id="258" w:name="_Toc480023402"/>
      <w:bookmarkStart w:id="259" w:name="_Toc477943759"/>
      <w:bookmarkStart w:id="260" w:name="_Toc286313993"/>
      <w:bookmarkStart w:id="261" w:name="_Toc268609200"/>
      <w:bookmarkStart w:id="262" w:name="_Toc236461589"/>
      <w:bookmarkStart w:id="263" w:name="_Toc231527997"/>
      <w:bookmarkStart w:id="264" w:name="_Toc217811923"/>
      <w:r>
        <w:rPr>
          <w:rFonts w:eastAsia="宋体"/>
          <w:sz w:val="24"/>
        </w:rPr>
        <w:t>项目通过采用较先进的设备和技术，能够节约能源消耗、降低生产成本。项目的实施在促进地方经济发展具有良好的社会效益。市场前景良好，并有较好的赢利能力、清偿能力和抗风险能力，从社会经济角度看也是可行的。</w:t>
      </w:r>
    </w:p>
    <w:p>
      <w:pPr>
        <w:snapToGrid w:val="0"/>
        <w:spacing w:line="500" w:lineRule="exact"/>
        <w:ind w:firstLine="486" w:firstLineChars="200"/>
        <w:rPr>
          <w:rFonts w:eastAsia="宋体"/>
          <w:sz w:val="24"/>
        </w:rPr>
      </w:pPr>
      <w:r>
        <w:rPr>
          <w:rFonts w:eastAsia="宋体"/>
          <w:sz w:val="24"/>
        </w:rPr>
        <w:t>项目在保证环保投资的前提下，能够达标排放，从环境成本比率、环境系数、环境代价等指标看，该项目环境代价和环保成本一般环境效益比较明显，从环境经济角度来看也是合理可行的。通过上述全面的环境效益计算和分析，该项目的正效益大于负效益。</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sectPr>
          <w:footerReference r:id="rId16" w:type="default"/>
          <w:pgSz w:w="11907" w:h="16840"/>
          <w:pgMar w:top="1644" w:right="1406" w:bottom="1701" w:left="1157" w:header="964" w:footer="964" w:gutter="567"/>
          <w:pgNumType w:fmt="numberInDash"/>
          <w:cols w:space="720" w:num="1"/>
          <w:docGrid w:type="linesAndChars" w:linePitch="421" w:charSpace="640"/>
        </w:sectPr>
      </w:pPr>
    </w:p>
    <w:p>
      <w:pPr>
        <w:pStyle w:val="2"/>
        <w:numPr>
          <w:ilvl w:val="0"/>
          <w:numId w:val="1"/>
        </w:numPr>
      </w:pPr>
      <w:bookmarkStart w:id="265" w:name="_Toc10637180"/>
      <w:r>
        <w:t>环境管理与监测计划</w:t>
      </w:r>
      <w:bookmarkEnd w:id="265"/>
    </w:p>
    <w:p>
      <w:pPr>
        <w:pStyle w:val="3"/>
        <w:numPr>
          <w:ilvl w:val="1"/>
          <w:numId w:val="24"/>
        </w:numPr>
        <w:rPr>
          <w:rFonts w:ascii="Times New Roman" w:hAnsi="Times New Roman"/>
        </w:rPr>
      </w:pPr>
      <w:bookmarkStart w:id="266" w:name="_Toc407628670"/>
      <w:bookmarkStart w:id="267" w:name="_Toc410055431"/>
      <w:bookmarkStart w:id="268" w:name="_Toc428537835"/>
      <w:bookmarkStart w:id="269" w:name="_Toc10637181"/>
      <w:bookmarkStart w:id="270" w:name="_Toc217811918"/>
      <w:bookmarkStart w:id="271" w:name="_Toc231527992"/>
      <w:bookmarkStart w:id="272" w:name="_Toc236461584"/>
      <w:bookmarkStart w:id="273" w:name="_Toc286313988"/>
      <w:bookmarkStart w:id="274" w:name="_Toc268609195"/>
      <w:bookmarkStart w:id="275" w:name="_Toc532745598"/>
      <w:bookmarkStart w:id="276" w:name="_Toc181680093"/>
      <w:bookmarkStart w:id="277" w:name="_Toc147160646"/>
      <w:bookmarkStart w:id="278" w:name="_Toc146094807"/>
      <w:bookmarkStart w:id="279" w:name="_Toc163031096"/>
      <w:bookmarkStart w:id="280" w:name="_Toc215920757"/>
      <w:bookmarkStart w:id="281" w:name="_Toc178003371"/>
      <w:bookmarkStart w:id="282" w:name="_Toc307245338"/>
      <w:bookmarkStart w:id="283" w:name="_Toc302925549"/>
      <w:bookmarkStart w:id="284" w:name="_Toc334546954"/>
      <w:r>
        <w:rPr>
          <w:rFonts w:ascii="Times New Roman" w:hAnsi="Times New Roman"/>
        </w:rPr>
        <w:t>环境管理</w:t>
      </w:r>
      <w:bookmarkEnd w:id="266"/>
      <w:bookmarkEnd w:id="267"/>
      <w:bookmarkEnd w:id="268"/>
      <w:bookmarkEnd w:id="269"/>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项目环境保护管理是指建设单位、设计单位和施工单位在项目的可行性研究、项目设计、建设期和运行期必须遵守国家、省市的有关环境保护法规、政策、标准，落实环境影响评价报告中拟定采取的减缓措施，并确保环境保护设施处于正常运行状态。环境管理计划制定出机构的能力建设、执行各项防治措施的职责、实施进度、监测内容和报告程序，以及资金投入和来源等内容。在项目建设期和运行期，接受地方环境保护主管部门的监督和指导，并配合环境保护主管部门完成对项目建设的“三同时”审查。</w:t>
      </w:r>
    </w:p>
    <w:p>
      <w:pPr>
        <w:pStyle w:val="4"/>
        <w:spacing w:line="480" w:lineRule="exact"/>
        <w:ind w:firstLine="520"/>
        <w:rPr>
          <w:rFonts w:ascii="Times New Roman" w:hAnsi="Times New Roman" w:cs="Times New Roman"/>
          <w:spacing w:val="0"/>
        </w:rPr>
      </w:pPr>
      <w:r>
        <w:rPr>
          <w:rFonts w:ascii="Times New Roman" w:hAnsi="Times New Roman" w:cs="Times New Roman"/>
          <w:spacing w:val="0"/>
        </w:rPr>
        <w:t>本工程应结合自身特点，设置专门环境管理机构，专人负责，对施工期和运行期的环保工作进行监督和管理，确保工程的安全运行和出水水质达到国家规定标准，充分发挥该工程的环境效益。</w:t>
      </w:r>
    </w:p>
    <w:p>
      <w:pPr>
        <w:pStyle w:val="5"/>
        <w:tabs>
          <w:tab w:val="clear" w:pos="1080"/>
        </w:tabs>
        <w:rPr>
          <w:rFonts w:ascii="Times New Roman"/>
        </w:rPr>
      </w:pPr>
      <w:bookmarkStart w:id="285" w:name="_Toc73113278"/>
      <w:bookmarkStart w:id="286" w:name="_Toc60197116"/>
      <w:bookmarkStart w:id="287" w:name="_Toc426574498"/>
      <w:bookmarkStart w:id="288" w:name="_Toc76870657"/>
      <w:bookmarkStart w:id="289" w:name="_Toc45618579"/>
      <w:r>
        <w:rPr>
          <w:rFonts w:ascii="Times New Roman"/>
        </w:rPr>
        <w:t>环境管理</w:t>
      </w:r>
      <w:bookmarkEnd w:id="285"/>
      <w:bookmarkEnd w:id="286"/>
      <w:bookmarkEnd w:id="287"/>
      <w:bookmarkEnd w:id="288"/>
      <w:bookmarkEnd w:id="289"/>
      <w:r>
        <w:rPr>
          <w:rFonts w:ascii="Times New Roman"/>
        </w:rPr>
        <w:t>体系</w:t>
      </w:r>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环境管理体系由建设单位环境管理办公室、环境监理机构、承包商环境管理办公室组成，并由政府职能部门参与管理。为了使环境保护措施得以切实有效地实施，达到项目建设与环境保护协调发展，项目环境管理除实行环境管理机构统一管理、环保项目实施部门分级管理和政府环境保护部门宏观监督外，必须建设环境监理制度，形成完整的环境管理体系，以确保项目建设环境保护规划总体目标的实现。</w:t>
      </w:r>
    </w:p>
    <w:p>
      <w:pPr>
        <w:pStyle w:val="5"/>
        <w:tabs>
          <w:tab w:val="clear" w:pos="1080"/>
        </w:tabs>
        <w:rPr>
          <w:rFonts w:ascii="Times New Roman"/>
        </w:rPr>
      </w:pPr>
      <w:bookmarkStart w:id="290" w:name="_Toc426574499"/>
      <w:bookmarkStart w:id="291" w:name="_Toc76870658"/>
      <w:r>
        <w:rPr>
          <w:rFonts w:ascii="Times New Roman"/>
        </w:rPr>
        <w:t>环境管理机构</w:t>
      </w:r>
      <w:bookmarkEnd w:id="290"/>
      <w:r>
        <w:rPr>
          <w:rFonts w:ascii="Times New Roman"/>
        </w:rPr>
        <w:t>及职能</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根据国家环境保护管理的规定，应设置项目环境保护管理机构。环境保护管理机构是工程管理机构的重要组成部分，在业务上接受当地环境保护部门的指导。</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1．管理机构的组装形式</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为保证各项措施的有效实施，环境管理机构由建设单位在项目筹建期开始组建，建议成立以总经理为组长的环保领导小组，并建立管理网络。根据项目实际情况建立安全环保科，具体负责建设项目的环保、生产安全管理工作，配备专职环保管理人员。</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2．机构职责</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（1）贯彻执行国家与地方制定的有关环境保护法律与政策，协调生产建设与保护环境的关系，处理生产中发生的环境问题，制定可操作的环保管理制度和责任制，并对实施情况进行监督、检查。</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（2）建立各污染源档案和环保设施的运行记录。负责企业各种环保报表的编制，统计上报及污染源档案、监测资料的档案管理工作。</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（3）负责监督检查环保设施的运行状况、治理效果、存在问题。安排落实环保设施的日常维持和谁修。</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（4）负责组织制定和实施环保设施出现故障的应急计划。</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（5）负责组织制定和实施日常监督检查中发现问题的纠正措施及预防潜在环境问题发生的预防措施。</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（6）负责提出、审查和组织实施有关环境保护的先进技术和治理方案及各项清洁生产方案，提高环境保护水平。</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（7）作好环境保护知识的宣传工作和环保技能的培训工作，提高工作人员的环保意识和能力，保证各项环保措施的正常有效实施。</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（8）负责组织制定和实施企业日常的环境监测计划，安排各污染源的监测工作；监督检查污染物总量控制与达标情况。</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（9）建立企业与周边民众生活和谐同存的良好生存环境，也是确保企业可持续发展的关键。</w:t>
      </w:r>
    </w:p>
    <w:p>
      <w:pPr>
        <w:pStyle w:val="5"/>
        <w:tabs>
          <w:tab w:val="clear" w:pos="1080"/>
        </w:tabs>
        <w:rPr>
          <w:rFonts w:ascii="Times New Roman"/>
        </w:rPr>
      </w:pPr>
      <w:bookmarkStart w:id="292" w:name="_Toc426574500"/>
      <w:r>
        <w:rPr>
          <w:rFonts w:ascii="Times New Roman"/>
        </w:rPr>
        <w:t>环境管理</w:t>
      </w:r>
      <w:bookmarkEnd w:id="292"/>
      <w:r>
        <w:rPr>
          <w:rFonts w:ascii="Times New Roman"/>
        </w:rPr>
        <w:t>主要内容</w:t>
      </w:r>
    </w:p>
    <w:bookmarkEnd w:id="291"/>
    <w:p>
      <w:pPr>
        <w:pStyle w:val="4"/>
        <w:spacing w:line="480" w:lineRule="exact"/>
        <w:ind w:firstLine="480"/>
        <w:rPr>
          <w:rFonts w:ascii="Times New Roman" w:hAnsi="Times New Roman" w:cs="Times New Roman"/>
          <w:spacing w:val="0"/>
        </w:rPr>
      </w:pPr>
      <w:bookmarkStart w:id="293" w:name="_Toc426574501"/>
      <w:bookmarkStart w:id="294" w:name="_Toc76870659"/>
      <w:bookmarkStart w:id="295" w:name="_Toc73113279"/>
      <w:bookmarkStart w:id="296" w:name="_Toc60197117"/>
      <w:bookmarkStart w:id="297" w:name="_Toc45618580"/>
      <w:r>
        <w:rPr>
          <w:rFonts w:ascii="Times New Roman" w:hAnsi="Times New Roman" w:cs="Times New Roman"/>
          <w:spacing w:val="0"/>
        </w:rPr>
        <w:t>本次环评环境管理</w:t>
      </w:r>
      <w:r>
        <w:rPr>
          <w:rFonts w:hint="eastAsia" w:ascii="Times New Roman" w:hAnsi="Times New Roman" w:cs="Times New Roman"/>
          <w:spacing w:val="0"/>
        </w:rPr>
        <w:t>分为施工期、</w:t>
      </w:r>
      <w:r>
        <w:rPr>
          <w:rFonts w:ascii="Times New Roman" w:hAnsi="Times New Roman" w:cs="Times New Roman"/>
          <w:spacing w:val="0"/>
        </w:rPr>
        <w:t>营运期的环境管理。</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（1）施工期环境管理要求为：</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1、贯彻执行国家有关环境保护方针、政策及法规条例。</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2、制定项目建设环境保护工作计划，整编相关资料，建立环境信息系统。</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3、加强工程环境监测管理，审定监测计划，委托具有相应资质的环境、卫生监测等专业部门实施环境监测计划。</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4、加强工程环境管理，尤其加强各敏感区内各生产、生活设施的管理及环保措施的落实、运行的监管。</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5、组织实施工程环境保护规划，并监督、检查环境保护措施的执行情况和环保经费的使用情况，保证各项环保措施能按环保“三同时”的原则执行。</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6、协调处理工程引起的环境污染事故和环境纠纷。</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7、加强环境保护的宣传教育和技术培训，提高人们的环境保护意识和参与意识，工程环境管理人员的技术水平</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（2）营运期环境管理要求</w:t>
      </w:r>
      <w:r>
        <w:rPr>
          <w:rFonts w:ascii="Times New Roman" w:hAnsi="Times New Roman" w:cs="Times New Roman"/>
          <w:spacing w:val="0"/>
        </w:rPr>
        <w:t>具体如下：</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1、</w:t>
      </w:r>
      <w:r>
        <w:rPr>
          <w:rFonts w:ascii="Times New Roman" w:hAnsi="Times New Roman" w:cs="Times New Roman"/>
          <w:spacing w:val="0"/>
        </w:rPr>
        <w:t>贯彻执行国家及地方环境保护法律、法规和方针政策，执行国家、地方和行业环保部门的环境保护要求。</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2、</w:t>
      </w:r>
      <w:r>
        <w:rPr>
          <w:rFonts w:ascii="Times New Roman" w:hAnsi="Times New Roman" w:cs="Times New Roman"/>
          <w:spacing w:val="0"/>
        </w:rPr>
        <w:t>落实项目运行期间环境保护措施，制定项目环境保护的环境管理办法和制度。</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fldChar w:fldCharType="begin"/>
      </w:r>
      <w:r>
        <w:rPr>
          <w:rFonts w:ascii="Times New Roman" w:hAnsi="Times New Roman" w:cs="Times New Roman"/>
          <w:spacing w:val="0"/>
        </w:rPr>
        <w:instrText xml:space="preserve"> = 1 \* GB3 </w:instrText>
      </w:r>
      <w:r>
        <w:rPr>
          <w:rFonts w:ascii="Times New Roman" w:hAnsi="Times New Roman" w:cs="Times New Roman"/>
          <w:spacing w:val="0"/>
        </w:rPr>
        <w:fldChar w:fldCharType="separate"/>
      </w:r>
      <w:r>
        <w:rPr>
          <w:rFonts w:hint="eastAsia" w:ascii="宋体" w:hAnsi="宋体" w:cs="宋体"/>
          <w:spacing w:val="0"/>
        </w:rPr>
        <w:t>①</w:t>
      </w:r>
      <w:r>
        <w:rPr>
          <w:rFonts w:ascii="Times New Roman" w:hAnsi="Times New Roman" w:cs="Times New Roman"/>
          <w:spacing w:val="0"/>
        </w:rPr>
        <w:fldChar w:fldCharType="end"/>
      </w:r>
      <w:r>
        <w:rPr>
          <w:rFonts w:ascii="Times New Roman" w:hAnsi="Times New Roman" w:cs="Times New Roman"/>
          <w:spacing w:val="0"/>
        </w:rPr>
        <w:t>严格执行环保</w:t>
      </w:r>
      <w:r>
        <w:rPr>
          <w:rFonts w:cs="Times New Roman" w:asciiTheme="minorEastAsia" w:hAnsiTheme="minorEastAsia" w:eastAsiaTheme="minorEastAsia"/>
          <w:spacing w:val="0"/>
        </w:rPr>
        <w:t>“三同时”</w:t>
      </w:r>
      <w:r>
        <w:rPr>
          <w:rFonts w:ascii="Times New Roman" w:hAnsi="Times New Roman" w:cs="Times New Roman"/>
          <w:spacing w:val="0"/>
        </w:rPr>
        <w:t>的管理条例。在项目筹备、实施、建设阶段，严格执行建设项目环境影响评价的制度，并将继续按照国家法律法规要求，严格执行环保“三同时”，确保污染处理设施能够和生产工艺“同时设计”，和项目主体工程“同时施工”，做到与项目生产“同时验收运行”。</w:t>
      </w:r>
    </w:p>
    <w:p>
      <w:pPr>
        <w:pStyle w:val="4"/>
        <w:spacing w:line="480" w:lineRule="exact"/>
        <w:ind w:firstLine="480"/>
        <w:rPr>
          <w:rFonts w:ascii="Times New Roman" w:hAnsi="Times New Roman" w:cs="Times New Roman"/>
          <w:spacing w:val="0"/>
        </w:rPr>
      </w:pPr>
      <w:r>
        <w:rPr>
          <w:rFonts w:hint="eastAsia" w:ascii="宋体" w:hAnsi="宋体" w:cs="宋体"/>
          <w:spacing w:val="0"/>
        </w:rPr>
        <w:t>②</w:t>
      </w:r>
      <w:r>
        <w:rPr>
          <w:rFonts w:ascii="Times New Roman" w:hAnsi="Times New Roman" w:cs="Times New Roman"/>
          <w:spacing w:val="0"/>
        </w:rPr>
        <w:t>坚决做到达标排放。企业需定期进行监测，确保废气的稳定达标排放。</w:t>
      </w:r>
    </w:p>
    <w:p>
      <w:pPr>
        <w:pStyle w:val="4"/>
        <w:spacing w:line="480" w:lineRule="exact"/>
        <w:ind w:firstLine="480"/>
        <w:rPr>
          <w:rFonts w:ascii="Times New Roman" w:hAnsi="Times New Roman" w:cs="Times New Roman"/>
          <w:spacing w:val="0"/>
        </w:rPr>
      </w:pPr>
      <w:r>
        <w:rPr>
          <w:rFonts w:hint="eastAsia" w:ascii="宋体" w:hAnsi="宋体" w:cs="宋体"/>
          <w:spacing w:val="0"/>
        </w:rPr>
        <w:t>③</w:t>
      </w:r>
      <w:r>
        <w:rPr>
          <w:rFonts w:ascii="Times New Roman" w:hAnsi="Times New Roman" w:cs="Times New Roman"/>
          <w:spacing w:val="0"/>
        </w:rPr>
        <w:t>健全污染处理设施管理制度。保证处理设施能够长期、稳定、有效地进行处理运行。净化设施的操作管理与生产经营活动一起纳入日常管理工作的范畴，落实责任人、操作人员、维修人员、运行经费、设备的备品备件和其他原辅材料。制定各级岗位责任制，编制操作规程，建立管理台帐。</w:t>
      </w:r>
    </w:p>
    <w:p>
      <w:pPr>
        <w:pStyle w:val="4"/>
        <w:spacing w:line="480" w:lineRule="exact"/>
        <w:ind w:firstLine="480"/>
        <w:rPr>
          <w:rFonts w:ascii="Times New Roman" w:hAnsi="Times New Roman" w:cs="Times New Roman"/>
          <w:spacing w:val="0"/>
        </w:rPr>
      </w:pPr>
      <w:r>
        <w:rPr>
          <w:rFonts w:hint="eastAsia" w:ascii="宋体" w:hAnsi="宋体" w:cs="宋体"/>
          <w:spacing w:val="0"/>
        </w:rPr>
        <w:t>④</w:t>
      </w:r>
      <w:r>
        <w:rPr>
          <w:rFonts w:ascii="Times New Roman" w:hAnsi="Times New Roman" w:cs="Times New Roman"/>
          <w:spacing w:val="0"/>
        </w:rPr>
        <w:t>健全运行记录台账制度。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3、</w:t>
      </w:r>
      <w:r>
        <w:rPr>
          <w:rFonts w:ascii="Times New Roman" w:hAnsi="Times New Roman" w:cs="Times New Roman"/>
          <w:spacing w:val="0"/>
        </w:rPr>
        <w:t>负责落实运行期的环境监测，并对结果进行统计分析。</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4、</w:t>
      </w:r>
      <w:r>
        <w:rPr>
          <w:rFonts w:ascii="Times New Roman" w:hAnsi="Times New Roman" w:cs="Times New Roman"/>
          <w:spacing w:val="0"/>
        </w:rPr>
        <w:t>监控运行期环保措施，处理工程运行期。</w:t>
      </w:r>
    </w:p>
    <w:bookmarkEnd w:id="293"/>
    <w:bookmarkEnd w:id="294"/>
    <w:bookmarkEnd w:id="295"/>
    <w:bookmarkEnd w:id="296"/>
    <w:bookmarkEnd w:id="297"/>
    <w:p>
      <w:pPr>
        <w:pStyle w:val="5"/>
        <w:tabs>
          <w:tab w:val="clear" w:pos="1080"/>
        </w:tabs>
        <w:rPr>
          <w:rFonts w:ascii="Times New Roman"/>
        </w:rPr>
      </w:pPr>
      <w:r>
        <w:rPr>
          <w:rFonts w:ascii="Times New Roman"/>
        </w:rPr>
        <w:t>环境风险管理</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企业必须建立突发环境事故应急方案，包括：</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（1）制定风险应急预案，成立应急组织机构，按照相关要求定期组织培训和演练。</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（2）建立异常事件预警系统。</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（3）配备充足的应急设施和物资。</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（4）设立报告制度。</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（5）提出消除事故影响的措施。</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（6）建立事故环境影响消除的审核制度。</w:t>
      </w:r>
    </w:p>
    <w:p>
      <w:pPr>
        <w:pStyle w:val="5"/>
        <w:tabs>
          <w:tab w:val="clear" w:pos="1080"/>
        </w:tabs>
        <w:rPr>
          <w:rFonts w:ascii="Times New Roman"/>
        </w:rPr>
      </w:pPr>
      <w:r>
        <w:rPr>
          <w:rFonts w:ascii="Times New Roman"/>
        </w:rPr>
        <w:t>环境管理台账</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企业应按照</w:t>
      </w:r>
      <w:r>
        <w:rPr>
          <w:rFonts w:cs="Times New Roman" w:asciiTheme="minorEastAsia" w:hAnsiTheme="minorEastAsia" w:eastAsiaTheme="minorEastAsia"/>
          <w:spacing w:val="0"/>
        </w:rPr>
        <w:t>“规范、真实、全面、细致”</w:t>
      </w:r>
      <w:r>
        <w:rPr>
          <w:rFonts w:ascii="Times New Roman" w:hAnsi="Times New Roman" w:cs="Times New Roman"/>
          <w:spacing w:val="0"/>
        </w:rPr>
        <w:t>的原则，应建立环境管理三废台账制度，设置专职人员进行台账的记录、整理、维护和管理，并对三废台账记录结果的真实性、准确性、完整性负责。</w:t>
      </w:r>
    </w:p>
    <w:p>
      <w:pPr>
        <w:pStyle w:val="3"/>
        <w:numPr>
          <w:ilvl w:val="1"/>
          <w:numId w:val="24"/>
        </w:numPr>
        <w:tabs>
          <w:tab w:val="clear" w:pos="567"/>
        </w:tabs>
        <w:rPr>
          <w:rFonts w:ascii="Times New Roman" w:hAnsi="Times New Roman"/>
        </w:rPr>
      </w:pPr>
      <w:bookmarkStart w:id="298" w:name="_Toc512335109"/>
      <w:bookmarkStart w:id="299" w:name="_Toc10637182"/>
      <w:bookmarkStart w:id="300" w:name="_Toc512607942"/>
      <w:r>
        <w:rPr>
          <w:rFonts w:ascii="Times New Roman" w:hAnsi="Times New Roman"/>
        </w:rPr>
        <w:t>环境管理</w:t>
      </w:r>
      <w:r>
        <w:rPr>
          <w:rFonts w:hint="eastAsia" w:ascii="Times New Roman" w:hAnsi="Times New Roman"/>
        </w:rPr>
        <w:t>制度、机构及保障计划</w:t>
      </w:r>
      <w:bookmarkEnd w:id="298"/>
      <w:bookmarkEnd w:id="299"/>
      <w:bookmarkEnd w:id="300"/>
    </w:p>
    <w:p>
      <w:pPr>
        <w:pStyle w:val="5"/>
        <w:tabs>
          <w:tab w:val="clear" w:pos="1080"/>
        </w:tabs>
        <w:rPr>
          <w:rFonts w:ascii="Times New Roman"/>
        </w:rPr>
      </w:pPr>
      <w:r>
        <w:rPr>
          <w:rFonts w:ascii="Times New Roman"/>
        </w:rPr>
        <w:t>环保机构设置要求及职责</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为确保项目运营过程环境质量管理的执行，公司应设立以总经理为首的专门环境保护管理机构，成员必须包括生产技术人员、生产操作人员等，下设专业或兼职环保管理人员。由管理机构具体组织实施环保管理和环境监测任务，车间操作人员协助开展各项工作。组织机构职责：</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1、贯彻执行国家与地方制定的有关环境保护法律与政策，协调生产建设与保护环境的关系，处理生产中发生的环境问题，制定可操作的环保管理制度和责任制，</w:t>
      </w:r>
      <w:r>
        <w:rPr>
          <w:rFonts w:ascii="Times New Roman" w:hAnsi="Times New Roman" w:cs="Times New Roman"/>
          <w:spacing w:val="0"/>
        </w:rPr>
        <w:t>并对实施情况进行监督、检查</w:t>
      </w:r>
      <w:r>
        <w:rPr>
          <w:rFonts w:hint="eastAsia" w:ascii="Times New Roman" w:hAnsi="Times New Roman" w:cs="Times New Roman"/>
          <w:spacing w:val="0"/>
        </w:rPr>
        <w:t>。</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2、建立各污染源档案和环保设施的运行记录。</w:t>
      </w:r>
      <w:r>
        <w:rPr>
          <w:rFonts w:ascii="Times New Roman" w:hAnsi="Times New Roman" w:cs="Times New Roman"/>
          <w:spacing w:val="0"/>
        </w:rPr>
        <w:t>负责企业各种环保报表的编制，统计上报及污染源档案、监测资料的档案管理工作</w:t>
      </w:r>
      <w:r>
        <w:rPr>
          <w:rFonts w:hint="eastAsia" w:ascii="Times New Roman" w:hAnsi="Times New Roman" w:cs="Times New Roman"/>
          <w:spacing w:val="0"/>
        </w:rPr>
        <w:t>。</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3、监督检查环保设施的运行状况、治理效果、存在问题。安排落实环保设施的日常维持和谁修。</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4、组织制定和实施环保设施出现故障的应急计划。</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5、组织制定和实施日常监督检查中发现问题的纠正措施及预防潜在环境问题发生的预防措施。</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6、</w:t>
      </w:r>
      <w:r>
        <w:rPr>
          <w:rFonts w:ascii="Times New Roman" w:hAnsi="Times New Roman" w:cs="Times New Roman"/>
          <w:spacing w:val="0"/>
        </w:rPr>
        <w:t>提出、审查和组织实施有关环境保护的先进技术和治理方案及各项清洁生产方案</w:t>
      </w:r>
      <w:r>
        <w:rPr>
          <w:rFonts w:hint="eastAsia" w:ascii="Times New Roman" w:hAnsi="Times New Roman" w:cs="Times New Roman"/>
          <w:spacing w:val="0"/>
        </w:rPr>
        <w:t>，提高环境保护水平。</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7、作好环境保护知识的宣传工作和环保技能的培训工作，提高工作人员的环保意识和能力，保证各项环保措施的正常有效实施。</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8、</w:t>
      </w:r>
      <w:r>
        <w:rPr>
          <w:rFonts w:ascii="Times New Roman" w:hAnsi="Times New Roman" w:cs="Times New Roman"/>
          <w:spacing w:val="0"/>
        </w:rPr>
        <w:t>组织制定和实施企业日常的环境监测计划</w:t>
      </w:r>
      <w:r>
        <w:rPr>
          <w:rFonts w:hint="eastAsia" w:ascii="Times New Roman" w:hAnsi="Times New Roman" w:cs="Times New Roman"/>
          <w:spacing w:val="0"/>
        </w:rPr>
        <w:t>，安排各污染源的监测工作</w:t>
      </w:r>
      <w:r>
        <w:rPr>
          <w:rFonts w:ascii="Times New Roman" w:hAnsi="Times New Roman" w:cs="Times New Roman"/>
          <w:spacing w:val="0"/>
        </w:rPr>
        <w:t>；监督检查污染物总量控制与达标情况</w:t>
      </w:r>
      <w:r>
        <w:rPr>
          <w:rFonts w:hint="eastAsia" w:ascii="Times New Roman" w:hAnsi="Times New Roman" w:cs="Times New Roman"/>
          <w:spacing w:val="0"/>
        </w:rPr>
        <w:t>。</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9、建立企业与周边民众生活和谐同存的良好生存环境。</w:t>
      </w:r>
    </w:p>
    <w:p>
      <w:pPr>
        <w:pStyle w:val="5"/>
        <w:tabs>
          <w:tab w:val="clear" w:pos="1080"/>
        </w:tabs>
        <w:rPr>
          <w:rFonts w:ascii="Times New Roman"/>
        </w:rPr>
      </w:pPr>
      <w:r>
        <w:rPr>
          <w:rFonts w:hint="eastAsia" w:ascii="Times New Roman"/>
        </w:rPr>
        <w:t>建立</w:t>
      </w:r>
      <w:r>
        <w:rPr>
          <w:rFonts w:ascii="Times New Roman"/>
        </w:rPr>
        <w:t>健全</w:t>
      </w:r>
      <w:r>
        <w:rPr>
          <w:rFonts w:hint="eastAsia" w:ascii="Times New Roman"/>
        </w:rPr>
        <w:t>环境管理</w:t>
      </w:r>
      <w:r>
        <w:rPr>
          <w:rFonts w:ascii="Times New Roman"/>
        </w:rPr>
        <w:t>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要求企业结合国家有关环保法律、法规以及各级环保主管部门的规章制度、管理条例等，建立相应的环保管理制度，主要内容有：</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1、严格执行</w:t>
      </w:r>
      <w:r>
        <w:rPr>
          <w:rFonts w:ascii="Times New Roman" w:hAnsi="Times New Roman" w:cs="Times New Roman"/>
          <w:spacing w:val="0"/>
        </w:rPr>
        <w:t>“</w:t>
      </w:r>
      <w:r>
        <w:rPr>
          <w:rFonts w:hint="eastAsia" w:ascii="Times New Roman" w:hAnsi="Times New Roman" w:cs="Times New Roman"/>
          <w:spacing w:val="0"/>
        </w:rPr>
        <w:t>三同时</w:t>
      </w:r>
      <w:r>
        <w:rPr>
          <w:rFonts w:ascii="Times New Roman" w:hAnsi="Times New Roman" w:cs="Times New Roman"/>
          <w:spacing w:val="0"/>
        </w:rPr>
        <w:t>”</w:t>
      </w:r>
      <w:r>
        <w:rPr>
          <w:rFonts w:hint="eastAsia" w:ascii="Times New Roman" w:hAnsi="Times New Roman" w:cs="Times New Roman"/>
          <w:spacing w:val="0"/>
        </w:rPr>
        <w:t>的管理条例。</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严格执行建设项目环境影响评价的制度，并将继续按照国家法律法规要求，确保增加或改造的污染处理设施能够在主体工程恢复生产前完成设计和施工，做到与项目生产“同时验收运行”。</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2、严格执行排污许可制度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根据《关于印发</w:t>
      </w:r>
      <w:r>
        <w:rPr>
          <w:rFonts w:ascii="Times New Roman" w:hAnsi="Times New Roman" w:cs="Times New Roman"/>
          <w:spacing w:val="0"/>
        </w:rPr>
        <w:t>&lt;</w:t>
      </w:r>
      <w:r>
        <w:rPr>
          <w:rFonts w:hint="eastAsia" w:ascii="Times New Roman" w:hAnsi="Times New Roman" w:cs="Times New Roman"/>
          <w:spacing w:val="0"/>
        </w:rPr>
        <w:t>排污许可证管理暂行规定</w:t>
      </w:r>
      <w:r>
        <w:rPr>
          <w:rFonts w:ascii="Times New Roman" w:hAnsi="Times New Roman" w:cs="Times New Roman"/>
          <w:spacing w:val="0"/>
        </w:rPr>
        <w:t>&gt;</w:t>
      </w:r>
      <w:r>
        <w:rPr>
          <w:rFonts w:hint="eastAsia" w:ascii="Times New Roman" w:hAnsi="Times New Roman" w:cs="Times New Roman"/>
          <w:spacing w:val="0"/>
        </w:rPr>
        <w:t>的通知》（环水体</w:t>
      </w:r>
      <w:r>
        <w:rPr>
          <w:rFonts w:ascii="Times New Roman" w:hAnsi="Times New Roman" w:cs="Times New Roman"/>
          <w:spacing w:val="0"/>
        </w:rPr>
        <w:t>[2016]186</w:t>
      </w:r>
      <w:r>
        <w:rPr>
          <w:rFonts w:hint="eastAsia" w:ascii="Times New Roman" w:hAnsi="Times New Roman" w:cs="Times New Roman"/>
          <w:spacing w:val="0"/>
        </w:rPr>
        <w:t>号），国家对在生产经营过程中排放废气、废水、产生环境噪声污染和固体废物的行为实行许可证管理规定，本项目建成后需按照上述规定持证排污、按证排污，严格执行排污许可制度。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3、严格实行执行报告制度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凡实施排污许可证制度的排污单位，应执行月报制度。月报内容主要为污染治理设施的运行情况、污染物排放情况以及污染事故或污染纠纷等，具体要求按照地方环保主管部门的要求执行。</w:t>
      </w:r>
      <w:r>
        <w:rPr>
          <w:rFonts w:ascii="Times New Roman" w:hAnsi="Times New Roman" w:cs="Times New Roman"/>
          <w:spacing w:val="0"/>
        </w:rPr>
        <w:t xml:space="preserve"> </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企业排污发生重大变化、污染治理设施改变或企业改、扩建等都必须向当地环保部门申报，改、建设项目，必须按《</w:t>
      </w:r>
      <w:r>
        <w:rPr>
          <w:rFonts w:ascii="Times New Roman" w:hAnsi="Times New Roman" w:cs="Times New Roman"/>
          <w:spacing w:val="0"/>
        </w:rPr>
        <w:t>中华人民共和国环境保护法</w:t>
      </w:r>
      <w:r>
        <w:rPr>
          <w:rFonts w:hint="eastAsia" w:ascii="Times New Roman" w:hAnsi="Times New Roman" w:cs="Times New Roman"/>
          <w:spacing w:val="0"/>
        </w:rPr>
        <w:t>》、《</w:t>
      </w:r>
      <w:r>
        <w:rPr>
          <w:rFonts w:ascii="Times New Roman" w:hAnsi="Times New Roman" w:cs="Times New Roman"/>
          <w:spacing w:val="0"/>
        </w:rPr>
        <w:t>中华人民共和国环境影响评价法</w:t>
      </w:r>
      <w:r>
        <w:rPr>
          <w:rFonts w:hint="eastAsia" w:ascii="Times New Roman" w:hAnsi="Times New Roman" w:cs="Times New Roman"/>
          <w:spacing w:val="0"/>
        </w:rPr>
        <w:t>》等要求，报请有审批权限的环保部门审批，经审批同意后方可实施。</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4、健全污染治理设施管理制度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必须保证处理设施能够长期、稳定、有效地进行处理运行，不得擅自拆除或者闲置除尘设施和废水处理设施，不得故意不正常使用污染治理设施。治理设施的操作管理必须与公司的生产经营活动一起纳入日常管理工作的范畴，落实责任人、操作人员、维修人员、运行经费、设备的备品备件和其他原辅材料。同时要建立健全各级岗位责任制、制定正确的操作规程、建立管理台帐。</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5、信息公开制度</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本项目建成后，应建立健全环境信息公开制度，及时、完整、准确的按照《企业事业单位环境信息公开办法》（环保部第</w:t>
      </w:r>
      <w:r>
        <w:rPr>
          <w:rFonts w:ascii="Times New Roman" w:hAnsi="Times New Roman" w:cs="Times New Roman"/>
          <w:spacing w:val="0"/>
        </w:rPr>
        <w:t xml:space="preserve">31 </w:t>
      </w:r>
      <w:r>
        <w:rPr>
          <w:rFonts w:hint="eastAsia" w:ascii="Times New Roman" w:hAnsi="Times New Roman" w:cs="Times New Roman"/>
          <w:spacing w:val="0"/>
        </w:rPr>
        <w:t>号令）等法律法规及技术规范要求，向社会及时公开污染防治设施的建设、运行情况，排放污染物名称、排放方式、排放浓度和总量、超标排放情况和整改情况等信息。</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6、其它</w:t>
      </w:r>
    </w:p>
    <w:p>
      <w:pPr>
        <w:pStyle w:val="4"/>
        <w:spacing w:line="480" w:lineRule="exact"/>
        <w:ind w:firstLine="480"/>
        <w:rPr>
          <w:rFonts w:ascii="Times New Roman" w:hAnsi="Times New Roman" w:cs="Times New Roman"/>
          <w:spacing w:val="0"/>
        </w:rPr>
      </w:pPr>
      <w:r>
        <w:rPr>
          <w:rFonts w:hint="eastAsia" w:ascii="Times New Roman" w:hAnsi="Times New Roman" w:cs="Times New Roman"/>
          <w:spacing w:val="0"/>
        </w:rPr>
        <w:t>根据要求，建立健全相应的环境保护管理制度、环境保护责任制、环保设施巡回检查制度、危险废物环境管理制度等相关制度，以规范项目日常运营过程的环保管理。</w:t>
      </w:r>
    </w:p>
    <w:p>
      <w:pPr>
        <w:pStyle w:val="5"/>
        <w:tabs>
          <w:tab w:val="clear" w:pos="1080"/>
        </w:tabs>
        <w:rPr>
          <w:rFonts w:ascii="Times New Roman"/>
        </w:rPr>
      </w:pPr>
      <w:r>
        <w:rPr>
          <w:rFonts w:hint="eastAsia" w:ascii="Times New Roman"/>
        </w:rPr>
        <w:t>建立</w:t>
      </w:r>
      <w:r>
        <w:rPr>
          <w:rFonts w:ascii="Times New Roman"/>
        </w:rPr>
        <w:t>健全</w:t>
      </w:r>
      <w:r>
        <w:rPr>
          <w:rFonts w:hint="eastAsia" w:ascii="Times New Roman"/>
        </w:rPr>
        <w:t>环境管理台帐</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开展环境管理台账的目的是自我证明排放情况，应按照“规范、真实、全面、细致”的原则，依据规范要求，建立环境管理台账制度，设置专职人员进行台账的记录、整理、维护和管理，并对台账记录结果的真实性、准确性、完整性负责。</w:t>
      </w:r>
      <w:r>
        <w:rPr>
          <w:rFonts w:hint="eastAsia" w:ascii="Times New Roman" w:hAnsi="Times New Roman" w:cs="Times New Roman"/>
          <w:spacing w:val="0"/>
        </w:rPr>
        <w:t>台账应真实记录生产设施运行管理信息、原辅料及燃料采购信息、污染治理设施运行管理信息、非正常工况及污染治理设施异常情况记录信息、监测记录信息、其他环境管理信息。建设单位可根据实际情况自行制定记录内容格式。</w:t>
      </w:r>
      <w:r>
        <w:rPr>
          <w:rFonts w:ascii="Times New Roman" w:hAnsi="Times New Roman" w:cs="Times New Roman"/>
          <w:spacing w:val="0"/>
        </w:rPr>
        <w:t>为实现台账便于携带、作为许可证执行情况佐证并长时间储存的目的以及导出原始数据，加工分析、综合判断运行情况的功能，台账应当按照电子化储存和纸质储存两种形式同步管理。台账保存期限不得少于三年。</w:t>
      </w:r>
    </w:p>
    <w:p>
      <w:pPr>
        <w:pStyle w:val="5"/>
        <w:tabs>
          <w:tab w:val="clear" w:pos="1080"/>
        </w:tabs>
        <w:rPr>
          <w:rFonts w:ascii="Times New Roman"/>
        </w:rPr>
      </w:pPr>
      <w:r>
        <w:rPr>
          <w:rFonts w:hint="eastAsia" w:ascii="Times New Roman"/>
        </w:rPr>
        <w:t>资金保障计划</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资金是</w:t>
      </w:r>
      <w:r>
        <w:rPr>
          <w:rFonts w:hint="eastAsia" w:ascii="Times New Roman" w:hAnsi="Times New Roman" w:cs="Times New Roman"/>
          <w:spacing w:val="0"/>
        </w:rPr>
        <w:t>环境管理</w:t>
      </w:r>
      <w:r>
        <w:rPr>
          <w:rFonts w:ascii="Times New Roman" w:hAnsi="Times New Roman" w:cs="Times New Roman"/>
          <w:spacing w:val="0"/>
        </w:rPr>
        <w:t>实施的基本保障</w:t>
      </w:r>
      <w:r>
        <w:rPr>
          <w:rFonts w:hint="eastAsia" w:ascii="Times New Roman" w:hAnsi="Times New Roman" w:cs="Times New Roman"/>
          <w:spacing w:val="0"/>
        </w:rPr>
        <w:t>，</w:t>
      </w:r>
      <w:r>
        <w:rPr>
          <w:rFonts w:ascii="Times New Roman" w:hAnsi="Times New Roman" w:cs="Times New Roman"/>
          <w:spacing w:val="0"/>
        </w:rPr>
        <w:t>如果资金</w:t>
      </w:r>
      <w:r>
        <w:rPr>
          <w:rFonts w:hint="eastAsia" w:ascii="Times New Roman" w:hAnsi="Times New Roman" w:cs="Times New Roman"/>
          <w:spacing w:val="0"/>
        </w:rPr>
        <w:t>无法保障，则环境管理</w:t>
      </w:r>
      <w:r>
        <w:rPr>
          <w:rFonts w:ascii="Times New Roman" w:hAnsi="Times New Roman" w:cs="Times New Roman"/>
          <w:spacing w:val="0"/>
        </w:rPr>
        <w:t>将难以得到保证。为确保本工程项目的正常运作</w:t>
      </w:r>
      <w:r>
        <w:rPr>
          <w:rFonts w:hint="eastAsia" w:ascii="Times New Roman" w:hAnsi="Times New Roman" w:cs="Times New Roman"/>
          <w:spacing w:val="0"/>
        </w:rPr>
        <w:t>，</w:t>
      </w:r>
      <w:r>
        <w:rPr>
          <w:rFonts w:ascii="Times New Roman" w:hAnsi="Times New Roman" w:cs="Times New Roman"/>
          <w:spacing w:val="0"/>
        </w:rPr>
        <w:t>制定如下资金保障</w:t>
      </w:r>
      <w:r>
        <w:rPr>
          <w:rFonts w:hint="eastAsia" w:ascii="Times New Roman" w:hAnsi="Times New Roman" w:cs="Times New Roman"/>
          <w:spacing w:val="0"/>
        </w:rPr>
        <w:t>计划：</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1、</w:t>
      </w:r>
      <w:r>
        <w:rPr>
          <w:rFonts w:hint="eastAsia" w:ascii="Times New Roman" w:hAnsi="Times New Roman" w:cs="Times New Roman"/>
          <w:spacing w:val="0"/>
        </w:rPr>
        <w:t>将环境管理资金列入年度成本预算，预算</w:t>
      </w:r>
      <w:r>
        <w:rPr>
          <w:rFonts w:ascii="Times New Roman" w:hAnsi="Times New Roman" w:cs="Times New Roman"/>
          <w:spacing w:val="0"/>
        </w:rPr>
        <w:t>计划由</w:t>
      </w:r>
      <w:r>
        <w:rPr>
          <w:rFonts w:hint="eastAsia" w:ascii="Times New Roman" w:hAnsi="Times New Roman" w:cs="Times New Roman"/>
          <w:spacing w:val="0"/>
        </w:rPr>
        <w:t>专人制作，</w:t>
      </w:r>
      <w:r>
        <w:rPr>
          <w:rFonts w:ascii="Times New Roman" w:hAnsi="Times New Roman" w:cs="Times New Roman"/>
          <w:spacing w:val="0"/>
        </w:rPr>
        <w:t>并报</w:t>
      </w:r>
      <w:r>
        <w:fldChar w:fldCharType="begin"/>
      </w:r>
      <w:r>
        <w:instrText xml:space="preserve"> HYPERLINK "http://www.fdcew.com/hypx/List_192.html" \t "_blank" </w:instrText>
      </w:r>
      <w:r>
        <w:fldChar w:fldCharType="separate"/>
      </w:r>
      <w:r>
        <w:rPr>
          <w:rFonts w:ascii="Times New Roman" w:hAnsi="Times New Roman" w:cs="Times New Roman"/>
          <w:spacing w:val="0"/>
        </w:rPr>
        <w:t>财务</w:t>
      </w:r>
      <w:r>
        <w:rPr>
          <w:rFonts w:ascii="Times New Roman" w:hAnsi="Times New Roman" w:cs="Times New Roman"/>
          <w:spacing w:val="0"/>
        </w:rPr>
        <w:fldChar w:fldCharType="end"/>
      </w:r>
      <w:r>
        <w:rPr>
          <w:rFonts w:ascii="Times New Roman" w:hAnsi="Times New Roman" w:cs="Times New Roman"/>
          <w:spacing w:val="0"/>
        </w:rPr>
        <w:t>部门核算</w:t>
      </w:r>
      <w:r>
        <w:rPr>
          <w:rFonts w:hint="eastAsia" w:ascii="Times New Roman" w:hAnsi="Times New Roman" w:cs="Times New Roman"/>
          <w:spacing w:val="0"/>
        </w:rPr>
        <w:t>，最终由企业负责人</w:t>
      </w:r>
      <w:r>
        <w:rPr>
          <w:rFonts w:ascii="Times New Roman" w:hAnsi="Times New Roman" w:cs="Times New Roman"/>
          <w:spacing w:val="0"/>
        </w:rPr>
        <w:t>批准</w:t>
      </w:r>
      <w:r>
        <w:rPr>
          <w:rFonts w:hint="eastAsia" w:ascii="Times New Roman" w:hAnsi="Times New Roman" w:cs="Times New Roman"/>
          <w:spacing w:val="0"/>
        </w:rPr>
        <w:t>，</w:t>
      </w:r>
      <w:r>
        <w:rPr>
          <w:rFonts w:ascii="Times New Roman" w:hAnsi="Times New Roman" w:cs="Times New Roman"/>
          <w:spacing w:val="0"/>
        </w:rPr>
        <w:t>经批准的文件作为调拨资金的基本凭证。</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2、对于</w:t>
      </w:r>
      <w:r>
        <w:rPr>
          <w:rFonts w:hint="eastAsia" w:ascii="Times New Roman" w:hAnsi="Times New Roman" w:cs="Times New Roman"/>
          <w:spacing w:val="0"/>
        </w:rPr>
        <w:t>环境管理资金，</w:t>
      </w:r>
      <w:r>
        <w:rPr>
          <w:rFonts w:ascii="Times New Roman" w:hAnsi="Times New Roman" w:cs="Times New Roman"/>
          <w:spacing w:val="0"/>
        </w:rPr>
        <w:t>实行专款专用</w:t>
      </w:r>
      <w:r>
        <w:rPr>
          <w:rFonts w:hint="eastAsia" w:ascii="Times New Roman" w:hAnsi="Times New Roman" w:cs="Times New Roman"/>
          <w:spacing w:val="0"/>
        </w:rPr>
        <w:t>，</w:t>
      </w:r>
      <w:r>
        <w:rPr>
          <w:rFonts w:ascii="Times New Roman" w:hAnsi="Times New Roman" w:cs="Times New Roman"/>
          <w:spacing w:val="0"/>
        </w:rPr>
        <w:t>不得挪用于其它</w:t>
      </w:r>
      <w:r>
        <w:rPr>
          <w:rFonts w:hint="eastAsia" w:ascii="Times New Roman" w:hAnsi="Times New Roman" w:cs="Times New Roman"/>
          <w:spacing w:val="0"/>
        </w:rPr>
        <w:t>用途</w:t>
      </w:r>
      <w:r>
        <w:rPr>
          <w:rFonts w:ascii="Times New Roman" w:hAnsi="Times New Roman" w:cs="Times New Roman"/>
          <w:spacing w:val="0"/>
        </w:rPr>
        <w:t>。</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3、对于可能出现的临时资金问题，</w:t>
      </w:r>
      <w:r>
        <w:rPr>
          <w:rFonts w:hint="eastAsia" w:ascii="Times New Roman" w:hAnsi="Times New Roman" w:cs="Times New Roman"/>
          <w:spacing w:val="0"/>
        </w:rPr>
        <w:t>企业</w:t>
      </w:r>
      <w:r>
        <w:rPr>
          <w:rFonts w:ascii="Times New Roman" w:hAnsi="Times New Roman" w:cs="Times New Roman"/>
          <w:spacing w:val="0"/>
        </w:rPr>
        <w:t>财务部门应设立一定数额的储备保证金</w:t>
      </w:r>
      <w:r>
        <w:rPr>
          <w:rFonts w:hint="eastAsia" w:ascii="Times New Roman" w:hAnsi="Times New Roman" w:cs="Times New Roman"/>
          <w:spacing w:val="0"/>
        </w:rPr>
        <w:t>。</w:t>
      </w:r>
    </w:p>
    <w:p>
      <w:pPr>
        <w:pStyle w:val="3"/>
        <w:numPr>
          <w:ilvl w:val="1"/>
          <w:numId w:val="24"/>
        </w:numPr>
        <w:tabs>
          <w:tab w:val="clear" w:pos="567"/>
        </w:tabs>
        <w:rPr>
          <w:rFonts w:ascii="Times New Roman" w:hAnsi="Times New Roman"/>
        </w:rPr>
      </w:pPr>
      <w:bookmarkStart w:id="301" w:name="_Toc236461585"/>
      <w:bookmarkStart w:id="302" w:name="_Toc231527993"/>
      <w:bookmarkStart w:id="303" w:name="_Toc217811919"/>
      <w:bookmarkStart w:id="304" w:name="_Toc207888248"/>
      <w:bookmarkStart w:id="305" w:name="_Toc10637183"/>
      <w:bookmarkStart w:id="306" w:name="_Toc511116324"/>
      <w:bookmarkStart w:id="307" w:name="_Toc494359408"/>
      <w:bookmarkStart w:id="308" w:name="_Toc477424838"/>
      <w:r>
        <w:rPr>
          <w:rFonts w:ascii="Times New Roman" w:hAnsi="Times New Roman"/>
        </w:rPr>
        <w:t>环境</w:t>
      </w:r>
      <w:bookmarkEnd w:id="301"/>
      <w:bookmarkEnd w:id="302"/>
      <w:bookmarkEnd w:id="303"/>
      <w:bookmarkEnd w:id="304"/>
      <w:r>
        <w:rPr>
          <w:rFonts w:ascii="Times New Roman" w:hAnsi="Times New Roman"/>
        </w:rPr>
        <w:t>监测计划</w:t>
      </w:r>
      <w:bookmarkEnd w:id="305"/>
      <w:bookmarkEnd w:id="306"/>
      <w:bookmarkEnd w:id="307"/>
      <w:bookmarkEnd w:id="308"/>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企业应按照有关法律和《环境监测管理办法》等规定，建立企业监测制度，对污染物排放状况及其对周边环境质量的影响开展自行监测，保存原始监测记录，并公布监测结果。同时，环境保护行政主管部门应采用随机方式对项目进行日常监督性监测。环境监测计划应包括</w:t>
      </w:r>
      <w:r>
        <w:rPr>
          <w:rFonts w:hint="eastAsia" w:ascii="Times New Roman" w:hAnsi="Times New Roman" w:cs="Times New Roman"/>
          <w:spacing w:val="0"/>
        </w:rPr>
        <w:t>三</w:t>
      </w:r>
      <w:r>
        <w:rPr>
          <w:rFonts w:ascii="Times New Roman" w:hAnsi="Times New Roman" w:cs="Times New Roman"/>
          <w:spacing w:val="0"/>
        </w:rPr>
        <w:t>部分：一为竣工验收监测，二为营运期的污染源监测</w:t>
      </w:r>
      <w:r>
        <w:rPr>
          <w:rFonts w:hint="eastAsia" w:ascii="Times New Roman" w:hAnsi="Times New Roman" w:cs="Times New Roman"/>
          <w:spacing w:val="0"/>
        </w:rPr>
        <w:t>，三为环境质量监测</w:t>
      </w:r>
      <w:r>
        <w:rPr>
          <w:rFonts w:ascii="Times New Roman" w:hAnsi="Times New Roman" w:cs="Times New Roman"/>
          <w:spacing w:val="0"/>
        </w:rPr>
        <w:t>。</w:t>
      </w:r>
    </w:p>
    <w:p>
      <w:pPr>
        <w:pStyle w:val="5"/>
        <w:tabs>
          <w:tab w:val="clear" w:pos="1080"/>
        </w:tabs>
        <w:rPr>
          <w:rFonts w:ascii="Times New Roman"/>
        </w:rPr>
      </w:pPr>
      <w:r>
        <w:rPr>
          <w:rFonts w:ascii="Times New Roman"/>
        </w:rPr>
        <w:t>环境保护设施验收清单</w:t>
      </w:r>
    </w:p>
    <w:p>
      <w:pPr>
        <w:pStyle w:val="4"/>
        <w:spacing w:line="480" w:lineRule="exact"/>
        <w:ind w:firstLine="480"/>
        <w:rPr>
          <w:rFonts w:ascii="Times New Roman" w:hAnsi="Times New Roman" w:cs="Times New Roman"/>
          <w:spacing w:val="0"/>
        </w:rPr>
      </w:pPr>
      <w:r>
        <w:rPr>
          <w:rFonts w:ascii="Times New Roman" w:hAnsi="Times New Roman" w:cs="Times New Roman"/>
          <w:spacing w:val="0"/>
        </w:rPr>
        <w:t>项目环境保护设施实行</w:t>
      </w:r>
      <w:r>
        <w:rPr>
          <w:rFonts w:cs="Times New Roman" w:asciiTheme="minorEastAsia" w:hAnsiTheme="minorEastAsia" w:eastAsiaTheme="minorEastAsia"/>
          <w:spacing w:val="0"/>
        </w:rPr>
        <w:t>“三同时”</w:t>
      </w:r>
      <w:r>
        <w:rPr>
          <w:rFonts w:ascii="Times New Roman" w:hAnsi="Times New Roman" w:cs="Times New Roman"/>
          <w:spacing w:val="0"/>
        </w:rPr>
        <w:t>制度，环境保护设施须与主体工程同时设计、同时施工、同时运行，正式投产运行前进行环境保护设施竣工验收，项目环境保护设施验收清单见表9-1。</w:t>
      </w:r>
    </w:p>
    <w:p>
      <w:pPr>
        <w:pStyle w:val="313"/>
        <w:tabs>
          <w:tab w:val="clear" w:pos="3908"/>
        </w:tabs>
        <w:ind w:left="1122" w:hanging="561"/>
        <w:rPr>
          <w:rFonts w:ascii="Times New Roman" w:hAnsi="Times New Roman"/>
        </w:rPr>
      </w:pPr>
      <w:r>
        <w:rPr>
          <w:rFonts w:ascii="Times New Roman" w:hAnsi="Times New Roman"/>
        </w:rPr>
        <w:t>环保“三同时”验收清单一览表</w:t>
      </w:r>
    </w:p>
    <w:tbl>
      <w:tblPr>
        <w:tblStyle w:val="87"/>
        <w:tblW w:w="865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5"/>
        <w:gridCol w:w="457"/>
        <w:gridCol w:w="638"/>
        <w:gridCol w:w="1908"/>
        <w:gridCol w:w="2659"/>
        <w:gridCol w:w="1490"/>
        <w:gridCol w:w="6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Align w:val="center"/>
          </w:tcPr>
          <w:p>
            <w:pPr>
              <w:pStyle w:val="45"/>
              <w:spacing w:line="300" w:lineRule="exact"/>
              <w:jc w:val="center"/>
              <w:rPr>
                <w:rFonts w:ascii="Times New Roman" w:hAnsi="Times New Roman"/>
                <w:szCs w:val="21"/>
              </w:rPr>
            </w:pPr>
            <w:r>
              <w:rPr>
                <w:rFonts w:ascii="Times New Roman" w:hAnsi="Times New Roman"/>
                <w:szCs w:val="21"/>
              </w:rPr>
              <w:t>类别</w:t>
            </w:r>
          </w:p>
        </w:tc>
        <w:tc>
          <w:tcPr>
            <w:tcW w:w="1095" w:type="dxa"/>
            <w:gridSpan w:val="2"/>
            <w:vAlign w:val="center"/>
          </w:tcPr>
          <w:p>
            <w:pPr>
              <w:pStyle w:val="45"/>
              <w:spacing w:line="300" w:lineRule="exact"/>
              <w:jc w:val="center"/>
              <w:rPr>
                <w:rFonts w:ascii="Times New Roman" w:hAnsi="Times New Roman"/>
                <w:szCs w:val="21"/>
              </w:rPr>
            </w:pPr>
            <w:r>
              <w:rPr>
                <w:rFonts w:ascii="Times New Roman" w:hAnsi="Times New Roman"/>
                <w:szCs w:val="21"/>
              </w:rPr>
              <w:t>项目</w:t>
            </w:r>
          </w:p>
        </w:tc>
        <w:tc>
          <w:tcPr>
            <w:tcW w:w="1908" w:type="dxa"/>
            <w:vAlign w:val="center"/>
          </w:tcPr>
          <w:p>
            <w:pPr>
              <w:pStyle w:val="45"/>
              <w:spacing w:line="300" w:lineRule="exact"/>
              <w:jc w:val="center"/>
              <w:rPr>
                <w:rFonts w:ascii="Times New Roman" w:hAnsi="Times New Roman"/>
                <w:szCs w:val="21"/>
              </w:rPr>
            </w:pPr>
            <w:r>
              <w:rPr>
                <w:rFonts w:ascii="Times New Roman" w:hAnsi="Times New Roman"/>
                <w:szCs w:val="21"/>
              </w:rPr>
              <w:t>环保治理措施</w:t>
            </w:r>
          </w:p>
        </w:tc>
        <w:tc>
          <w:tcPr>
            <w:tcW w:w="2659" w:type="dxa"/>
            <w:vAlign w:val="center"/>
          </w:tcPr>
          <w:p>
            <w:pPr>
              <w:pStyle w:val="45"/>
              <w:spacing w:line="300" w:lineRule="exact"/>
              <w:jc w:val="center"/>
              <w:rPr>
                <w:rFonts w:ascii="Times New Roman" w:hAnsi="Times New Roman"/>
                <w:szCs w:val="21"/>
              </w:rPr>
            </w:pPr>
            <w:r>
              <w:rPr>
                <w:rFonts w:ascii="Times New Roman" w:hAnsi="Times New Roman"/>
                <w:szCs w:val="21"/>
              </w:rPr>
              <w:t>措施效果</w:t>
            </w:r>
          </w:p>
        </w:tc>
        <w:tc>
          <w:tcPr>
            <w:tcW w:w="1490" w:type="dxa"/>
            <w:vAlign w:val="center"/>
          </w:tcPr>
          <w:p>
            <w:pPr>
              <w:pStyle w:val="45"/>
              <w:spacing w:line="300" w:lineRule="exact"/>
              <w:jc w:val="center"/>
              <w:rPr>
                <w:rFonts w:ascii="Times New Roman" w:hAnsi="Times New Roman"/>
                <w:szCs w:val="21"/>
              </w:rPr>
            </w:pPr>
            <w:r>
              <w:rPr>
                <w:rFonts w:ascii="Times New Roman" w:hAnsi="Times New Roman"/>
                <w:szCs w:val="21"/>
              </w:rPr>
              <w:t>验收内容</w:t>
            </w:r>
          </w:p>
        </w:tc>
        <w:tc>
          <w:tcPr>
            <w:tcW w:w="644" w:type="dxa"/>
            <w:tcBorders>
              <w:right w:val="single" w:color="auto" w:sz="4" w:space="0"/>
            </w:tcBorders>
            <w:vAlign w:val="center"/>
          </w:tcPr>
          <w:p>
            <w:pPr>
              <w:pStyle w:val="45"/>
              <w:spacing w:line="300" w:lineRule="exact"/>
              <w:jc w:val="center"/>
              <w:rPr>
                <w:rFonts w:ascii="Times New Roman" w:hAnsi="Times New Roman"/>
                <w:szCs w:val="21"/>
              </w:rPr>
            </w:pPr>
            <w:r>
              <w:rPr>
                <w:rFonts w:ascii="Times New Roman" w:hAnsi="Times New Roman"/>
                <w:szCs w:val="21"/>
              </w:rPr>
              <w:t>进度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restart"/>
            <w:vAlign w:val="center"/>
          </w:tcPr>
          <w:p>
            <w:pPr>
              <w:pStyle w:val="45"/>
              <w:spacing w:line="300" w:lineRule="exact"/>
              <w:jc w:val="center"/>
              <w:rPr>
                <w:rFonts w:ascii="Times New Roman" w:hAnsi="Times New Roman"/>
                <w:szCs w:val="21"/>
              </w:rPr>
            </w:pPr>
            <w:r>
              <w:rPr>
                <w:rFonts w:ascii="Times New Roman" w:hAnsi="Times New Roman"/>
                <w:szCs w:val="21"/>
              </w:rPr>
              <w:t>废气</w:t>
            </w:r>
          </w:p>
        </w:tc>
        <w:tc>
          <w:tcPr>
            <w:tcW w:w="1095" w:type="dxa"/>
            <w:gridSpan w:val="2"/>
            <w:vAlign w:val="center"/>
          </w:tcPr>
          <w:p>
            <w:pPr>
              <w:pStyle w:val="45"/>
              <w:spacing w:line="300" w:lineRule="exact"/>
              <w:jc w:val="center"/>
              <w:rPr>
                <w:rFonts w:ascii="Times New Roman" w:hAnsi="Times New Roman"/>
                <w:szCs w:val="21"/>
              </w:rPr>
            </w:pPr>
            <w:r>
              <w:rPr>
                <w:rFonts w:hint="eastAsia" w:ascii="Times New Roman" w:hAnsi="Times New Roman"/>
                <w:szCs w:val="21"/>
              </w:rPr>
              <w:t>精炼废气、连铸废气</w:t>
            </w:r>
          </w:p>
        </w:tc>
        <w:tc>
          <w:tcPr>
            <w:tcW w:w="1908"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布袋除尘器</w:t>
            </w:r>
          </w:p>
        </w:tc>
        <w:tc>
          <w:tcPr>
            <w:tcW w:w="2659" w:type="dxa"/>
            <w:vAlign w:val="center"/>
          </w:tcPr>
          <w:p>
            <w:pPr>
              <w:pStyle w:val="45"/>
              <w:spacing w:line="300" w:lineRule="exact"/>
              <w:jc w:val="center"/>
              <w:rPr>
                <w:rFonts w:ascii="Times New Roman" w:hAnsi="Times New Roman"/>
                <w:szCs w:val="21"/>
              </w:rPr>
            </w:pPr>
            <w:r>
              <w:rPr>
                <w:rFonts w:hint="eastAsia" w:ascii="Times New Roman" w:hAnsi="Times New Roman"/>
              </w:rPr>
              <w:t>《炼钢工业大气污染物排放标准》（GB28664-2012）中表3的特别排放限值、环大气 [2019]35号文</w:t>
            </w:r>
            <w:r>
              <w:rPr>
                <w:rFonts w:ascii="Times New Roman" w:hAnsi="Times New Roman"/>
              </w:rPr>
              <w:t>超低排放限值</w:t>
            </w:r>
          </w:p>
        </w:tc>
        <w:tc>
          <w:tcPr>
            <w:tcW w:w="1490"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颗粒物</w:t>
            </w:r>
          </w:p>
        </w:tc>
        <w:tc>
          <w:tcPr>
            <w:tcW w:w="644" w:type="dxa"/>
            <w:vMerge w:val="restart"/>
            <w:tcBorders>
              <w:right w:val="single" w:color="auto" w:sz="4" w:space="0"/>
            </w:tcBorders>
            <w:vAlign w:val="center"/>
          </w:tcPr>
          <w:p>
            <w:pPr>
              <w:pStyle w:val="45"/>
              <w:spacing w:line="300" w:lineRule="exact"/>
              <w:jc w:val="center"/>
              <w:rPr>
                <w:rFonts w:ascii="Times New Roman" w:hAnsi="Times New Roman"/>
                <w:szCs w:val="21"/>
              </w:rPr>
            </w:pPr>
            <w:r>
              <w:rPr>
                <w:rFonts w:ascii="Times New Roman" w:hAnsi="Times New Roman"/>
                <w:lang w:bidi="ar"/>
              </w:rPr>
              <w:t>与本项目建设同时设计、同时施工、同时竣工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5"/>
              <w:spacing w:line="300" w:lineRule="exact"/>
              <w:jc w:val="center"/>
              <w:rPr>
                <w:rFonts w:ascii="Times New Roman" w:hAnsi="Times New Roman"/>
                <w:szCs w:val="21"/>
              </w:rPr>
            </w:pPr>
          </w:p>
        </w:tc>
        <w:tc>
          <w:tcPr>
            <w:tcW w:w="1095" w:type="dxa"/>
            <w:gridSpan w:val="2"/>
            <w:vAlign w:val="center"/>
          </w:tcPr>
          <w:p>
            <w:pPr>
              <w:pStyle w:val="45"/>
              <w:spacing w:line="300" w:lineRule="exact"/>
              <w:jc w:val="center"/>
              <w:rPr>
                <w:rFonts w:ascii="Times New Roman" w:hAnsi="Times New Roman"/>
                <w:szCs w:val="21"/>
              </w:rPr>
            </w:pPr>
            <w:r>
              <w:rPr>
                <w:rFonts w:hint="eastAsia" w:ascii="Times New Roman" w:hAnsi="Times New Roman"/>
                <w:szCs w:val="21"/>
              </w:rPr>
              <w:t>厂界</w:t>
            </w:r>
          </w:p>
        </w:tc>
        <w:tc>
          <w:tcPr>
            <w:tcW w:w="1908"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w:t>
            </w:r>
          </w:p>
        </w:tc>
        <w:tc>
          <w:tcPr>
            <w:tcW w:w="2659" w:type="dxa"/>
            <w:vAlign w:val="center"/>
          </w:tcPr>
          <w:p>
            <w:pPr>
              <w:pStyle w:val="45"/>
              <w:spacing w:line="300" w:lineRule="exact"/>
              <w:jc w:val="center"/>
              <w:rPr>
                <w:rFonts w:ascii="Times New Roman" w:hAnsi="Times New Roman"/>
                <w:szCs w:val="21"/>
              </w:rPr>
            </w:pPr>
            <w:r>
              <w:rPr>
                <w:rFonts w:ascii="Times New Roman" w:hAnsi="Times New Roman"/>
                <w:szCs w:val="21"/>
              </w:rPr>
              <w:t>《大气污染物综合排放标准》（GB16297-1996）新污染源二级标准</w:t>
            </w:r>
          </w:p>
        </w:tc>
        <w:tc>
          <w:tcPr>
            <w:tcW w:w="1490"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颗粒物、</w:t>
            </w: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x</w:t>
            </w:r>
          </w:p>
        </w:tc>
        <w:tc>
          <w:tcPr>
            <w:tcW w:w="644" w:type="dxa"/>
            <w:vMerge w:val="continue"/>
            <w:tcBorders>
              <w:right w:val="single" w:color="auto" w:sz="4" w:space="0"/>
            </w:tcBorders>
            <w:vAlign w:val="center"/>
          </w:tcPr>
          <w:p>
            <w:pPr>
              <w:pStyle w:val="45"/>
              <w:spacing w:line="300" w:lineRule="exact"/>
              <w:jc w:val="center"/>
              <w:rPr>
                <w:rFonts w:ascii="Times New Roman" w:hAnsi="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restart"/>
            <w:vAlign w:val="center"/>
          </w:tcPr>
          <w:p>
            <w:pPr>
              <w:pStyle w:val="45"/>
              <w:spacing w:line="300" w:lineRule="exact"/>
              <w:jc w:val="center"/>
              <w:rPr>
                <w:rFonts w:ascii="Times New Roman" w:hAnsi="Times New Roman"/>
                <w:szCs w:val="21"/>
              </w:rPr>
            </w:pPr>
            <w:r>
              <w:rPr>
                <w:rFonts w:ascii="Times New Roman" w:hAnsi="Times New Roman"/>
                <w:szCs w:val="21"/>
              </w:rPr>
              <w:t>废水</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净环水系统</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过滤</w:t>
            </w:r>
          </w:p>
        </w:tc>
        <w:tc>
          <w:tcPr>
            <w:tcW w:w="2659" w:type="dxa"/>
            <w:vMerge w:val="restart"/>
            <w:vAlign w:val="center"/>
          </w:tcPr>
          <w:p>
            <w:pPr>
              <w:pStyle w:val="45"/>
              <w:spacing w:line="300" w:lineRule="exact"/>
              <w:jc w:val="center"/>
              <w:rPr>
                <w:rFonts w:ascii="Times New Roman" w:hAnsi="Times New Roman"/>
                <w:szCs w:val="21"/>
              </w:rPr>
            </w:pPr>
            <w:r>
              <w:rPr>
                <w:rFonts w:hint="eastAsia" w:ascii="Times New Roman" w:hAnsi="Times New Roman"/>
              </w:rPr>
              <w:t>《炼钢工程设计规范(GB50439-2015)》中炼钢用水水质指标</w:t>
            </w:r>
          </w:p>
        </w:tc>
        <w:tc>
          <w:tcPr>
            <w:tcW w:w="1490" w:type="dxa"/>
            <w:vAlign w:val="center"/>
          </w:tcPr>
          <w:p>
            <w:pPr>
              <w:pStyle w:val="45"/>
              <w:spacing w:line="300" w:lineRule="exact"/>
              <w:jc w:val="center"/>
              <w:rPr>
                <w:rFonts w:ascii="Times New Roman" w:hAnsi="Times New Roman"/>
                <w:szCs w:val="21"/>
              </w:rPr>
            </w:pPr>
            <w:r>
              <w:rPr>
                <w:rFonts w:ascii="Times New Roman" w:hAnsi="Times New Roman"/>
                <w:szCs w:val="21"/>
              </w:rPr>
              <w:t>S</w:t>
            </w:r>
            <w:r>
              <w:rPr>
                <w:rFonts w:hint="eastAsia" w:ascii="Times New Roman" w:hAnsi="Times New Roman"/>
                <w:szCs w:val="21"/>
              </w:rPr>
              <w:t>S</w:t>
            </w:r>
          </w:p>
        </w:tc>
        <w:tc>
          <w:tcPr>
            <w:tcW w:w="644" w:type="dxa"/>
            <w:vMerge w:val="continue"/>
            <w:tcBorders>
              <w:right w:val="single" w:color="auto" w:sz="4" w:space="0"/>
            </w:tcBorders>
            <w:vAlign w:val="center"/>
          </w:tcPr>
          <w:p>
            <w:pPr>
              <w:pStyle w:val="45"/>
              <w:spacing w:line="300" w:lineRule="exact"/>
              <w:jc w:val="center"/>
              <w:rPr>
                <w:rFonts w:ascii="Times New Roman" w:hAnsi="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5"/>
              <w:spacing w:line="300" w:lineRule="exact"/>
              <w:jc w:val="center"/>
              <w:rPr>
                <w:rFonts w:ascii="Times New Roman" w:hAnsi="Times New Roman"/>
                <w:szCs w:val="21"/>
              </w:rPr>
            </w:pPr>
          </w:p>
        </w:tc>
        <w:tc>
          <w:tcPr>
            <w:tcW w:w="1095" w:type="dxa"/>
            <w:gridSpan w:val="2"/>
            <w:vAlign w:val="center"/>
          </w:tcPr>
          <w:p>
            <w:pPr>
              <w:pStyle w:val="45"/>
              <w:spacing w:line="300" w:lineRule="exact"/>
              <w:jc w:val="center"/>
              <w:rPr>
                <w:rFonts w:ascii="Times New Roman" w:hAnsi="Times New Roman"/>
                <w:szCs w:val="21"/>
              </w:rPr>
            </w:pPr>
            <w:r>
              <w:rPr>
                <w:rFonts w:hint="eastAsia" w:ascii="Times New Roman" w:hAnsi="Times New Roman"/>
                <w:szCs w:val="21"/>
              </w:rPr>
              <w:t>浊环水系统</w:t>
            </w:r>
          </w:p>
        </w:tc>
        <w:tc>
          <w:tcPr>
            <w:tcW w:w="1908"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沉淀池+除油池+过滤池</w:t>
            </w:r>
          </w:p>
        </w:tc>
        <w:tc>
          <w:tcPr>
            <w:tcW w:w="2659" w:type="dxa"/>
            <w:vMerge w:val="continue"/>
            <w:vAlign w:val="center"/>
          </w:tcPr>
          <w:p>
            <w:pPr>
              <w:pStyle w:val="45"/>
              <w:spacing w:line="300" w:lineRule="exact"/>
              <w:jc w:val="center"/>
              <w:rPr>
                <w:rFonts w:ascii="Times New Roman" w:hAnsi="Times New Roman"/>
                <w:szCs w:val="21"/>
              </w:rPr>
            </w:pPr>
          </w:p>
        </w:tc>
        <w:tc>
          <w:tcPr>
            <w:tcW w:w="1490" w:type="dxa"/>
            <w:vAlign w:val="center"/>
          </w:tcPr>
          <w:p>
            <w:pPr>
              <w:pStyle w:val="45"/>
              <w:spacing w:line="300" w:lineRule="exact"/>
              <w:jc w:val="center"/>
              <w:rPr>
                <w:rFonts w:ascii="Times New Roman" w:hAnsi="Times New Roman"/>
                <w:szCs w:val="21"/>
              </w:rPr>
            </w:pPr>
            <w:r>
              <w:rPr>
                <w:rFonts w:hint="eastAsia" w:ascii="Times New Roman" w:hAnsi="Times New Roman"/>
                <w:szCs w:val="21"/>
              </w:rPr>
              <w:t>SS、石油类、</w:t>
            </w:r>
            <w:r>
              <w:rPr>
                <w:rFonts w:ascii="Times New Roman" w:hAnsi="Times New Roman"/>
                <w:szCs w:val="21"/>
              </w:rPr>
              <w:t>COD</w:t>
            </w:r>
          </w:p>
        </w:tc>
        <w:tc>
          <w:tcPr>
            <w:tcW w:w="644" w:type="dxa"/>
            <w:vMerge w:val="continue"/>
            <w:tcBorders>
              <w:right w:val="single" w:color="auto" w:sz="4" w:space="0"/>
            </w:tcBorders>
            <w:vAlign w:val="center"/>
          </w:tcPr>
          <w:p>
            <w:pPr>
              <w:pStyle w:val="45"/>
              <w:spacing w:line="300" w:lineRule="exact"/>
              <w:jc w:val="center"/>
              <w:rPr>
                <w:rFonts w:ascii="Times New Roman" w:hAnsi="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5"/>
              <w:spacing w:line="300" w:lineRule="exact"/>
              <w:jc w:val="center"/>
              <w:rPr>
                <w:rFonts w:ascii="Times New Roman" w:hAnsi="Times New Roman"/>
                <w:szCs w:val="21"/>
              </w:rPr>
            </w:pPr>
          </w:p>
        </w:tc>
        <w:tc>
          <w:tcPr>
            <w:tcW w:w="1095" w:type="dxa"/>
            <w:gridSpan w:val="2"/>
            <w:vAlign w:val="center"/>
          </w:tcPr>
          <w:p>
            <w:pPr>
              <w:pStyle w:val="45"/>
              <w:spacing w:line="300" w:lineRule="exact"/>
              <w:jc w:val="center"/>
              <w:rPr>
                <w:rFonts w:ascii="Times New Roman" w:hAnsi="Times New Roman"/>
                <w:szCs w:val="21"/>
              </w:rPr>
            </w:pPr>
            <w:r>
              <w:rPr>
                <w:rFonts w:ascii="Times New Roman" w:hAnsi="Times New Roman"/>
                <w:szCs w:val="21"/>
              </w:rPr>
              <w:t>全厂</w:t>
            </w:r>
          </w:p>
        </w:tc>
        <w:tc>
          <w:tcPr>
            <w:tcW w:w="1908" w:type="dxa"/>
            <w:vAlign w:val="center"/>
          </w:tcPr>
          <w:p>
            <w:pPr>
              <w:pStyle w:val="45"/>
              <w:spacing w:line="300" w:lineRule="exact"/>
              <w:jc w:val="center"/>
              <w:rPr>
                <w:rFonts w:ascii="Times New Roman" w:hAnsi="Times New Roman"/>
                <w:szCs w:val="21"/>
              </w:rPr>
            </w:pPr>
            <w:r>
              <w:rPr>
                <w:rFonts w:ascii="Times New Roman" w:hAnsi="Times New Roman"/>
                <w:szCs w:val="21"/>
              </w:rPr>
              <w:t>雨水排放口</w:t>
            </w:r>
          </w:p>
        </w:tc>
        <w:tc>
          <w:tcPr>
            <w:tcW w:w="2659" w:type="dxa"/>
            <w:vAlign w:val="center"/>
          </w:tcPr>
          <w:p>
            <w:pPr>
              <w:pStyle w:val="45"/>
              <w:spacing w:line="300" w:lineRule="exact"/>
              <w:jc w:val="center"/>
              <w:rPr>
                <w:rFonts w:ascii="Times New Roman" w:hAnsi="Times New Roman"/>
                <w:szCs w:val="21"/>
              </w:rPr>
            </w:pPr>
            <w:r>
              <w:rPr>
                <w:rFonts w:ascii="Times New Roman" w:hAnsi="Times New Roman"/>
              </w:rPr>
              <w:t>根据浙政发[2011]107号文要求，COD</w:t>
            </w:r>
            <w:r>
              <w:rPr>
                <w:rFonts w:ascii="Times New Roman" w:hAnsi="Times New Roman"/>
                <w:vertAlign w:val="subscript"/>
              </w:rPr>
              <w:t>Cr</w:t>
            </w:r>
            <w:r>
              <w:rPr>
                <w:rFonts w:ascii="Times New Roman" w:hAnsi="Times New Roman"/>
              </w:rPr>
              <w:t xml:space="preserve"> 浓度不得高于50mg/L或不高于进水浓度20mg/L</w:t>
            </w:r>
            <w:r>
              <w:rPr>
                <w:rFonts w:ascii="Times New Roman" w:hAnsi="Times New Roman"/>
                <w:szCs w:val="21"/>
              </w:rPr>
              <w:t xml:space="preserve"> </w:t>
            </w:r>
          </w:p>
        </w:tc>
        <w:tc>
          <w:tcPr>
            <w:tcW w:w="1490" w:type="dxa"/>
            <w:vAlign w:val="center"/>
          </w:tcPr>
          <w:p>
            <w:pPr>
              <w:pStyle w:val="45"/>
              <w:spacing w:line="300" w:lineRule="exact"/>
              <w:jc w:val="center"/>
              <w:rPr>
                <w:rFonts w:ascii="Times New Roman" w:hAnsi="Times New Roman"/>
                <w:szCs w:val="21"/>
              </w:rPr>
            </w:pPr>
            <w:r>
              <w:rPr>
                <w:rFonts w:ascii="Times New Roman" w:hAnsi="Times New Roman"/>
                <w:szCs w:val="21"/>
              </w:rPr>
              <w:t>pH、COD</w:t>
            </w:r>
            <w:r>
              <w:rPr>
                <w:rFonts w:ascii="Times New Roman" w:hAnsi="Times New Roman"/>
                <w:szCs w:val="21"/>
                <w:vertAlign w:val="subscript"/>
              </w:rPr>
              <w:t>Cr</w:t>
            </w:r>
            <w:r>
              <w:rPr>
                <w:rFonts w:ascii="Times New Roman" w:hAnsi="Times New Roman"/>
                <w:szCs w:val="21"/>
              </w:rPr>
              <w:t xml:space="preserve"> </w:t>
            </w:r>
          </w:p>
        </w:tc>
        <w:tc>
          <w:tcPr>
            <w:tcW w:w="644" w:type="dxa"/>
            <w:vMerge w:val="continue"/>
            <w:tcBorders>
              <w:right w:val="single" w:color="auto" w:sz="4" w:space="0"/>
            </w:tcBorders>
            <w:vAlign w:val="center"/>
          </w:tcPr>
          <w:p>
            <w:pPr>
              <w:pStyle w:val="45"/>
              <w:spacing w:line="300" w:lineRule="exact"/>
              <w:jc w:val="center"/>
              <w:rPr>
                <w:rFonts w:ascii="Times New Roman" w:hAnsi="Times New Roman"/>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50" w:hRule="atLeast"/>
          <w:jc w:val="center"/>
        </w:trPr>
        <w:tc>
          <w:tcPr>
            <w:tcW w:w="855"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噪声</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各种机械设备</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隔声、消声、减震</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厂界噪声达《工业企业厂界环境噪声排放标准》（GB 12348-2008）中3</w:t>
            </w:r>
            <w:r>
              <w:rPr>
                <w:rFonts w:hint="eastAsia" w:ascii="Times New Roman" w:hAnsi="Times New Roman"/>
                <w:szCs w:val="21"/>
                <w:lang w:val="en-US" w:eastAsia="zh-CN"/>
              </w:rPr>
              <w:t>、</w:t>
            </w:r>
            <w:r>
              <w:rPr>
                <w:rFonts w:ascii="Times New Roman" w:hAnsi="Times New Roman"/>
                <w:szCs w:val="21"/>
                <w:lang w:val="en-US" w:eastAsia="zh-CN"/>
              </w:rPr>
              <w:t>4类标准</w:t>
            </w:r>
          </w:p>
        </w:tc>
        <w:tc>
          <w:tcPr>
            <w:tcW w:w="1490"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降噪措施，厂界噪声Leq(A)</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restart"/>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固废</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危险废物</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rPr>
              <w:t>委托有资质的危废处置单位处理</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mallCaps/>
                <w:kern w:val="0"/>
              </w:rPr>
              <w:t>《危险废物贮存污染控制标准》（GB18597-2001）及其修改单要求</w:t>
            </w:r>
          </w:p>
        </w:tc>
        <w:tc>
          <w:tcPr>
            <w:tcW w:w="1490" w:type="dxa"/>
            <w:vMerge w:val="restart"/>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暂存场所有防渗、防漏、防风、防雨等措施，处置需签订处置协议</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一般固废</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rPr>
              <w:t>废</w:t>
            </w:r>
            <w:r>
              <w:rPr>
                <w:rFonts w:hint="eastAsia" w:ascii="Times New Roman" w:hAnsi="Times New Roman"/>
                <w:szCs w:val="21"/>
                <w:lang w:eastAsia="zh-CN"/>
              </w:rPr>
              <w:t>耐火材料等</w:t>
            </w:r>
            <w:r>
              <w:rPr>
                <w:rFonts w:ascii="Times New Roman" w:hAnsi="Times New Roman"/>
                <w:szCs w:val="21"/>
              </w:rPr>
              <w:t>由物资公司回收利用</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rPr>
              <w:t>《一般工业固体废物贮存、处置场污染控制标准》(GB18599-2001)及修改</w:t>
            </w:r>
            <w:r>
              <w:rPr>
                <w:rFonts w:ascii="Times New Roman" w:hAnsi="Times New Roman"/>
                <w:szCs w:val="21"/>
                <w:lang w:eastAsia="zh-CN"/>
              </w:rPr>
              <w:t>单</w:t>
            </w:r>
          </w:p>
        </w:tc>
        <w:tc>
          <w:tcPr>
            <w:tcW w:w="1490"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restart"/>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地下水</w:t>
            </w:r>
          </w:p>
        </w:tc>
        <w:tc>
          <w:tcPr>
            <w:tcW w:w="457" w:type="dxa"/>
            <w:vMerge w:val="restart"/>
            <w:tcBorders>
              <w:right w:val="single" w:color="auto" w:sz="8"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地下水防渗措施</w:t>
            </w:r>
          </w:p>
        </w:tc>
        <w:tc>
          <w:tcPr>
            <w:tcW w:w="638" w:type="dxa"/>
            <w:tcBorders>
              <w:left w:val="single" w:color="auto" w:sz="8" w:space="0"/>
            </w:tcBorders>
            <w:vAlign w:val="center"/>
          </w:tcPr>
          <w:p>
            <w:pPr>
              <w:pStyle w:val="466"/>
              <w:spacing w:line="300" w:lineRule="exact"/>
              <w:ind w:left="-141" w:leftChars="-50" w:right="-141" w:rightChars="-50"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重点防渗区</w:t>
            </w:r>
          </w:p>
        </w:tc>
        <w:tc>
          <w:tcPr>
            <w:tcW w:w="1908" w:type="dxa"/>
            <w:vAlign w:val="center"/>
          </w:tcPr>
          <w:p>
            <w:pPr>
              <w:topLinePunct/>
              <w:adjustRightInd w:val="0"/>
              <w:snapToGrid w:val="0"/>
              <w:jc w:val="center"/>
              <w:rPr>
                <w:szCs w:val="21"/>
              </w:rPr>
            </w:pPr>
            <w:r>
              <w:rPr>
                <w:rFonts w:hint="eastAsia" w:eastAsiaTheme="minorEastAsia"/>
                <w:sz w:val="21"/>
                <w:szCs w:val="21"/>
              </w:rPr>
              <w:t>危废暂存间</w:t>
            </w:r>
          </w:p>
        </w:tc>
        <w:tc>
          <w:tcPr>
            <w:tcW w:w="2659" w:type="dxa"/>
            <w:vAlign w:val="center"/>
          </w:tcPr>
          <w:p>
            <w:pPr>
              <w:pStyle w:val="1783"/>
              <w:adjustRightInd w:val="0"/>
              <w:snapToGrid w:val="0"/>
              <w:rPr>
                <w:rFonts w:ascii="Times New Roman" w:hAnsi="Times New Roman" w:cs="Times New Roman"/>
              </w:rPr>
            </w:pPr>
            <w:r>
              <w:rPr>
                <w:rFonts w:ascii="Times New Roman" w:hAnsi="Times New Roman" w:cs="Times New Roman"/>
              </w:rPr>
              <w:t>防渗措施应满足等效黏土防渗层Mb≥6.0m，K≤1×10</w:t>
            </w:r>
            <w:r>
              <w:rPr>
                <w:rFonts w:ascii="Times New Roman" w:hAnsi="Times New Roman" w:cs="Times New Roman"/>
                <w:vertAlign w:val="superscript"/>
              </w:rPr>
              <w:t>-7</w:t>
            </w:r>
            <w:r>
              <w:rPr>
                <w:rFonts w:ascii="Times New Roman" w:hAnsi="Times New Roman" w:cs="Times New Roman"/>
              </w:rPr>
              <w:t>cm/s</w:t>
            </w:r>
          </w:p>
          <w:p>
            <w:pPr>
              <w:pStyle w:val="1783"/>
              <w:adjustRightInd w:val="0"/>
              <w:snapToGrid w:val="0"/>
              <w:rPr>
                <w:rFonts w:ascii="Times New Roman" w:hAnsi="Times New Roman" w:cs="Times New Roman"/>
              </w:rPr>
            </w:pPr>
            <w:r>
              <w:rPr>
                <w:rFonts w:ascii="Times New Roman" w:hAnsi="Times New Roman" w:cs="Times New Roman"/>
              </w:rPr>
              <w:t>要求</w:t>
            </w:r>
          </w:p>
        </w:tc>
        <w:tc>
          <w:tcPr>
            <w:tcW w:w="1490" w:type="dxa"/>
            <w:vMerge w:val="restart"/>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各个防渗区采取的措施是否符合要求</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457" w:type="dxa"/>
            <w:vMerge w:val="continue"/>
            <w:tcBorders>
              <w:right w:val="single" w:color="auto" w:sz="8"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638" w:type="dxa"/>
            <w:tcBorders>
              <w:left w:val="single" w:color="auto" w:sz="8" w:space="0"/>
            </w:tcBorders>
            <w:vAlign w:val="center"/>
          </w:tcPr>
          <w:p>
            <w:pPr>
              <w:pStyle w:val="466"/>
              <w:spacing w:line="300" w:lineRule="exact"/>
              <w:ind w:left="-141" w:leftChars="-50" w:right="-141" w:rightChars="-50"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一般防渗区</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hint="eastAsia" w:eastAsiaTheme="minorEastAsia"/>
                <w:szCs w:val="21"/>
              </w:rPr>
              <w:t>净环水系统</w:t>
            </w:r>
            <w:r>
              <w:rPr>
                <w:rFonts w:eastAsiaTheme="minorEastAsia"/>
                <w:szCs w:val="21"/>
              </w:rPr>
              <w:t>、</w:t>
            </w:r>
            <w:r>
              <w:rPr>
                <w:rFonts w:hint="eastAsia" w:eastAsiaTheme="minorEastAsia"/>
                <w:szCs w:val="21"/>
              </w:rPr>
              <w:t>浊环水池、</w:t>
            </w:r>
            <w:r>
              <w:rPr>
                <w:rFonts w:eastAsiaTheme="minorEastAsia"/>
                <w:szCs w:val="21"/>
              </w:rPr>
              <w:t>一般废物暂存库和其它仓库</w:t>
            </w:r>
          </w:p>
        </w:tc>
        <w:tc>
          <w:tcPr>
            <w:tcW w:w="2659" w:type="dxa"/>
            <w:vAlign w:val="center"/>
          </w:tcPr>
          <w:p>
            <w:pPr>
              <w:pStyle w:val="1783"/>
              <w:adjustRightInd w:val="0"/>
              <w:snapToGrid w:val="0"/>
              <w:rPr>
                <w:rFonts w:ascii="Times New Roman" w:hAnsi="Times New Roman" w:cs="Times New Roman"/>
              </w:rPr>
            </w:pPr>
            <w:r>
              <w:rPr>
                <w:rFonts w:ascii="Times New Roman" w:hAnsi="Times New Roman" w:cs="Times New Roman"/>
              </w:rPr>
              <w:t>防渗措施应满足等效黏土防渗层Mb≥1.5m，K≤1×10</w:t>
            </w:r>
            <w:r>
              <w:rPr>
                <w:rFonts w:ascii="Times New Roman" w:hAnsi="Times New Roman" w:cs="Times New Roman"/>
                <w:vertAlign w:val="superscript"/>
              </w:rPr>
              <w:t>-7</w:t>
            </w:r>
            <w:r>
              <w:rPr>
                <w:rFonts w:ascii="Times New Roman" w:hAnsi="Times New Roman" w:cs="Times New Roman"/>
              </w:rPr>
              <w:t>cm/s</w:t>
            </w:r>
          </w:p>
          <w:p>
            <w:pPr>
              <w:pStyle w:val="1783"/>
              <w:adjustRightInd w:val="0"/>
              <w:snapToGrid w:val="0"/>
              <w:rPr>
                <w:rFonts w:ascii="Times New Roman" w:hAnsi="Times New Roman" w:cs="Times New Roman"/>
              </w:rPr>
            </w:pPr>
            <w:r>
              <w:rPr>
                <w:rFonts w:ascii="Times New Roman" w:hAnsi="Times New Roman" w:cs="Times New Roman"/>
              </w:rPr>
              <w:t>要求</w:t>
            </w:r>
          </w:p>
        </w:tc>
        <w:tc>
          <w:tcPr>
            <w:tcW w:w="1490"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457" w:type="dxa"/>
            <w:vMerge w:val="continue"/>
            <w:tcBorders>
              <w:right w:val="single" w:color="auto" w:sz="8"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638" w:type="dxa"/>
            <w:tcBorders>
              <w:left w:val="single" w:color="auto" w:sz="8" w:space="0"/>
            </w:tcBorders>
            <w:vAlign w:val="center"/>
          </w:tcPr>
          <w:p>
            <w:pPr>
              <w:pStyle w:val="466"/>
              <w:spacing w:line="300" w:lineRule="exact"/>
              <w:ind w:left="-141" w:leftChars="-50" w:right="-141" w:rightChars="-50"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简单防渗</w:t>
            </w:r>
          </w:p>
        </w:tc>
        <w:tc>
          <w:tcPr>
            <w:tcW w:w="1908"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eastAsiaTheme="minorEastAsia"/>
                <w:szCs w:val="21"/>
              </w:rPr>
              <w:t>厂区道路</w:t>
            </w:r>
            <w:r>
              <w:rPr>
                <w:rFonts w:hint="eastAsia" w:eastAsiaTheme="minorEastAsia"/>
                <w:szCs w:val="21"/>
                <w:lang w:eastAsia="zh-CN"/>
              </w:rPr>
              <w:t>、配电房</w:t>
            </w:r>
            <w:r>
              <w:rPr>
                <w:rFonts w:eastAsiaTheme="minorEastAsia"/>
                <w:szCs w:val="21"/>
              </w:rPr>
              <w:t>等</w:t>
            </w:r>
          </w:p>
        </w:tc>
        <w:tc>
          <w:tcPr>
            <w:tcW w:w="2659" w:type="dxa"/>
            <w:vAlign w:val="center"/>
          </w:tcPr>
          <w:p>
            <w:pPr>
              <w:pStyle w:val="1783"/>
              <w:adjustRightInd w:val="0"/>
              <w:snapToGrid w:val="0"/>
              <w:rPr>
                <w:rFonts w:ascii="Times New Roman" w:hAnsi="Times New Roman" w:cs="Times New Roman"/>
                <w:smallCaps/>
              </w:rPr>
            </w:pPr>
            <w:r>
              <w:rPr>
                <w:rFonts w:hint="eastAsia" w:ascii="Times New Roman" w:hAnsi="Times New Roman" w:cs="Times New Roman"/>
                <w:smallCaps/>
              </w:rPr>
              <w:t>做一般地面硬化</w:t>
            </w:r>
          </w:p>
        </w:tc>
        <w:tc>
          <w:tcPr>
            <w:tcW w:w="1490" w:type="dxa"/>
            <w:vMerge w:val="continue"/>
            <w:vAlign w:val="center"/>
          </w:tcPr>
          <w:p>
            <w:pPr>
              <w:pStyle w:val="466"/>
              <w:spacing w:line="300" w:lineRule="exact"/>
              <w:ind w:firstLine="0" w:firstLineChars="0"/>
              <w:jc w:val="center"/>
              <w:textAlignment w:val="center"/>
              <w:rPr>
                <w:rFonts w:ascii="Times New Roman" w:hAnsi="Times New Roman"/>
                <w:szCs w:val="21"/>
                <w:lang w:val="en-US" w:eastAsia="zh-CN"/>
              </w:rPr>
            </w:pP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排污口</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污染物排放口</w:t>
            </w:r>
          </w:p>
        </w:tc>
        <w:tc>
          <w:tcPr>
            <w:tcW w:w="1908" w:type="dxa"/>
            <w:vAlign w:val="center"/>
          </w:tcPr>
          <w:p>
            <w:pPr>
              <w:pStyle w:val="466"/>
              <w:spacing w:line="300" w:lineRule="exact"/>
              <w:ind w:firstLine="0" w:firstLineChars="0"/>
              <w:textAlignment w:val="center"/>
              <w:rPr>
                <w:rFonts w:ascii="Times New Roman" w:hAnsi="Times New Roman"/>
                <w:szCs w:val="21"/>
                <w:lang w:val="en-US" w:eastAsia="zh-CN"/>
              </w:rPr>
            </w:pPr>
            <w:r>
              <w:rPr>
                <w:rFonts w:ascii="Times New Roman" w:hAnsi="Times New Roman"/>
                <w:szCs w:val="21"/>
                <w:lang w:val="en-US" w:eastAsia="zh-CN"/>
              </w:rPr>
              <w:t>规范排放口</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按规范实施</w:t>
            </w:r>
          </w:p>
        </w:tc>
        <w:tc>
          <w:tcPr>
            <w:tcW w:w="1490"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环保图形标志、监测取样口</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环境管理</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管理文件</w:t>
            </w:r>
          </w:p>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监测计划</w:t>
            </w:r>
          </w:p>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台账记录制度</w:t>
            </w:r>
          </w:p>
        </w:tc>
        <w:tc>
          <w:tcPr>
            <w:tcW w:w="1908" w:type="dxa"/>
            <w:vAlign w:val="center"/>
          </w:tcPr>
          <w:p>
            <w:pPr>
              <w:pStyle w:val="466"/>
              <w:spacing w:line="300" w:lineRule="exact"/>
              <w:ind w:firstLine="0" w:firstLineChars="0"/>
              <w:textAlignment w:val="center"/>
              <w:rPr>
                <w:rFonts w:ascii="Times New Roman" w:hAnsi="Times New Roman"/>
                <w:szCs w:val="21"/>
                <w:lang w:val="en-US" w:eastAsia="zh-CN"/>
              </w:rPr>
            </w:pPr>
            <w:r>
              <w:rPr>
                <w:rFonts w:ascii="Times New Roman" w:hAnsi="Times New Roman"/>
                <w:szCs w:val="21"/>
                <w:lang w:val="en-US" w:eastAsia="zh-CN"/>
              </w:rPr>
              <w:t>针对项目制定相关环保管理措施</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具有针对性、可操作性</w:t>
            </w:r>
          </w:p>
        </w:tc>
        <w:tc>
          <w:tcPr>
            <w:tcW w:w="1490"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管理文件</w:t>
            </w:r>
          </w:p>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监测计划</w:t>
            </w:r>
          </w:p>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台账记录制度</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 w:hRule="atLeast"/>
          <w:jc w:val="center"/>
        </w:trPr>
        <w:tc>
          <w:tcPr>
            <w:tcW w:w="855"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事故防范</w:t>
            </w:r>
          </w:p>
        </w:tc>
        <w:tc>
          <w:tcPr>
            <w:tcW w:w="1095" w:type="dxa"/>
            <w:gridSpan w:val="2"/>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事故防范和应急措施</w:t>
            </w:r>
          </w:p>
        </w:tc>
        <w:tc>
          <w:tcPr>
            <w:tcW w:w="1908" w:type="dxa"/>
            <w:vAlign w:val="center"/>
          </w:tcPr>
          <w:p>
            <w:pPr>
              <w:pStyle w:val="466"/>
              <w:spacing w:line="300" w:lineRule="exact"/>
              <w:ind w:firstLine="0" w:firstLineChars="0"/>
              <w:textAlignment w:val="center"/>
              <w:rPr>
                <w:rFonts w:ascii="Times New Roman" w:hAnsi="Times New Roman"/>
                <w:szCs w:val="21"/>
                <w:lang w:val="en-US" w:eastAsia="zh-CN"/>
              </w:rPr>
            </w:pPr>
            <w:r>
              <w:rPr>
                <w:rFonts w:hint="eastAsia" w:ascii="Times New Roman" w:hAnsi="Times New Roman"/>
                <w:szCs w:val="21"/>
                <w:lang w:val="en-US" w:eastAsia="zh-CN"/>
              </w:rPr>
              <w:t>更新</w:t>
            </w:r>
            <w:r>
              <w:rPr>
                <w:rFonts w:ascii="Times New Roman" w:hAnsi="Times New Roman"/>
                <w:szCs w:val="21"/>
                <w:lang w:val="en-US" w:eastAsia="zh-CN"/>
              </w:rPr>
              <w:t>事故应急预案并备案</w:t>
            </w:r>
          </w:p>
        </w:tc>
        <w:tc>
          <w:tcPr>
            <w:tcW w:w="2659"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事故控制或缓解影响</w:t>
            </w:r>
          </w:p>
        </w:tc>
        <w:tc>
          <w:tcPr>
            <w:tcW w:w="1490" w:type="dxa"/>
            <w:vAlign w:val="center"/>
          </w:tcPr>
          <w:p>
            <w:pPr>
              <w:pStyle w:val="466"/>
              <w:spacing w:line="30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根据应急预案内容落实各项应急措施并定期进行演练</w:t>
            </w:r>
          </w:p>
        </w:tc>
        <w:tc>
          <w:tcPr>
            <w:tcW w:w="644" w:type="dxa"/>
            <w:vMerge w:val="continue"/>
            <w:tcBorders>
              <w:right w:val="single" w:color="auto" w:sz="4" w:space="0"/>
            </w:tcBorders>
            <w:vAlign w:val="center"/>
          </w:tcPr>
          <w:p>
            <w:pPr>
              <w:pStyle w:val="466"/>
              <w:spacing w:line="300" w:lineRule="exact"/>
              <w:ind w:firstLine="0" w:firstLineChars="0"/>
              <w:jc w:val="center"/>
              <w:textAlignment w:val="center"/>
              <w:rPr>
                <w:rFonts w:ascii="Times New Roman" w:hAnsi="Times New Roman"/>
                <w:szCs w:val="21"/>
                <w:lang w:val="en-US" w:eastAsia="zh-CN"/>
              </w:rPr>
            </w:pPr>
          </w:p>
        </w:tc>
      </w:tr>
    </w:tbl>
    <w:p>
      <w:pPr>
        <w:pStyle w:val="5"/>
        <w:tabs>
          <w:tab w:val="clear" w:pos="1080"/>
        </w:tabs>
        <w:rPr>
          <w:rFonts w:ascii="Times New Roman"/>
        </w:rPr>
      </w:pPr>
      <w:r>
        <w:rPr>
          <w:rFonts w:ascii="Times New Roman"/>
        </w:rPr>
        <w:t>排污口规范化设置</w:t>
      </w:r>
    </w:p>
    <w:p>
      <w:pPr>
        <w:spacing w:line="480" w:lineRule="exact"/>
        <w:ind w:firstLine="486" w:firstLineChars="200"/>
        <w:rPr>
          <w:rFonts w:eastAsia="宋体"/>
          <w:sz w:val="24"/>
          <w:szCs w:val="32"/>
        </w:rPr>
      </w:pPr>
      <w:r>
        <w:rPr>
          <w:rFonts w:eastAsia="宋体"/>
          <w:sz w:val="24"/>
          <w:szCs w:val="32"/>
        </w:rPr>
        <w:t>企业应根据《关于开展排放口规范化整治工作的通知》（环发[1999]24号，2006年6月5日国家环境保护总局令 第33号修正）的要求，对企业各类污染物排污口进行规范化设置与管理。</w:t>
      </w:r>
    </w:p>
    <w:p>
      <w:pPr>
        <w:spacing w:line="480" w:lineRule="exact"/>
        <w:ind w:firstLine="486" w:firstLineChars="200"/>
        <w:rPr>
          <w:rFonts w:eastAsia="宋体"/>
          <w:sz w:val="24"/>
          <w:szCs w:val="32"/>
        </w:rPr>
      </w:pPr>
      <w:r>
        <w:rPr>
          <w:rFonts w:eastAsia="宋体"/>
          <w:sz w:val="24"/>
          <w:szCs w:val="32"/>
        </w:rPr>
        <w:t>（1）废气排放口</w:t>
      </w:r>
    </w:p>
    <w:p>
      <w:pPr>
        <w:spacing w:line="480" w:lineRule="exact"/>
        <w:ind w:firstLine="486" w:firstLineChars="200"/>
        <w:rPr>
          <w:rFonts w:eastAsia="宋体"/>
          <w:sz w:val="24"/>
          <w:szCs w:val="32"/>
        </w:rPr>
      </w:pPr>
      <w:r>
        <w:rPr>
          <w:rFonts w:eastAsia="宋体"/>
          <w:sz w:val="24"/>
          <w:szCs w:val="32"/>
        </w:rPr>
        <w:t>项目应按照环境监测管理规定和技术规范的要求，设计、建设、维护永久性采样口、采样测试平台和排污口标志，项目应在技术可行的条件下污染物处理设施的进出口均设置采样孔和采样平台，采样位置应优先选择在垂直管段，应避开弯头、阀门、变径管一定距离，距上述部件下游方向不小于6倍直径，上游方向不小于3倍直径。采样位置应避开对测试人员操作有危险的场所。在选定的采样位置上开设采样孔，采样孔内径应不小于40mm，采样孔管长应不大于500mm。采样孔不使用时应用盖板、管堵或管帽封闭。同时应在排气筒监测位置处设置采样平台，采样平台面积应不小于1.5m</w:t>
      </w:r>
      <w:r>
        <w:rPr>
          <w:rFonts w:eastAsia="宋体"/>
          <w:sz w:val="24"/>
          <w:szCs w:val="32"/>
          <w:vertAlign w:val="superscript"/>
        </w:rPr>
        <w:t>2</w:t>
      </w:r>
      <w:r>
        <w:rPr>
          <w:rFonts w:eastAsia="宋体"/>
          <w:sz w:val="24"/>
          <w:szCs w:val="32"/>
        </w:rPr>
        <w:t>，并设有1.1m高的护栏和不低于10cm的脚部挡板，采样孔距采样平台约1.2~1.3m。</w:t>
      </w:r>
    </w:p>
    <w:p>
      <w:pPr>
        <w:spacing w:line="480" w:lineRule="exact"/>
        <w:ind w:firstLine="486" w:firstLineChars="200"/>
        <w:rPr>
          <w:rFonts w:eastAsia="宋体"/>
          <w:sz w:val="24"/>
          <w:szCs w:val="32"/>
        </w:rPr>
      </w:pPr>
      <w:r>
        <w:rPr>
          <w:rFonts w:eastAsia="宋体"/>
          <w:sz w:val="24"/>
          <w:szCs w:val="32"/>
        </w:rPr>
        <w:t>（2）废水排放口</w:t>
      </w:r>
    </w:p>
    <w:p>
      <w:pPr>
        <w:spacing w:line="480" w:lineRule="exact"/>
        <w:ind w:firstLine="486" w:firstLineChars="200"/>
        <w:rPr>
          <w:rFonts w:eastAsia="宋体"/>
          <w:sz w:val="24"/>
          <w:szCs w:val="32"/>
        </w:rPr>
      </w:pPr>
      <w:r>
        <w:rPr>
          <w:rFonts w:eastAsia="宋体"/>
          <w:sz w:val="24"/>
          <w:szCs w:val="32"/>
        </w:rPr>
        <w:t>企业已按照法律、行政法规和国务院环境保护主管部门的规定设置排污口，污水排放口已设立标志。企业应根据有关排污口管理的规定，废水排放口设置采样点，在排污口附近醒目处，设置环境保护图形标注牌。</w:t>
      </w:r>
    </w:p>
    <w:p>
      <w:pPr>
        <w:spacing w:line="480" w:lineRule="exact"/>
        <w:ind w:firstLine="486" w:firstLineChars="200"/>
        <w:rPr>
          <w:rFonts w:eastAsia="宋体"/>
          <w:sz w:val="24"/>
          <w:szCs w:val="32"/>
        </w:rPr>
      </w:pPr>
      <w:r>
        <w:rPr>
          <w:rFonts w:eastAsia="宋体"/>
          <w:sz w:val="24"/>
          <w:szCs w:val="32"/>
        </w:rPr>
        <w:t>（3）噪声</w:t>
      </w:r>
    </w:p>
    <w:p>
      <w:pPr>
        <w:spacing w:line="480" w:lineRule="exact"/>
        <w:ind w:firstLine="486" w:firstLineChars="200"/>
        <w:rPr>
          <w:rFonts w:eastAsia="宋体"/>
          <w:sz w:val="24"/>
          <w:szCs w:val="32"/>
        </w:rPr>
      </w:pPr>
      <w:r>
        <w:rPr>
          <w:rFonts w:eastAsia="宋体"/>
          <w:sz w:val="24"/>
          <w:szCs w:val="32"/>
        </w:rPr>
        <w:t>噪声排放源应适于采样、监测计量等工作条件，同时应按所在地环境保护主管部门的要求设立标志。</w:t>
      </w:r>
    </w:p>
    <w:p>
      <w:pPr>
        <w:tabs>
          <w:tab w:val="left" w:pos="2547"/>
        </w:tabs>
        <w:spacing w:line="480" w:lineRule="exact"/>
        <w:ind w:firstLine="486" w:firstLineChars="200"/>
        <w:rPr>
          <w:rFonts w:eastAsia="宋体"/>
          <w:sz w:val="24"/>
          <w:szCs w:val="32"/>
        </w:rPr>
      </w:pPr>
      <w:r>
        <w:rPr>
          <w:rFonts w:eastAsia="宋体"/>
          <w:sz w:val="24"/>
          <w:szCs w:val="32"/>
        </w:rPr>
        <w:t>（4）固废</w:t>
      </w:r>
      <w:r>
        <w:rPr>
          <w:rFonts w:eastAsia="宋体"/>
          <w:sz w:val="24"/>
          <w:szCs w:val="32"/>
        </w:rPr>
        <w:tab/>
      </w:r>
    </w:p>
    <w:p>
      <w:pPr>
        <w:spacing w:line="480" w:lineRule="exact"/>
        <w:ind w:firstLine="486" w:firstLineChars="200"/>
        <w:rPr>
          <w:rFonts w:eastAsia="宋体"/>
          <w:sz w:val="24"/>
          <w:szCs w:val="32"/>
        </w:rPr>
      </w:pPr>
      <w:r>
        <w:rPr>
          <w:rFonts w:eastAsia="宋体"/>
          <w:sz w:val="24"/>
          <w:szCs w:val="32"/>
        </w:rPr>
        <w:t>企业固体废物已分类送到（或出售）相应单位进行处理，固体废物在厂内暂存期间已设置专门的储存设施或堆放场所、运输通道。存放场地需采取防扬散、防雨淋、防流失措施，并在存放场地设置环保标志牌。</w:t>
      </w:r>
    </w:p>
    <w:p>
      <w:pPr>
        <w:pStyle w:val="5"/>
        <w:tabs>
          <w:tab w:val="clear" w:pos="1080"/>
        </w:tabs>
        <w:rPr>
          <w:rFonts w:ascii="Times New Roman"/>
        </w:rPr>
      </w:pPr>
      <w:r>
        <w:rPr>
          <w:rFonts w:ascii="Times New Roman"/>
        </w:rPr>
        <w:t>营运期</w:t>
      </w:r>
      <w:r>
        <w:rPr>
          <w:rFonts w:hint="eastAsia" w:ascii="Times New Roman"/>
          <w:lang w:eastAsia="zh-CN"/>
        </w:rPr>
        <w:t>污染物</w:t>
      </w:r>
      <w:r>
        <w:rPr>
          <w:rFonts w:ascii="Times New Roman"/>
        </w:rPr>
        <w:t>监测计划</w:t>
      </w:r>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1、所有环保设施经过试运转检验合格后，方可投入正常运营。</w:t>
      </w:r>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2、运营期的环保问题由业主负责，业主必须保证所有环保设备的正常运行，并保证各类污染物达到国家的排放标准和管理要求。</w:t>
      </w:r>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3、公司正常运营过程中，应对公司</w:t>
      </w:r>
      <w:r>
        <w:rPr>
          <w:rFonts w:ascii="宋体" w:hAnsi="宋体" w:cs="Times New Roman"/>
          <w:spacing w:val="0"/>
        </w:rPr>
        <w:t>“三废”</w:t>
      </w:r>
      <w:r>
        <w:rPr>
          <w:rFonts w:ascii="Times New Roman" w:hAnsi="Times New Roman" w:cs="Times New Roman"/>
          <w:spacing w:val="0"/>
        </w:rPr>
        <w:t>治理设施运转情况进行定期监测，监测内容包括：废气处理设施的运行情况；废水预处理设施的运行情况；厂界噪声的达标情况。企业需制定详细的监测计划，同时企业应添置必要的仪器设备对废气</w:t>
      </w:r>
      <w:r>
        <w:rPr>
          <w:rFonts w:hint="eastAsia" w:ascii="Times New Roman" w:hAnsi="Times New Roman" w:cs="Times New Roman"/>
          <w:spacing w:val="0"/>
        </w:rPr>
        <w:t>、废水</w:t>
      </w:r>
      <w:r>
        <w:rPr>
          <w:rFonts w:ascii="Times New Roman" w:hAnsi="Times New Roman" w:cs="Times New Roman"/>
          <w:spacing w:val="0"/>
        </w:rPr>
        <w:t>常规指标进行监测，部分指标可委托有资质监测单位进行。监测费用由企业的年度生产费用予以保证。</w:t>
      </w:r>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根据</w:t>
      </w:r>
      <w:r>
        <w:rPr>
          <w:rFonts w:hint="eastAsia" w:ascii="Times New Roman" w:hAnsi="Times New Roman" w:cs="Times New Roman"/>
          <w:spacing w:val="0"/>
        </w:rPr>
        <w:t>《排污单位自行监测技术指南 总则》(HJ819-2017)、</w:t>
      </w:r>
      <w:r>
        <w:rPr>
          <w:rFonts w:hint="eastAsia" w:ascii="Times New Roman" w:hAnsi="Times New Roman"/>
          <w:spacing w:val="0"/>
        </w:rPr>
        <w:t>《排污单位自行监测技术指南 炼钢工业及炼焦化学工业》(HJ878-2017)</w:t>
      </w:r>
      <w:r>
        <w:rPr>
          <w:rFonts w:hint="eastAsia" w:ascii="Times New Roman" w:hAnsi="Times New Roman" w:cs="Times New Roman"/>
          <w:spacing w:val="0"/>
        </w:rPr>
        <w:t>、</w:t>
      </w:r>
      <w:r>
        <w:rPr>
          <w:rFonts w:hint="eastAsia" w:ascii="Times New Roman" w:hAnsi="Times New Roman"/>
          <w:spacing w:val="0"/>
        </w:rPr>
        <w:t>《排污许可证申请与核发技术规范 钢铁工业》(HJ846-2017)</w:t>
      </w:r>
      <w:r>
        <w:rPr>
          <w:rFonts w:ascii="Times New Roman" w:hAnsi="Times New Roman" w:cs="Times New Roman"/>
          <w:spacing w:val="0"/>
        </w:rPr>
        <w:t>，建议项目监测计划见表9-2，建设单位可在实际营运过程中进一步完善此监测计划并加以实施。</w:t>
      </w:r>
    </w:p>
    <w:p>
      <w:pPr>
        <w:pStyle w:val="4"/>
        <w:spacing w:line="480" w:lineRule="exact"/>
        <w:ind w:firstLine="482"/>
        <w:rPr>
          <w:rFonts w:ascii="Times New Roman" w:hAnsi="Times New Roman" w:cs="Times New Roman"/>
          <w:spacing w:val="0"/>
        </w:rPr>
      </w:pPr>
      <w:r>
        <w:rPr>
          <w:rFonts w:hint="eastAsia" w:ascii="Times New Roman" w:hAnsi="Times New Roman" w:cs="Times New Roman"/>
          <w:spacing w:val="0"/>
          <w:lang w:val="zh-CN"/>
        </w:rPr>
        <w:t>另外</w:t>
      </w:r>
      <w:r>
        <w:rPr>
          <w:rFonts w:ascii="Times New Roman" w:hAnsi="Times New Roman" w:cs="Times New Roman"/>
          <w:spacing w:val="0"/>
          <w:lang w:val="zh-CN"/>
        </w:rPr>
        <w:t>，</w:t>
      </w:r>
      <w:r>
        <w:rPr>
          <w:rFonts w:hint="eastAsia" w:ascii="Times New Roman" w:hAnsi="Times New Roman" w:cs="Times New Roman"/>
          <w:spacing w:val="0"/>
          <w:lang w:val="zh-CN"/>
        </w:rPr>
        <w:t>考虑</w:t>
      </w:r>
      <w:r>
        <w:rPr>
          <w:rFonts w:ascii="Times New Roman" w:hAnsi="Times New Roman" w:cs="Times New Roman"/>
          <w:spacing w:val="0"/>
          <w:lang w:val="zh-CN"/>
        </w:rPr>
        <w:t>到企业为不锈钢生产企业，</w:t>
      </w:r>
      <w:r>
        <w:rPr>
          <w:rFonts w:hint="eastAsia" w:ascii="Times New Roman" w:hAnsi="Times New Roman" w:cs="Times New Roman"/>
          <w:spacing w:val="0"/>
          <w:lang w:val="zh-CN"/>
        </w:rPr>
        <w:t>原辅料</w:t>
      </w:r>
      <w:r>
        <w:rPr>
          <w:rFonts w:ascii="Times New Roman" w:hAnsi="Times New Roman" w:cs="Times New Roman"/>
          <w:spacing w:val="0"/>
          <w:lang w:val="zh-CN"/>
        </w:rPr>
        <w:t>中涉及镍、铬，因此</w:t>
      </w:r>
      <w:r>
        <w:rPr>
          <w:rFonts w:hint="eastAsia" w:ascii="Times New Roman" w:hAnsi="Times New Roman" w:cs="Times New Roman"/>
          <w:spacing w:val="0"/>
          <w:lang w:val="zh-CN"/>
        </w:rPr>
        <w:t>本报告</w:t>
      </w:r>
      <w:r>
        <w:rPr>
          <w:rFonts w:ascii="Times New Roman" w:hAnsi="Times New Roman" w:cs="Times New Roman"/>
          <w:spacing w:val="0"/>
          <w:lang w:val="zh-CN"/>
        </w:rPr>
        <w:t>建议</w:t>
      </w:r>
      <w:r>
        <w:rPr>
          <w:rFonts w:hint="eastAsia" w:ascii="Times New Roman" w:hAnsi="Times New Roman" w:cs="Times New Roman"/>
          <w:spacing w:val="0"/>
          <w:lang w:val="zh-CN"/>
        </w:rPr>
        <w:t>在</w:t>
      </w:r>
      <w:r>
        <w:rPr>
          <w:rFonts w:ascii="Times New Roman" w:hAnsi="Times New Roman" w:cs="Times New Roman"/>
          <w:spacing w:val="0"/>
          <w:lang w:val="zh-CN"/>
        </w:rPr>
        <w:t>炼钢一厂</w:t>
      </w:r>
      <w:r>
        <w:rPr>
          <w:rFonts w:hint="eastAsia" w:ascii="Times New Roman" w:hAnsi="Times New Roman" w:cs="Times New Roman"/>
          <w:spacing w:val="0"/>
          <w:lang w:val="zh-CN"/>
        </w:rPr>
        <w:t>电炉</w:t>
      </w:r>
      <w:r>
        <w:rPr>
          <w:rFonts w:ascii="Times New Roman" w:hAnsi="Times New Roman" w:cs="Times New Roman"/>
          <w:spacing w:val="0"/>
          <w:lang w:val="zh-CN"/>
        </w:rPr>
        <w:t>废气</w:t>
      </w:r>
      <w:r>
        <w:rPr>
          <w:rFonts w:hint="eastAsia" w:ascii="Times New Roman" w:hAnsi="Times New Roman" w:cs="Times New Roman"/>
          <w:spacing w:val="0"/>
          <w:lang w:val="zh-CN"/>
        </w:rPr>
        <w:t>排气筒出口(</w:t>
      </w:r>
      <w:r>
        <w:rPr>
          <w:rFonts w:ascii="Times New Roman" w:hAnsi="Times New Roman" w:cs="Times New Roman"/>
          <w:spacing w:val="0"/>
          <w:lang w:val="zh-CN"/>
        </w:rPr>
        <w:t>DA001</w:t>
      </w:r>
      <w:r>
        <w:rPr>
          <w:rFonts w:hint="eastAsia" w:ascii="Times New Roman" w:hAnsi="Times New Roman" w:cs="Times New Roman"/>
          <w:spacing w:val="0"/>
          <w:lang w:val="zh-CN"/>
        </w:rPr>
        <w:t>)增加</w:t>
      </w:r>
      <w:r>
        <w:rPr>
          <w:rFonts w:ascii="Times New Roman" w:hAnsi="Times New Roman" w:cs="Times New Roman"/>
          <w:spacing w:val="0"/>
          <w:lang w:val="zh-CN"/>
        </w:rPr>
        <w:t>镍及其化合物、铬及其化合物监测指标，以了解重金属达标排放情况</w:t>
      </w:r>
    </w:p>
    <w:p>
      <w:pPr>
        <w:pStyle w:val="313"/>
        <w:tabs>
          <w:tab w:val="clear" w:pos="3908"/>
        </w:tabs>
        <w:ind w:left="1122" w:hanging="561"/>
        <w:rPr>
          <w:rFonts w:ascii="Times New Roman" w:hAnsi="Times New Roman"/>
        </w:rPr>
      </w:pPr>
      <w:r>
        <w:rPr>
          <w:rFonts w:hint="eastAsia" w:ascii="Times New Roman" w:hAnsi="Times New Roman"/>
          <w:lang w:eastAsia="zh-CN"/>
        </w:rPr>
        <w:t>项目污染物</w:t>
      </w:r>
      <w:r>
        <w:rPr>
          <w:rFonts w:ascii="Times New Roman" w:hAnsi="Times New Roman"/>
        </w:rPr>
        <w:t>监测计划</w:t>
      </w:r>
    </w:p>
    <w:tbl>
      <w:tblPr>
        <w:tblStyle w:val="87"/>
        <w:tblW w:w="877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17"/>
        <w:gridCol w:w="416"/>
        <w:gridCol w:w="1649"/>
        <w:gridCol w:w="1193"/>
        <w:gridCol w:w="2265"/>
        <w:gridCol w:w="1549"/>
        <w:gridCol w:w="12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tblHeader/>
          <w:jc w:val="center"/>
        </w:trPr>
        <w:tc>
          <w:tcPr>
            <w:tcW w:w="417" w:type="dxa"/>
            <w:shd w:val="clear" w:color="auto" w:fill="auto"/>
            <w:vAlign w:val="center"/>
          </w:tcPr>
          <w:p>
            <w:pPr>
              <w:pStyle w:val="466"/>
              <w:spacing w:line="340" w:lineRule="exact"/>
              <w:ind w:left="-141" w:leftChars="-50" w:right="-141" w:rightChars="-50"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主体</w:t>
            </w:r>
          </w:p>
        </w:tc>
        <w:tc>
          <w:tcPr>
            <w:tcW w:w="2065" w:type="dxa"/>
            <w:gridSpan w:val="2"/>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污染物</w:t>
            </w:r>
          </w:p>
        </w:tc>
        <w:tc>
          <w:tcPr>
            <w:tcW w:w="1193"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监测型式</w:t>
            </w:r>
          </w:p>
        </w:tc>
        <w:tc>
          <w:tcPr>
            <w:tcW w:w="2265"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监测因子</w:t>
            </w:r>
          </w:p>
        </w:tc>
        <w:tc>
          <w:tcPr>
            <w:tcW w:w="1549" w:type="dxa"/>
            <w:tcBorders>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监测频率</w:t>
            </w:r>
          </w:p>
        </w:tc>
        <w:tc>
          <w:tcPr>
            <w:tcW w:w="1282" w:type="dxa"/>
            <w:tcBorders>
              <w:lef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17" w:type="dxa"/>
            <w:vMerge w:val="restart"/>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自行</w:t>
            </w:r>
          </w:p>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监测</w:t>
            </w:r>
          </w:p>
        </w:tc>
        <w:tc>
          <w:tcPr>
            <w:tcW w:w="416" w:type="dxa"/>
            <w:vMerge w:val="restart"/>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废气</w:t>
            </w:r>
          </w:p>
        </w:tc>
        <w:tc>
          <w:tcPr>
            <w:tcW w:w="1649" w:type="dxa"/>
            <w:vMerge w:val="restart"/>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除尘器排气筒</w:t>
            </w:r>
          </w:p>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(DA001)</w:t>
            </w:r>
          </w:p>
        </w:tc>
        <w:tc>
          <w:tcPr>
            <w:tcW w:w="1193"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自动</w:t>
            </w:r>
            <w:r>
              <w:rPr>
                <w:rFonts w:ascii="Times New Roman" w:hAnsi="Times New Roman"/>
                <w:szCs w:val="21"/>
                <w:lang w:val="en-US" w:eastAsia="zh-CN"/>
              </w:rPr>
              <w:t>监测</w:t>
            </w:r>
          </w:p>
        </w:tc>
        <w:tc>
          <w:tcPr>
            <w:tcW w:w="2265"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颗粒物</w:t>
            </w:r>
          </w:p>
        </w:tc>
        <w:tc>
          <w:tcPr>
            <w:tcW w:w="1549" w:type="dxa"/>
            <w:tcBorders>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连续</w:t>
            </w:r>
          </w:p>
        </w:tc>
        <w:tc>
          <w:tcPr>
            <w:tcW w:w="1282" w:type="dxa"/>
            <w:tcBorders>
              <w:lef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rPr>
              <w:t>HJ878-2017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17" w:type="dxa"/>
            <w:vMerge w:val="continue"/>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416" w:type="dxa"/>
            <w:vMerge w:val="continue"/>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1649" w:type="dxa"/>
            <w:vMerge w:val="continue"/>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1193"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采样监测</w:t>
            </w:r>
          </w:p>
        </w:tc>
        <w:tc>
          <w:tcPr>
            <w:tcW w:w="2265"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铬及其化合物</w:t>
            </w:r>
            <w:r>
              <w:rPr>
                <w:rFonts w:ascii="Times New Roman" w:hAnsi="Times New Roman"/>
                <w:szCs w:val="21"/>
                <w:lang w:val="en-US" w:eastAsia="zh-CN"/>
              </w:rPr>
              <w:t>、镍及其化合物</w:t>
            </w:r>
          </w:p>
        </w:tc>
        <w:tc>
          <w:tcPr>
            <w:tcW w:w="1549" w:type="dxa"/>
            <w:tcBorders>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1次</w:t>
            </w:r>
            <w:r>
              <w:rPr>
                <w:rFonts w:hint="eastAsia" w:ascii="Times New Roman" w:hAnsi="Times New Roman"/>
                <w:szCs w:val="21"/>
                <w:lang w:val="en-US" w:eastAsia="zh-CN"/>
              </w:rPr>
              <w:t>/季度</w:t>
            </w:r>
          </w:p>
        </w:tc>
        <w:tc>
          <w:tcPr>
            <w:tcW w:w="1282" w:type="dxa"/>
            <w:tcBorders>
              <w:lef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lang w:eastAsia="zh-CN"/>
              </w:rPr>
            </w:pPr>
            <w:r>
              <w:rPr>
                <w:rFonts w:hint="eastAsia" w:ascii="Times New Roman" w:hAnsi="Times New Roman"/>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17" w:type="dxa"/>
            <w:vMerge w:val="continue"/>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416" w:type="dxa"/>
            <w:vMerge w:val="continue"/>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1649" w:type="dxa"/>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炼钢生产车间</w:t>
            </w:r>
          </w:p>
        </w:tc>
        <w:tc>
          <w:tcPr>
            <w:tcW w:w="1193"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采样检测</w:t>
            </w:r>
          </w:p>
        </w:tc>
        <w:tc>
          <w:tcPr>
            <w:tcW w:w="2265"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颗粒物、SO</w:t>
            </w:r>
            <w:r>
              <w:rPr>
                <w:rFonts w:hint="eastAsia" w:ascii="Times New Roman" w:hAnsi="Times New Roman"/>
                <w:szCs w:val="21"/>
                <w:vertAlign w:val="subscript"/>
                <w:lang w:val="en-US" w:eastAsia="zh-CN"/>
              </w:rPr>
              <w:t>2</w:t>
            </w:r>
            <w:r>
              <w:rPr>
                <w:rFonts w:hint="eastAsia" w:ascii="Times New Roman" w:hAnsi="Times New Roman"/>
                <w:szCs w:val="21"/>
                <w:lang w:val="en-US" w:eastAsia="zh-CN"/>
              </w:rPr>
              <w:t>、NOx</w:t>
            </w:r>
          </w:p>
        </w:tc>
        <w:tc>
          <w:tcPr>
            <w:tcW w:w="1549" w:type="dxa"/>
            <w:tcBorders>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1次</w:t>
            </w:r>
            <w:r>
              <w:rPr>
                <w:rFonts w:hint="eastAsia" w:ascii="Times New Roman" w:hAnsi="Times New Roman"/>
                <w:szCs w:val="21"/>
                <w:lang w:val="en-US" w:eastAsia="zh-CN"/>
              </w:rPr>
              <w:t>/年</w:t>
            </w:r>
          </w:p>
        </w:tc>
        <w:tc>
          <w:tcPr>
            <w:tcW w:w="1282" w:type="dxa"/>
            <w:vMerge w:val="restart"/>
            <w:tcBorders>
              <w:lef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rPr>
              <w:t>HJ878-2017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17" w:type="dxa"/>
            <w:vMerge w:val="continue"/>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2065" w:type="dxa"/>
            <w:gridSpan w:val="2"/>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雨水排放口</w:t>
            </w:r>
          </w:p>
        </w:tc>
        <w:tc>
          <w:tcPr>
            <w:tcW w:w="1193"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采样监测</w:t>
            </w:r>
          </w:p>
        </w:tc>
        <w:tc>
          <w:tcPr>
            <w:tcW w:w="2265" w:type="dxa"/>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悬浮物、COD、氨氮、石油类</w:t>
            </w:r>
          </w:p>
        </w:tc>
        <w:tc>
          <w:tcPr>
            <w:tcW w:w="1549" w:type="dxa"/>
            <w:tcBorders>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hint="eastAsia" w:ascii="Times New Roman" w:hAnsi="Times New Roman"/>
                <w:szCs w:val="21"/>
                <w:lang w:val="en-US" w:eastAsia="zh-CN"/>
              </w:rPr>
              <w:t>1次/</w:t>
            </w:r>
            <w:r>
              <w:rPr>
                <w:rFonts w:ascii="Times New Roman" w:hAnsi="Times New Roman"/>
                <w:szCs w:val="21"/>
                <w:lang w:val="en-US" w:eastAsia="zh-CN"/>
              </w:rPr>
              <w:t>d</w:t>
            </w:r>
            <w:r>
              <w:rPr>
                <w:rFonts w:hint="eastAsia" w:ascii="Times New Roman" w:hAnsi="Times New Roman"/>
                <w:szCs w:val="21"/>
                <w:vertAlign w:val="superscript"/>
                <w:lang w:val="en-US" w:eastAsia="zh-CN"/>
              </w:rPr>
              <w:t>①</w:t>
            </w:r>
          </w:p>
        </w:tc>
        <w:tc>
          <w:tcPr>
            <w:tcW w:w="1282" w:type="dxa"/>
            <w:vMerge w:val="continue"/>
            <w:tcBorders>
              <w:lef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417" w:type="dxa"/>
            <w:vMerge w:val="continue"/>
            <w:tcBorders>
              <w:bottom w:val="single" w:color="auto"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c>
          <w:tcPr>
            <w:tcW w:w="416" w:type="dxa"/>
            <w:tcBorders>
              <w:bottom w:val="single" w:color="auto" w:sz="2" w:space="0"/>
            </w:tcBorders>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噪声</w:t>
            </w:r>
          </w:p>
        </w:tc>
        <w:tc>
          <w:tcPr>
            <w:tcW w:w="1649" w:type="dxa"/>
            <w:tcBorders>
              <w:bottom w:val="single" w:color="auto" w:sz="2" w:space="0"/>
            </w:tcBorders>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厂界噪声</w:t>
            </w:r>
          </w:p>
        </w:tc>
        <w:tc>
          <w:tcPr>
            <w:tcW w:w="1193" w:type="dxa"/>
            <w:tcBorders>
              <w:bottom w:val="single" w:color="auto"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现场实测</w:t>
            </w:r>
          </w:p>
        </w:tc>
        <w:tc>
          <w:tcPr>
            <w:tcW w:w="2265" w:type="dxa"/>
            <w:tcBorders>
              <w:bottom w:val="single" w:color="auto"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昼</w:t>
            </w:r>
            <w:r>
              <w:rPr>
                <w:rFonts w:hint="eastAsia" w:ascii="Times New Roman" w:hAnsi="Times New Roman"/>
                <w:szCs w:val="21"/>
                <w:lang w:val="en-US" w:eastAsia="zh-CN"/>
              </w:rPr>
              <w:t>间、夜</w:t>
            </w:r>
            <w:r>
              <w:rPr>
                <w:rFonts w:ascii="Times New Roman" w:hAnsi="Times New Roman"/>
                <w:szCs w:val="21"/>
                <w:lang w:val="en-US" w:eastAsia="zh-CN"/>
              </w:rPr>
              <w:t>间Leq（A）</w:t>
            </w:r>
          </w:p>
        </w:tc>
        <w:tc>
          <w:tcPr>
            <w:tcW w:w="1549" w:type="dxa"/>
            <w:tcBorders>
              <w:bottom w:val="single" w:color="auto" w:sz="2" w:space="0"/>
              <w:right w:val="single" w:color="000000"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r>
              <w:rPr>
                <w:rFonts w:ascii="Times New Roman" w:hAnsi="Times New Roman"/>
                <w:szCs w:val="21"/>
                <w:lang w:val="en-US" w:eastAsia="zh-CN"/>
              </w:rPr>
              <w:t>1次</w:t>
            </w:r>
            <w:r>
              <w:rPr>
                <w:rFonts w:hint="eastAsia" w:ascii="Times New Roman" w:hAnsi="Times New Roman"/>
                <w:szCs w:val="21"/>
                <w:lang w:val="en-US" w:eastAsia="zh-CN"/>
              </w:rPr>
              <w:t>/季度</w:t>
            </w:r>
          </w:p>
        </w:tc>
        <w:tc>
          <w:tcPr>
            <w:tcW w:w="1282" w:type="dxa"/>
            <w:vMerge w:val="continue"/>
            <w:tcBorders>
              <w:left w:val="single" w:color="000000" w:sz="2" w:space="0"/>
              <w:bottom w:val="single" w:color="auto" w:sz="2" w:space="0"/>
            </w:tcBorders>
            <w:shd w:val="clear" w:color="auto" w:fill="auto"/>
            <w:vAlign w:val="center"/>
          </w:tcPr>
          <w:p>
            <w:pPr>
              <w:pStyle w:val="466"/>
              <w:spacing w:line="340" w:lineRule="exact"/>
              <w:ind w:firstLine="0" w:firstLineChars="0"/>
              <w:jc w:val="center"/>
              <w:textAlignment w:val="center"/>
              <w:rPr>
                <w:rFonts w:ascii="Times New Roman" w:hAnsi="Times New Roman"/>
                <w:szCs w:val="21"/>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Ex>
        <w:trPr>
          <w:jc w:val="center"/>
        </w:trPr>
        <w:tc>
          <w:tcPr>
            <w:tcW w:w="8771" w:type="dxa"/>
            <w:gridSpan w:val="7"/>
            <w:tcBorders>
              <w:left w:val="nil"/>
              <w:bottom w:val="nil"/>
              <w:right w:val="nil"/>
            </w:tcBorders>
            <w:shd w:val="clear" w:color="auto" w:fill="auto"/>
            <w:vAlign w:val="center"/>
          </w:tcPr>
          <w:p>
            <w:pPr>
              <w:pStyle w:val="466"/>
              <w:spacing w:line="340" w:lineRule="exact"/>
              <w:ind w:firstLine="0" w:firstLineChars="0"/>
              <w:textAlignment w:val="center"/>
              <w:rPr>
                <w:rFonts w:ascii="Times New Roman" w:hAnsi="Times New Roman"/>
                <w:szCs w:val="21"/>
                <w:lang w:val="en-US" w:eastAsia="zh-CN"/>
              </w:rPr>
            </w:pPr>
            <w:r>
              <w:rPr>
                <w:rFonts w:hint="eastAsia" w:ascii="Times New Roman" w:hAnsi="Times New Roman"/>
                <w:szCs w:val="21"/>
                <w:lang w:val="en-US" w:eastAsia="zh-CN"/>
              </w:rPr>
              <w:t>注：①</w:t>
            </w:r>
            <w:r>
              <w:rPr>
                <w:rFonts w:hint="eastAsia"/>
                <w:lang w:eastAsia="zh-CN"/>
              </w:rPr>
              <w:t>雨水排放口排放期</w:t>
            </w:r>
            <w:r>
              <w:rPr>
                <w:rFonts w:ascii="Times New Roman" w:hAnsi="Times New Roman"/>
                <w:lang w:eastAsia="zh-CN"/>
              </w:rPr>
              <w:t>间每日至少开展一次监测，确保有流量的情况下，雨后15min内进行监测</w:t>
            </w:r>
          </w:p>
        </w:tc>
      </w:tr>
    </w:tbl>
    <w:p>
      <w:pPr>
        <w:pStyle w:val="5"/>
        <w:tabs>
          <w:tab w:val="clear" w:pos="1080"/>
        </w:tabs>
        <w:rPr>
          <w:rFonts w:ascii="Times New Roman"/>
          <w:lang w:eastAsia="zh-CN"/>
        </w:rPr>
      </w:pPr>
      <w:r>
        <w:rPr>
          <w:rFonts w:ascii="Times New Roman"/>
        </w:rPr>
        <w:t>营运期</w:t>
      </w:r>
      <w:r>
        <w:rPr>
          <w:rFonts w:hint="eastAsia" w:ascii="Times New Roman"/>
          <w:lang w:eastAsia="zh-CN"/>
        </w:rPr>
        <w:t>环境质量</w:t>
      </w:r>
      <w:r>
        <w:rPr>
          <w:rFonts w:ascii="Times New Roman"/>
        </w:rPr>
        <w:t>监测计划</w:t>
      </w:r>
    </w:p>
    <w:p>
      <w:pPr>
        <w:pStyle w:val="4"/>
        <w:rPr>
          <w:spacing w:val="0"/>
        </w:rPr>
      </w:pPr>
      <w:r>
        <w:rPr>
          <w:rFonts w:ascii="Times New Roman" w:hAnsi="Times New Roman" w:cs="Times New Roman"/>
          <w:spacing w:val="0"/>
        </w:rPr>
        <w:t>根据估算模式计算结果，本项目Pi≥1%的其他污染物</w:t>
      </w:r>
      <w:r>
        <w:rPr>
          <w:rFonts w:hint="eastAsia" w:ascii="Times New Roman" w:hAnsi="Times New Roman" w:cs="Times New Roman"/>
          <w:spacing w:val="0"/>
        </w:rPr>
        <w:t>主要为颗粒物</w:t>
      </w:r>
      <w:r>
        <w:rPr>
          <w:rFonts w:ascii="Times New Roman" w:hAnsi="Times New Roman" w:cs="Times New Roman"/>
          <w:spacing w:val="0"/>
        </w:rPr>
        <w:t>，需在运行阶段进行环境质量监测。根据</w:t>
      </w:r>
      <w:r>
        <w:rPr>
          <w:rFonts w:hint="eastAsia" w:ascii="Times New Roman" w:hAnsi="Times New Roman"/>
        </w:rPr>
        <w:t>《排污单位自行监测技术指南 炼钢工业及炼焦化学工业》(HJ878-2017)</w:t>
      </w:r>
      <w:r>
        <w:rPr>
          <w:rFonts w:ascii="Times New Roman" w:hAnsi="Times New Roman" w:cs="Times New Roman"/>
          <w:spacing w:val="0"/>
        </w:rPr>
        <w:t>，周边环境质量影响监测计划如下，企业可委托有资质的单位进行</w:t>
      </w:r>
      <w:r>
        <w:rPr>
          <w:rFonts w:hint="eastAsia" w:ascii="Times New Roman" w:hAnsi="Times New Roman" w:cs="Times New Roman"/>
          <w:spacing w:val="0"/>
        </w:rPr>
        <w:t>。</w:t>
      </w:r>
    </w:p>
    <w:p>
      <w:pPr>
        <w:pStyle w:val="313"/>
        <w:tabs>
          <w:tab w:val="clear" w:pos="3908"/>
        </w:tabs>
        <w:ind w:left="1122" w:hanging="561"/>
        <w:rPr>
          <w:rFonts w:ascii="Times New Roman" w:hAnsi="Times New Roman"/>
        </w:rPr>
      </w:pPr>
      <w:r>
        <w:rPr>
          <w:rFonts w:ascii="Times New Roman" w:hAnsi="Times New Roman"/>
        </w:rPr>
        <w:t>环境质量监测方案</w:t>
      </w:r>
    </w:p>
    <w:tbl>
      <w:tblPr>
        <w:tblStyle w:val="87"/>
        <w:tblW w:w="8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916"/>
        <w:gridCol w:w="1694"/>
        <w:gridCol w:w="1243"/>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环境因袭</w:t>
            </w:r>
          </w:p>
        </w:tc>
        <w:tc>
          <w:tcPr>
            <w:tcW w:w="1916"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监测点位</w:t>
            </w:r>
          </w:p>
        </w:tc>
        <w:tc>
          <w:tcPr>
            <w:tcW w:w="1694"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监测指标</w:t>
            </w:r>
          </w:p>
        </w:tc>
        <w:tc>
          <w:tcPr>
            <w:tcW w:w="1243"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监测频次</w:t>
            </w:r>
          </w:p>
        </w:tc>
        <w:tc>
          <w:tcPr>
            <w:tcW w:w="2858"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大气环境</w:t>
            </w:r>
          </w:p>
        </w:tc>
        <w:tc>
          <w:tcPr>
            <w:tcW w:w="1916" w:type="dxa"/>
            <w:shd w:val="clear" w:color="auto" w:fill="auto"/>
            <w:vAlign w:val="center"/>
          </w:tcPr>
          <w:p>
            <w:pPr>
              <w:tabs>
                <w:tab w:val="left" w:pos="2940"/>
              </w:tabs>
              <w:spacing w:line="300" w:lineRule="exact"/>
              <w:jc w:val="center"/>
              <w:rPr>
                <w:rFonts w:eastAsiaTheme="minorEastAsia"/>
                <w:sz w:val="21"/>
                <w:szCs w:val="21"/>
              </w:rPr>
            </w:pPr>
            <w:r>
              <w:rPr>
                <w:rFonts w:hint="eastAsia" w:eastAsiaTheme="minorEastAsia"/>
                <w:sz w:val="21"/>
                <w:szCs w:val="21"/>
              </w:rPr>
              <w:t>项目附近敏感点</w:t>
            </w:r>
          </w:p>
          <w:p>
            <w:pPr>
              <w:tabs>
                <w:tab w:val="left" w:pos="2940"/>
              </w:tabs>
              <w:spacing w:line="300" w:lineRule="exact"/>
              <w:jc w:val="center"/>
              <w:rPr>
                <w:rFonts w:eastAsiaTheme="minorEastAsia"/>
                <w:sz w:val="21"/>
                <w:szCs w:val="21"/>
              </w:rPr>
            </w:pPr>
            <w:r>
              <w:rPr>
                <w:rFonts w:hint="eastAsia" w:eastAsiaTheme="minorEastAsia"/>
                <w:sz w:val="21"/>
                <w:szCs w:val="21"/>
              </w:rPr>
              <w:t>(永兴家园)</w:t>
            </w:r>
          </w:p>
        </w:tc>
        <w:tc>
          <w:tcPr>
            <w:tcW w:w="1694" w:type="dxa"/>
            <w:shd w:val="clear" w:color="auto" w:fill="auto"/>
            <w:vAlign w:val="center"/>
          </w:tcPr>
          <w:p>
            <w:pPr>
              <w:tabs>
                <w:tab w:val="left" w:pos="2940"/>
              </w:tabs>
              <w:spacing w:line="300" w:lineRule="exact"/>
              <w:jc w:val="center"/>
              <w:rPr>
                <w:rFonts w:eastAsiaTheme="minorEastAsia"/>
                <w:sz w:val="21"/>
                <w:szCs w:val="21"/>
              </w:rPr>
            </w:pPr>
            <w:r>
              <w:rPr>
                <w:rFonts w:hint="eastAsia" w:eastAsiaTheme="minorEastAsia"/>
                <w:sz w:val="21"/>
                <w:szCs w:val="21"/>
              </w:rPr>
              <w:t>颗粒物</w:t>
            </w:r>
          </w:p>
        </w:tc>
        <w:tc>
          <w:tcPr>
            <w:tcW w:w="1243" w:type="dxa"/>
            <w:shd w:val="clear" w:color="auto" w:fill="auto"/>
            <w:vAlign w:val="center"/>
          </w:tcPr>
          <w:p>
            <w:pPr>
              <w:tabs>
                <w:tab w:val="left" w:pos="2940"/>
              </w:tabs>
              <w:spacing w:line="300" w:lineRule="exact"/>
              <w:jc w:val="center"/>
              <w:rPr>
                <w:rFonts w:eastAsiaTheme="minorEastAsia"/>
                <w:sz w:val="21"/>
                <w:szCs w:val="21"/>
              </w:rPr>
            </w:pPr>
            <w:r>
              <w:rPr>
                <w:rFonts w:hint="eastAsia" w:eastAsiaTheme="minorEastAsia"/>
                <w:sz w:val="21"/>
                <w:szCs w:val="21"/>
              </w:rPr>
              <w:t>每</w:t>
            </w:r>
            <w:r>
              <w:rPr>
                <w:rFonts w:eastAsiaTheme="minorEastAsia"/>
                <w:sz w:val="21"/>
                <w:szCs w:val="21"/>
              </w:rPr>
              <w:t>年一次</w:t>
            </w:r>
          </w:p>
        </w:tc>
        <w:tc>
          <w:tcPr>
            <w:tcW w:w="2858" w:type="dxa"/>
            <w:shd w:val="clear" w:color="auto" w:fill="auto"/>
            <w:vAlign w:val="center"/>
          </w:tcPr>
          <w:p>
            <w:pPr>
              <w:tabs>
                <w:tab w:val="left" w:pos="2940"/>
              </w:tabs>
              <w:spacing w:line="300" w:lineRule="exact"/>
              <w:jc w:val="center"/>
              <w:rPr>
                <w:rFonts w:eastAsiaTheme="minorEastAsia"/>
                <w:sz w:val="21"/>
                <w:szCs w:val="21"/>
              </w:rPr>
            </w:pPr>
            <w:r>
              <w:rPr>
                <w:rFonts w:eastAsiaTheme="minorEastAsia"/>
                <w:sz w:val="21"/>
                <w:szCs w:val="21"/>
              </w:rPr>
              <w:t>《环境空气质量标准》(GB3095-2012)</w:t>
            </w:r>
            <w:r>
              <w:rPr>
                <w:rFonts w:hint="eastAsia" w:eastAsiaTheme="minorEastAsia"/>
                <w:sz w:val="21"/>
                <w:szCs w:val="21"/>
              </w:rPr>
              <w:t>及</w:t>
            </w:r>
            <w:r>
              <w:rPr>
                <w:rFonts w:eastAsiaTheme="minorEastAsia"/>
                <w:sz w:val="21"/>
                <w:szCs w:val="21"/>
              </w:rPr>
              <w:t>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67" w:type="dxa"/>
            <w:gridSpan w:val="5"/>
            <w:tcBorders>
              <w:left w:val="nil"/>
              <w:bottom w:val="nil"/>
              <w:right w:val="nil"/>
            </w:tcBorders>
            <w:shd w:val="clear" w:color="auto" w:fill="auto"/>
            <w:vAlign w:val="center"/>
          </w:tcPr>
          <w:p>
            <w:pPr>
              <w:tabs>
                <w:tab w:val="left" w:pos="2940"/>
              </w:tabs>
              <w:spacing w:line="300" w:lineRule="exact"/>
              <w:rPr>
                <w:rFonts w:eastAsiaTheme="minorEastAsia"/>
                <w:sz w:val="21"/>
                <w:szCs w:val="21"/>
              </w:rPr>
            </w:pPr>
          </w:p>
        </w:tc>
      </w:tr>
    </w:tbl>
    <w:p>
      <w:pPr>
        <w:pStyle w:val="5"/>
        <w:tabs>
          <w:tab w:val="clear" w:pos="1080"/>
        </w:tabs>
        <w:rPr>
          <w:rFonts w:ascii="Times New Roman"/>
        </w:rPr>
      </w:pPr>
      <w:r>
        <w:rPr>
          <w:rFonts w:ascii="Times New Roman"/>
        </w:rPr>
        <w:t>信息报告和信息公开</w:t>
      </w:r>
    </w:p>
    <w:p>
      <w:pPr>
        <w:autoSpaceDE w:val="0"/>
        <w:autoSpaceDN w:val="0"/>
        <w:adjustRightInd w:val="0"/>
        <w:spacing w:line="480" w:lineRule="exact"/>
        <w:ind w:firstLine="486" w:firstLineChars="200"/>
        <w:rPr>
          <w:rFonts w:eastAsiaTheme="minorEastAsia"/>
          <w:sz w:val="24"/>
        </w:rPr>
      </w:pPr>
      <w:r>
        <w:rPr>
          <w:rFonts w:hint="eastAsia" w:eastAsiaTheme="minorEastAsia"/>
          <w:sz w:val="24"/>
        </w:rPr>
        <w:t>本项目为炼钢行业，属于</w:t>
      </w:r>
      <w:r>
        <w:rPr>
          <w:rFonts w:eastAsiaTheme="minorEastAsia"/>
          <w:sz w:val="24"/>
        </w:rPr>
        <w:t>重点排污单位</w:t>
      </w:r>
      <w:r>
        <w:rPr>
          <w:rFonts w:hint="eastAsia" w:eastAsiaTheme="minorEastAsia"/>
          <w:sz w:val="24"/>
        </w:rPr>
        <w:t>。</w:t>
      </w:r>
    </w:p>
    <w:p>
      <w:pPr>
        <w:autoSpaceDE w:val="0"/>
        <w:autoSpaceDN w:val="0"/>
        <w:adjustRightInd w:val="0"/>
        <w:spacing w:line="480" w:lineRule="exact"/>
        <w:ind w:firstLine="486" w:firstLineChars="200"/>
        <w:rPr>
          <w:rFonts w:eastAsiaTheme="minorEastAsia"/>
          <w:kern w:val="0"/>
        </w:rPr>
      </w:pPr>
      <w:r>
        <w:rPr>
          <w:rFonts w:eastAsiaTheme="minorEastAsia"/>
          <w:kern w:val="0"/>
          <w:sz w:val="24"/>
        </w:rPr>
        <w:t>排污单位自行监测信息公开内容及方式按照《企业事业单位环境信息公开办法》（环境保护部令第31号）及《国家重点监控企业自行监测及信息公开办法（试行）》（环发</w:t>
      </w:r>
      <w:r>
        <w:rPr>
          <w:rFonts w:hint="eastAsia" w:eastAsiaTheme="minorEastAsia"/>
          <w:kern w:val="0"/>
          <w:sz w:val="24"/>
        </w:rPr>
        <w:t>[</w:t>
      </w:r>
      <w:r>
        <w:rPr>
          <w:rFonts w:eastAsiaTheme="minorEastAsia"/>
          <w:kern w:val="0"/>
          <w:sz w:val="24"/>
        </w:rPr>
        <w:t>2013</w:t>
      </w:r>
      <w:r>
        <w:rPr>
          <w:rFonts w:hint="eastAsia" w:eastAsiaTheme="minorEastAsia"/>
          <w:kern w:val="0"/>
          <w:sz w:val="24"/>
        </w:rPr>
        <w:t>]</w:t>
      </w:r>
      <w:r>
        <w:rPr>
          <w:rFonts w:eastAsiaTheme="minorEastAsia"/>
          <w:kern w:val="0"/>
          <w:sz w:val="24"/>
        </w:rPr>
        <w:t>81号）执行。</w:t>
      </w:r>
    </w:p>
    <w:p>
      <w:pPr>
        <w:autoSpaceDE w:val="0"/>
        <w:autoSpaceDN w:val="0"/>
        <w:adjustRightInd w:val="0"/>
        <w:spacing w:line="480" w:lineRule="exact"/>
        <w:ind w:firstLine="486" w:firstLineChars="200"/>
        <w:rPr>
          <w:rFonts w:eastAsiaTheme="minorEastAsia"/>
          <w:kern w:val="0"/>
          <w:sz w:val="24"/>
        </w:rPr>
      </w:pPr>
      <w:r>
        <w:rPr>
          <w:rFonts w:eastAsiaTheme="minorEastAsia"/>
          <w:kern w:val="0"/>
          <w:sz w:val="24"/>
        </w:rPr>
        <w:t>排污单位应编写自行监测年度报告，年度报告至少应包含以下内容：</w:t>
      </w:r>
    </w:p>
    <w:p>
      <w:pPr>
        <w:autoSpaceDE w:val="0"/>
        <w:autoSpaceDN w:val="0"/>
        <w:adjustRightInd w:val="0"/>
        <w:spacing w:line="480" w:lineRule="exact"/>
        <w:ind w:firstLine="486" w:firstLineChars="200"/>
        <w:rPr>
          <w:rFonts w:eastAsiaTheme="minorEastAsia"/>
          <w:kern w:val="0"/>
          <w:sz w:val="24"/>
        </w:rPr>
      </w:pPr>
      <w:r>
        <w:rPr>
          <w:rFonts w:eastAsiaTheme="minorEastAsia"/>
          <w:kern w:val="0"/>
          <w:sz w:val="24"/>
        </w:rPr>
        <w:t>a）监测方案的调整变化情况及变更原因；</w:t>
      </w:r>
    </w:p>
    <w:p>
      <w:pPr>
        <w:autoSpaceDE w:val="0"/>
        <w:autoSpaceDN w:val="0"/>
        <w:adjustRightInd w:val="0"/>
        <w:spacing w:line="480" w:lineRule="exact"/>
        <w:ind w:firstLine="486" w:firstLineChars="200"/>
        <w:rPr>
          <w:rFonts w:eastAsiaTheme="minorEastAsia"/>
          <w:kern w:val="0"/>
          <w:sz w:val="24"/>
        </w:rPr>
      </w:pPr>
      <w:r>
        <w:rPr>
          <w:rFonts w:eastAsiaTheme="minorEastAsia"/>
          <w:kern w:val="0"/>
          <w:sz w:val="24"/>
        </w:rPr>
        <w:t>b）企业及各主要生产设施（至少涵盖废气主要污染源相关生产设施）全年运行天数，各监测点、各监测指标全年监测次数、超标情况、浓度分布情况；</w:t>
      </w:r>
    </w:p>
    <w:p>
      <w:pPr>
        <w:autoSpaceDE w:val="0"/>
        <w:autoSpaceDN w:val="0"/>
        <w:adjustRightInd w:val="0"/>
        <w:spacing w:line="480" w:lineRule="exact"/>
        <w:ind w:firstLine="486" w:firstLineChars="200"/>
        <w:rPr>
          <w:rFonts w:eastAsiaTheme="minorEastAsia"/>
          <w:kern w:val="0"/>
          <w:sz w:val="24"/>
        </w:rPr>
      </w:pPr>
      <w:r>
        <w:rPr>
          <w:rFonts w:eastAsiaTheme="minorEastAsia"/>
          <w:kern w:val="0"/>
          <w:sz w:val="24"/>
        </w:rPr>
        <w:t>c） 按要求开展的周边环境质量影响状况监测结果；</w:t>
      </w:r>
    </w:p>
    <w:p>
      <w:pPr>
        <w:autoSpaceDE w:val="0"/>
        <w:autoSpaceDN w:val="0"/>
        <w:adjustRightInd w:val="0"/>
        <w:spacing w:line="480" w:lineRule="exact"/>
        <w:ind w:firstLine="486" w:firstLineChars="200"/>
        <w:rPr>
          <w:rFonts w:eastAsiaTheme="minorEastAsia"/>
          <w:kern w:val="0"/>
          <w:sz w:val="24"/>
        </w:rPr>
      </w:pPr>
      <w:r>
        <w:rPr>
          <w:rFonts w:eastAsiaTheme="minorEastAsia"/>
          <w:kern w:val="0"/>
          <w:sz w:val="24"/>
        </w:rPr>
        <w:t>d） 自行监测开展的其他情况说明；</w:t>
      </w:r>
    </w:p>
    <w:p>
      <w:pPr>
        <w:pStyle w:val="4"/>
        <w:spacing w:line="480" w:lineRule="exact"/>
        <w:rPr>
          <w:rFonts w:ascii="Times New Roman" w:hAnsi="Times New Roman" w:cs="Times New Roman" w:eastAsiaTheme="minorEastAsia"/>
          <w:spacing w:val="0"/>
        </w:rPr>
      </w:pPr>
      <w:r>
        <w:rPr>
          <w:rFonts w:ascii="Times New Roman" w:hAnsi="Times New Roman" w:cs="Times New Roman" w:eastAsiaTheme="minorEastAsia"/>
          <w:spacing w:val="0"/>
          <w:kern w:val="0"/>
        </w:rPr>
        <w:t>e） 排污单位实现达标排放所采取的主要措施。</w:t>
      </w:r>
    </w:p>
    <w:p>
      <w:pPr>
        <w:pStyle w:val="3"/>
        <w:numPr>
          <w:ilvl w:val="1"/>
          <w:numId w:val="24"/>
        </w:numPr>
        <w:tabs>
          <w:tab w:val="clear" w:pos="567"/>
        </w:tabs>
        <w:rPr>
          <w:rFonts w:ascii="Times New Roman" w:hAnsi="Times New Roman"/>
        </w:rPr>
      </w:pPr>
      <w:bookmarkStart w:id="309" w:name="_Toc10637184"/>
      <w:r>
        <w:rPr>
          <w:rFonts w:ascii="Times New Roman" w:hAnsi="Times New Roman"/>
        </w:rPr>
        <w:t>核发排污许可证情况</w:t>
      </w:r>
      <w:bookmarkEnd w:id="309"/>
    </w:p>
    <w:p>
      <w:pPr>
        <w:pStyle w:val="4"/>
        <w:spacing w:line="480" w:lineRule="exact"/>
        <w:ind w:firstLine="482"/>
        <w:rPr>
          <w:rFonts w:ascii="Times New Roman" w:hAnsi="Times New Roman" w:cs="Times New Roman"/>
          <w:spacing w:val="0"/>
        </w:rPr>
      </w:pPr>
      <w:r>
        <w:rPr>
          <w:rFonts w:ascii="Times New Roman" w:hAnsi="Times New Roman" w:cs="Times New Roman"/>
          <w:spacing w:val="0"/>
        </w:rPr>
        <w:t>根据《固定污染源排污许可分类管理名录（2017年版）》相关规定，针对企业事业单位和其他生产经营者污染物产生量、排放量和环境危害程度，实行排污许可重点管理和简化管理。该名录第一至三十二类行业以外的企业事业单位和其他生产经营者，有该名录第三十三类行业中的锅炉、工业炉窑、电镀、生活污水和工业废水集中处理等通用工序的，应当对通用工序申请排污许可证。</w:t>
      </w:r>
    </w:p>
    <w:p>
      <w:pPr>
        <w:pStyle w:val="4"/>
        <w:spacing w:line="480" w:lineRule="exact"/>
        <w:ind w:firstLine="482"/>
        <w:rPr>
          <w:rFonts w:ascii="Times New Roman" w:hAnsi="Times New Roman" w:cs="Times New Roman"/>
          <w:spacing w:val="0"/>
        </w:rPr>
      </w:pPr>
      <w:r>
        <w:rPr>
          <w:rFonts w:cs="Times New Roman" w:asciiTheme="minorEastAsia" w:hAnsiTheme="minorEastAsia" w:eastAsiaTheme="minorEastAsia"/>
          <w:spacing w:val="0"/>
        </w:rPr>
        <w:t>项目</w:t>
      </w:r>
      <w:r>
        <w:rPr>
          <w:rFonts w:hint="eastAsia" w:cs="Times New Roman" w:asciiTheme="minorEastAsia" w:hAnsiTheme="minorEastAsia" w:eastAsiaTheme="minorEastAsia"/>
          <w:spacing w:val="0"/>
        </w:rPr>
        <w:t>为炼钢</w:t>
      </w:r>
      <w:r>
        <w:rPr>
          <w:rFonts w:cs="Times New Roman" w:asciiTheme="minorEastAsia" w:hAnsiTheme="minorEastAsia" w:eastAsiaTheme="minorEastAsia"/>
          <w:spacing w:val="0"/>
        </w:rPr>
        <w:t>，对照《固定污染源排污许可分类管理名录（2017年版）》，属于第</w:t>
      </w:r>
      <w:r>
        <w:rPr>
          <w:rFonts w:hint="eastAsia" w:cs="Times New Roman" w:asciiTheme="minorEastAsia" w:hAnsiTheme="minorEastAsia" w:eastAsiaTheme="minorEastAsia"/>
          <w:spacing w:val="0"/>
        </w:rPr>
        <w:t>十八</w:t>
      </w:r>
      <w:r>
        <w:rPr>
          <w:rFonts w:cs="Times New Roman" w:asciiTheme="minorEastAsia" w:hAnsiTheme="minorEastAsia" w:eastAsiaTheme="minorEastAsia"/>
          <w:spacing w:val="0"/>
        </w:rPr>
        <w:t>类行业“</w:t>
      </w:r>
      <w:r>
        <w:rPr>
          <w:rFonts w:ascii="Times New Roman" w:hAnsi="Times New Roman" w:cs="Times New Roman" w:eastAsiaTheme="minorEastAsia"/>
          <w:spacing w:val="0"/>
        </w:rPr>
        <w:t>55、炼钢312</w:t>
      </w:r>
      <w:r>
        <w:rPr>
          <w:rFonts w:cs="Times New Roman" w:asciiTheme="minorEastAsia" w:hAnsiTheme="minorEastAsia" w:eastAsiaTheme="minorEastAsia"/>
          <w:spacing w:val="0"/>
        </w:rPr>
        <w:t>”中“</w:t>
      </w:r>
      <w:r>
        <w:rPr>
          <w:rFonts w:hint="eastAsia" w:cs="Times New Roman" w:asciiTheme="minorEastAsia" w:hAnsiTheme="minorEastAsia" w:eastAsiaTheme="minorEastAsia"/>
          <w:spacing w:val="0"/>
        </w:rPr>
        <w:t>含炼钢等工序的生产</w:t>
      </w:r>
      <w:r>
        <w:rPr>
          <w:rFonts w:cs="Times New Roman" w:asciiTheme="minorEastAsia" w:hAnsiTheme="minorEastAsia" w:eastAsiaTheme="minorEastAsia"/>
          <w:spacing w:val="0"/>
        </w:rPr>
        <w:t>”，为实施</w:t>
      </w:r>
      <w:r>
        <w:rPr>
          <w:rFonts w:hint="eastAsia" w:cs="Times New Roman" w:asciiTheme="minorEastAsia" w:hAnsiTheme="minorEastAsia" w:eastAsiaTheme="minorEastAsia"/>
          <w:spacing w:val="0"/>
        </w:rPr>
        <w:t>重点</w:t>
      </w:r>
      <w:r>
        <w:rPr>
          <w:rFonts w:cs="Times New Roman" w:asciiTheme="minorEastAsia" w:hAnsiTheme="minorEastAsia" w:eastAsiaTheme="minorEastAsia"/>
          <w:spacing w:val="0"/>
        </w:rPr>
        <w:t>管理的行业</w:t>
      </w:r>
      <w:r>
        <w:rPr>
          <w:rFonts w:hint="eastAsia" w:cs="Times New Roman" w:asciiTheme="minorEastAsia" w:hAnsiTheme="minorEastAsia" w:eastAsiaTheme="minorEastAsia"/>
          <w:spacing w:val="0"/>
        </w:rPr>
        <w:t>。企业现状已申请排污许可证，待本项目投产后应及时变更</w:t>
      </w:r>
      <w:r>
        <w:rPr>
          <w:rFonts w:cs="Times New Roman" w:asciiTheme="minorEastAsia" w:hAnsiTheme="minorEastAsia" w:eastAsiaTheme="minorEastAsia"/>
          <w:spacing w:val="0"/>
        </w:rPr>
        <w:t>排污许可证</w:t>
      </w:r>
      <w:r>
        <w:rPr>
          <w:rFonts w:hint="eastAsia" w:ascii="Times New Roman" w:hAnsi="Times New Roman" w:cs="Times New Roman"/>
          <w:spacing w:val="0"/>
        </w:rPr>
        <w:t>。</w:t>
      </w:r>
    </w:p>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Pr>
        <w:pStyle w:val="2"/>
        <w:numPr>
          <w:ilvl w:val="0"/>
          <w:numId w:val="1"/>
        </w:numPr>
      </w:pPr>
      <w:bookmarkStart w:id="310" w:name="_Toc10637185"/>
      <w:r>
        <w:t>环境影响评价结论</w:t>
      </w:r>
      <w:bookmarkEnd w:id="310"/>
    </w:p>
    <w:p>
      <w:pPr>
        <w:pStyle w:val="3"/>
        <w:numPr>
          <w:ilvl w:val="1"/>
          <w:numId w:val="24"/>
        </w:numPr>
        <w:tabs>
          <w:tab w:val="clear" w:pos="567"/>
        </w:tabs>
        <w:rPr>
          <w:rFonts w:ascii="Times New Roman" w:hAnsi="Times New Roman"/>
          <w:lang w:eastAsia="zh-CN"/>
        </w:rPr>
      </w:pPr>
      <w:bookmarkStart w:id="311" w:name="_Toc511116326"/>
      <w:bookmarkStart w:id="312" w:name="_Toc10637186"/>
      <w:bookmarkStart w:id="313" w:name="_Toc9066699"/>
      <w:r>
        <w:rPr>
          <w:rFonts w:hint="eastAsia" w:ascii="Times New Roman" w:hAnsi="Times New Roman"/>
          <w:lang w:eastAsia="zh-CN"/>
        </w:rPr>
        <w:t>建设项目环境</w:t>
      </w:r>
      <w:r>
        <w:rPr>
          <w:rFonts w:ascii="Times New Roman" w:hAnsi="Times New Roman"/>
          <w:lang w:eastAsia="zh-CN"/>
        </w:rPr>
        <w:t>保护管理条例“</w:t>
      </w:r>
      <w:r>
        <w:rPr>
          <w:rFonts w:hint="eastAsia" w:ascii="Times New Roman" w:hAnsi="Times New Roman"/>
          <w:lang w:eastAsia="zh-CN"/>
        </w:rPr>
        <w:t>四性五不批</w:t>
      </w:r>
      <w:r>
        <w:rPr>
          <w:rFonts w:ascii="Times New Roman" w:hAnsi="Times New Roman"/>
          <w:lang w:eastAsia="zh-CN"/>
        </w:rPr>
        <w:t>”符合性分析</w:t>
      </w:r>
      <w:bookmarkEnd w:id="311"/>
      <w:bookmarkEnd w:id="312"/>
      <w:bookmarkEnd w:id="313"/>
    </w:p>
    <w:p>
      <w:pPr>
        <w:pStyle w:val="835"/>
        <w:spacing w:before="0" w:line="480" w:lineRule="exact"/>
        <w:ind w:firstLine="486"/>
        <w:rPr>
          <w:rFonts w:ascii="Times New Roman" w:hAnsi="Times New Roman"/>
        </w:rPr>
      </w:pPr>
      <w:r>
        <w:rPr>
          <w:rFonts w:ascii="Times New Roman" w:hAnsi="Times New Roman"/>
        </w:rPr>
        <w:t>根据《国务院关于修改〈建设项目环境保护管理条例〉的决定》(中华人民共和国第682 号令)：</w:t>
      </w:r>
    </w:p>
    <w:p>
      <w:pPr>
        <w:pStyle w:val="835"/>
        <w:spacing w:before="0" w:line="480" w:lineRule="exact"/>
        <w:ind w:firstLine="486"/>
      </w:pPr>
      <w:r>
        <w:t>第九条：环境保护行政主管部门审批环境影响报告书、环境影响报告表，应当重点审查建设项目的环境可行性、环境影响分析预测评估的可靠性、环境保护措施的有效性、环境影响评价结论的科学性等。</w:t>
      </w:r>
    </w:p>
    <w:p>
      <w:pPr>
        <w:pStyle w:val="835"/>
        <w:spacing w:before="0" w:line="480" w:lineRule="exact"/>
        <w:ind w:firstLine="486"/>
      </w:pPr>
      <w:r>
        <w:t>第十一条：建设项目有下列情形之一的，环境保护行政主管部门应当对环境影响报告书、环境影响报告表作出不予批准的决定：</w:t>
      </w:r>
    </w:p>
    <w:p>
      <w:pPr>
        <w:pStyle w:val="835"/>
        <w:spacing w:before="0" w:line="480" w:lineRule="exact"/>
        <w:ind w:firstLine="486"/>
      </w:pPr>
      <w:r>
        <w:t>（一）建设项目类型及其选址、布局、规模等不符合环境保护法律法规和相关法定规划；</w:t>
      </w:r>
    </w:p>
    <w:p>
      <w:pPr>
        <w:pStyle w:val="835"/>
        <w:spacing w:before="0" w:line="480" w:lineRule="exact"/>
        <w:ind w:firstLine="486"/>
      </w:pPr>
      <w:r>
        <w:t>（二）所在区域环境质量未达到国家或者地方环境质量标准，且建设项目拟采取的措施不能满足区域环境质量改善目标管理要求；</w:t>
      </w:r>
    </w:p>
    <w:p>
      <w:pPr>
        <w:pStyle w:val="835"/>
        <w:spacing w:before="0" w:line="480" w:lineRule="exact"/>
        <w:ind w:firstLine="486"/>
        <w:rPr>
          <w:rFonts w:ascii="Times New Roman" w:hAnsi="Times New Roman"/>
        </w:rPr>
      </w:pPr>
      <w:r>
        <w:t>（三）建设项目采取的污染防治措施无法确保污染物排放达到国家和地方排放</w:t>
      </w:r>
      <w:r>
        <w:rPr>
          <w:rFonts w:ascii="Times New Roman" w:hAnsi="Times New Roman"/>
        </w:rPr>
        <w:t>标准，或者未采取必要措施预防和控制生态破坏；</w:t>
      </w:r>
    </w:p>
    <w:p>
      <w:pPr>
        <w:pStyle w:val="835"/>
        <w:spacing w:before="0" w:line="480" w:lineRule="exact"/>
        <w:ind w:firstLine="486"/>
        <w:rPr>
          <w:rFonts w:ascii="Times New Roman" w:hAnsi="Times New Roman"/>
        </w:rPr>
      </w:pPr>
      <w:r>
        <w:rPr>
          <w:rFonts w:ascii="Times New Roman" w:hAnsi="Times New Roman"/>
        </w:rPr>
        <w:t>（四）改建、扩建和技术改造项目，未针对项目原有环境污染和生态破坏提出有效防治措施；</w:t>
      </w:r>
    </w:p>
    <w:p>
      <w:pPr>
        <w:pStyle w:val="835"/>
        <w:spacing w:before="0" w:line="480" w:lineRule="exact"/>
        <w:ind w:firstLine="486"/>
        <w:rPr>
          <w:rFonts w:ascii="Times New Roman" w:hAnsi="Times New Roman"/>
        </w:rPr>
      </w:pPr>
      <w:r>
        <w:rPr>
          <w:rFonts w:ascii="Times New Roman" w:hAnsi="Times New Roman"/>
        </w:rPr>
        <w:t>（五）建设项目的环境影响报告书、环境影响报告表的基础资料数据明显不实，内容存在重大缺陷、遗漏，或者环境影响评价结论不明确、不合理。</w:t>
      </w:r>
    </w:p>
    <w:p>
      <w:pPr>
        <w:pStyle w:val="835"/>
        <w:spacing w:before="0" w:line="480" w:lineRule="exact"/>
        <w:ind w:firstLine="486"/>
        <w:rPr>
          <w:rFonts w:hint="eastAsia" w:ascii="Times New Roman" w:hAnsi="Times New Roman"/>
        </w:rPr>
      </w:pPr>
      <w:r>
        <w:rPr>
          <w:rFonts w:hint="eastAsia" w:ascii="Times New Roman" w:hAnsi="Times New Roman"/>
        </w:rPr>
        <w:t>本次报告对上述内容进行分析，具体如下：</w:t>
      </w:r>
    </w:p>
    <w:p>
      <w:pPr>
        <w:pStyle w:val="5"/>
        <w:tabs>
          <w:tab w:val="clear" w:pos="1080"/>
        </w:tabs>
        <w:rPr>
          <w:rFonts w:ascii="Times New Roman"/>
        </w:rPr>
      </w:pPr>
      <w:r>
        <w:rPr>
          <w:rFonts w:ascii="Times New Roman"/>
        </w:rPr>
        <w:t>建设项目</w:t>
      </w:r>
      <w:r>
        <w:rPr>
          <w:rFonts w:hint="eastAsia" w:ascii="Times New Roman"/>
          <w:lang w:eastAsia="zh-CN"/>
        </w:rPr>
        <w:t>环境可行性</w:t>
      </w:r>
      <w:r>
        <w:rPr>
          <w:rFonts w:ascii="Times New Roman"/>
        </w:rPr>
        <w:t>分析</w:t>
      </w:r>
    </w:p>
    <w:p>
      <w:pPr>
        <w:spacing w:line="480" w:lineRule="exact"/>
        <w:ind w:firstLine="486" w:firstLineChars="200"/>
        <w:rPr>
          <w:rFonts w:hint="eastAsia" w:eastAsiaTheme="minorEastAsia"/>
          <w:sz w:val="24"/>
          <w:szCs w:val="24"/>
        </w:rPr>
      </w:pPr>
      <w:bookmarkStart w:id="314" w:name="_Toc395625170"/>
      <w:bookmarkStart w:id="315" w:name="_Toc336000086"/>
      <w:r>
        <w:rPr>
          <w:rFonts w:hint="eastAsia" w:eastAsiaTheme="minorEastAsia"/>
          <w:sz w:val="24"/>
          <w:szCs w:val="24"/>
        </w:rPr>
        <w:t>根据</w:t>
      </w:r>
      <w:r>
        <w:rPr>
          <w:rFonts w:eastAsiaTheme="minorEastAsia"/>
          <w:sz w:val="24"/>
          <w:szCs w:val="24"/>
        </w:rPr>
        <w:t>《</w:t>
      </w:r>
      <w:r>
        <w:rPr>
          <w:rFonts w:hint="eastAsia" w:eastAsiaTheme="minorEastAsia"/>
          <w:sz w:val="24"/>
          <w:szCs w:val="24"/>
        </w:rPr>
        <w:t>浙江省</w:t>
      </w:r>
      <w:r>
        <w:rPr>
          <w:rFonts w:eastAsiaTheme="minorEastAsia"/>
          <w:sz w:val="24"/>
          <w:szCs w:val="24"/>
        </w:rPr>
        <w:t>建设项目环境保护管理办法》</w:t>
      </w:r>
      <w:r>
        <w:rPr>
          <w:rFonts w:hint="eastAsia" w:eastAsiaTheme="minorEastAsia"/>
          <w:sz w:val="24"/>
          <w:szCs w:val="24"/>
        </w:rPr>
        <w:t>(浙江省</w:t>
      </w:r>
      <w:r>
        <w:rPr>
          <w:rFonts w:eastAsiaTheme="minorEastAsia"/>
          <w:sz w:val="24"/>
          <w:szCs w:val="24"/>
        </w:rPr>
        <w:t>人民政府令第</w:t>
      </w:r>
      <w:r>
        <w:rPr>
          <w:rFonts w:hint="eastAsia" w:eastAsiaTheme="minorEastAsia"/>
          <w:sz w:val="24"/>
          <w:szCs w:val="24"/>
        </w:rPr>
        <w:t>364号)，</w:t>
      </w:r>
      <w:r>
        <w:rPr>
          <w:rFonts w:eastAsiaTheme="minorEastAsia"/>
          <w:sz w:val="24"/>
          <w:szCs w:val="24"/>
        </w:rPr>
        <w:t>建设项目环境可行性分析如下：</w:t>
      </w:r>
    </w:p>
    <w:p>
      <w:pPr>
        <w:spacing w:line="480" w:lineRule="exact"/>
        <w:ind w:firstLine="486" w:firstLineChars="200"/>
        <w:rPr>
          <w:rFonts w:eastAsiaTheme="minorEastAsia"/>
          <w:sz w:val="24"/>
          <w:szCs w:val="24"/>
        </w:rPr>
      </w:pPr>
      <w:r>
        <w:rPr>
          <w:rFonts w:eastAsiaTheme="minorEastAsia"/>
          <w:sz w:val="24"/>
          <w:szCs w:val="24"/>
        </w:rPr>
        <w:t>(1)建设项目符合环境功能区规划的要求</w:t>
      </w:r>
      <w:bookmarkEnd w:id="314"/>
      <w:bookmarkEnd w:id="315"/>
    </w:p>
    <w:p>
      <w:pPr>
        <w:pStyle w:val="835"/>
        <w:spacing w:before="0" w:line="480" w:lineRule="exact"/>
        <w:ind w:firstLine="486"/>
        <w:rPr>
          <w:rFonts w:ascii="Times New Roman" w:hAnsi="Times New Roman"/>
        </w:rPr>
      </w:pPr>
      <w:r>
        <w:rPr>
          <w:rFonts w:ascii="Times New Roman" w:hAnsi="Times New Roman"/>
        </w:rPr>
        <w:t>根据《</w:t>
      </w:r>
      <w:r>
        <w:rPr>
          <w:rFonts w:hint="eastAsia" w:ascii="Times New Roman" w:hAnsi="Times New Roman"/>
        </w:rPr>
        <w:t>湖州</w:t>
      </w:r>
      <w:r>
        <w:rPr>
          <w:rFonts w:ascii="Times New Roman" w:hAnsi="Times New Roman"/>
        </w:rPr>
        <w:t>市</w:t>
      </w:r>
      <w:r>
        <w:rPr>
          <w:rFonts w:hint="eastAsia" w:ascii="Times New Roman" w:hAnsi="Times New Roman"/>
        </w:rPr>
        <w:t>区</w:t>
      </w:r>
      <w:r>
        <w:rPr>
          <w:rFonts w:ascii="Times New Roman" w:hAnsi="Times New Roman"/>
        </w:rPr>
        <w:t>环境功能区划》，项目所在地位于</w:t>
      </w:r>
      <w:r>
        <w:rPr>
          <w:rFonts w:hint="eastAsia" w:ascii="Times New Roman" w:hAnsi="Times New Roman"/>
          <w:bCs/>
        </w:rPr>
        <w:t>国家开发区环境重点</w:t>
      </w:r>
      <w:r>
        <w:rPr>
          <w:rFonts w:ascii="Times New Roman" w:hAnsi="Times New Roman"/>
          <w:bCs/>
        </w:rPr>
        <w:t>准入区(050</w:t>
      </w:r>
      <w:r>
        <w:rPr>
          <w:rFonts w:hint="eastAsia" w:ascii="Times New Roman" w:hAnsi="Times New Roman"/>
          <w:bCs/>
        </w:rPr>
        <w:t>2</w:t>
      </w:r>
      <w:r>
        <w:rPr>
          <w:rFonts w:ascii="Times New Roman" w:hAnsi="Times New Roman"/>
          <w:bCs/>
        </w:rPr>
        <w:t>-</w:t>
      </w:r>
      <w:r>
        <w:rPr>
          <w:rFonts w:hint="eastAsia" w:ascii="宋体" w:hAnsi="宋体"/>
          <w:bCs/>
        </w:rPr>
        <w:t>Ⅵ</w:t>
      </w:r>
      <w:r>
        <w:rPr>
          <w:rFonts w:ascii="Times New Roman" w:hAnsi="Times New Roman"/>
          <w:bCs/>
        </w:rPr>
        <w:t>-0-</w:t>
      </w:r>
      <w:r>
        <w:rPr>
          <w:rFonts w:hint="eastAsia" w:ascii="Times New Roman" w:hAnsi="Times New Roman"/>
          <w:bCs/>
        </w:rPr>
        <w:t>1</w:t>
      </w:r>
      <w:r>
        <w:rPr>
          <w:rFonts w:ascii="Times New Roman" w:hAnsi="Times New Roman"/>
          <w:bCs/>
        </w:rPr>
        <w:t>)</w:t>
      </w:r>
      <w:r>
        <w:rPr>
          <w:rFonts w:hint="eastAsia" w:ascii="Times New Roman" w:hAnsi="Times New Roman"/>
        </w:rPr>
        <w:t>，其管控措施为：“</w:t>
      </w:r>
      <w:r>
        <w:rPr>
          <w:rFonts w:ascii="Times New Roman"/>
        </w:rPr>
        <w:t>除从小区周边迁入的三类企业之外，严格控制新建三类重污染企业数量和排污总量。所有三类企业污水必须纳管</w:t>
      </w:r>
      <w:r>
        <w:rPr>
          <w:rFonts w:hint="eastAsia" w:ascii="Times New Roman"/>
        </w:rPr>
        <w:t>。</w:t>
      </w:r>
      <w:r>
        <w:rPr>
          <w:rFonts w:ascii="Times New Roman"/>
        </w:rPr>
        <w:t>西苕溪岸线两侧各1000米范围内，禁止新建、扩建化工、医药生产及其他涉及危险化学品、重金属污染排放的项目</w:t>
      </w:r>
      <w:r>
        <w:rPr>
          <w:rFonts w:hint="eastAsia" w:ascii="Times New Roman"/>
        </w:rPr>
        <w:t>。</w:t>
      </w:r>
      <w:r>
        <w:rPr>
          <w:rFonts w:hint="eastAsia" w:ascii="Times New Roman" w:hAnsi="Times New Roman"/>
        </w:rPr>
        <w:t>”负面清单为：“</w:t>
      </w:r>
      <w:r>
        <w:rPr>
          <w:rFonts w:hint="eastAsia" w:ascii="Times New Roman"/>
        </w:rPr>
        <w:t>禁止新建废水排放量较大的以及不符合集聚区产业规划的三类工业项目，禁止扩建、改建有增加水污染物排放和水环境风险的三类工业项目。新建三类工业项目污染物排放水平需达到同行业国内先进水平。</w:t>
      </w:r>
      <w:r>
        <w:rPr>
          <w:rFonts w:hint="eastAsia" w:ascii="Times New Roman" w:hAnsi="Times New Roman"/>
        </w:rPr>
        <w:t>”</w:t>
      </w:r>
    </w:p>
    <w:p>
      <w:pPr>
        <w:pStyle w:val="835"/>
        <w:spacing w:before="0" w:line="480" w:lineRule="exact"/>
        <w:ind w:firstLine="486"/>
        <w:rPr>
          <w:rFonts w:ascii="Times New Roman" w:hAnsi="Times New Roman"/>
          <w:bCs/>
        </w:rPr>
      </w:pPr>
      <w:r>
        <w:rPr>
          <w:rFonts w:hint="eastAsia" w:ascii="Times New Roman" w:hAnsi="Times New Roman"/>
          <w:bCs/>
        </w:rPr>
        <w:t>本项目不新增炼钢产能，为现有工程技改（技改内容为进行精炼和连铸），属于炼钢行业，为三类工业。项目无生产废水排放，不新增</w:t>
      </w:r>
      <w:r>
        <w:rPr>
          <w:rFonts w:hint="eastAsia" w:ascii="Times New Roman"/>
        </w:rPr>
        <w:t>水污染物排放和</w:t>
      </w:r>
      <w:r>
        <w:rPr>
          <w:rFonts w:hint="eastAsia" w:ascii="Times New Roman" w:hAnsi="Times New Roman"/>
          <w:bCs/>
        </w:rPr>
        <w:t>水环境风险；企业现有废水纳入市政污水管网，由凤凰污水处理厂处理后排放。项目距离西苕溪1250m，因此项目建设符合该环境功能小区的管控措施要求，且未列入负面清单。</w:t>
      </w:r>
    </w:p>
    <w:p>
      <w:pPr>
        <w:pStyle w:val="835"/>
        <w:spacing w:before="0" w:line="480" w:lineRule="exact"/>
        <w:ind w:firstLine="486"/>
        <w:rPr>
          <w:rFonts w:eastAsiaTheme="minorEastAsia"/>
          <w:bCs/>
        </w:rPr>
      </w:pPr>
      <w:r>
        <w:rPr>
          <w:rFonts w:hint="eastAsia" w:ascii="Times New Roman" w:hAnsi="Times New Roman"/>
        </w:rPr>
        <w:t>综上，项目建设符合湖州</w:t>
      </w:r>
      <w:r>
        <w:rPr>
          <w:rFonts w:ascii="Times New Roman" w:hAnsi="Times New Roman"/>
        </w:rPr>
        <w:t>市</w:t>
      </w:r>
      <w:r>
        <w:rPr>
          <w:rFonts w:hint="eastAsia" w:ascii="Times New Roman" w:hAnsi="Times New Roman"/>
        </w:rPr>
        <w:t>区</w:t>
      </w:r>
      <w:r>
        <w:rPr>
          <w:rFonts w:ascii="Times New Roman" w:hAnsi="Times New Roman"/>
        </w:rPr>
        <w:t>环境功能区划</w:t>
      </w:r>
      <w:r>
        <w:rPr>
          <w:rFonts w:hint="eastAsia" w:ascii="Times New Roman" w:hAnsi="Times New Roman"/>
        </w:rPr>
        <w:t>要求</w:t>
      </w:r>
      <w:r>
        <w:rPr>
          <w:rFonts w:eastAsiaTheme="minorEastAsia"/>
          <w:bCs/>
        </w:rPr>
        <w:t>。</w:t>
      </w:r>
    </w:p>
    <w:p>
      <w:pPr>
        <w:spacing w:line="480" w:lineRule="exact"/>
        <w:ind w:firstLine="482"/>
        <w:rPr>
          <w:rFonts w:eastAsiaTheme="minorEastAsia"/>
          <w:bCs/>
          <w:sz w:val="24"/>
          <w:szCs w:val="24"/>
        </w:rPr>
      </w:pPr>
      <w:bookmarkStart w:id="316" w:name="_Toc395625171"/>
      <w:bookmarkStart w:id="317" w:name="_Toc336000087"/>
      <w:r>
        <w:rPr>
          <w:rFonts w:eastAsiaTheme="minorEastAsia"/>
          <w:bCs/>
          <w:sz w:val="24"/>
          <w:szCs w:val="24"/>
        </w:rPr>
        <w:t>(2)</w:t>
      </w:r>
      <w:bookmarkEnd w:id="316"/>
      <w:bookmarkEnd w:id="317"/>
      <w:r>
        <w:rPr>
          <w:rFonts w:hint="eastAsia" w:eastAsiaTheme="minorEastAsia"/>
          <w:bCs/>
          <w:sz w:val="24"/>
          <w:szCs w:val="24"/>
        </w:rPr>
        <w:t>排放污染物符合国家、省规定的排放标准，符合国家、省规定的主要污染物排放总量控制指标</w:t>
      </w:r>
    </w:p>
    <w:p>
      <w:pPr>
        <w:spacing w:line="480" w:lineRule="exact"/>
        <w:ind w:firstLine="480"/>
        <w:rPr>
          <w:rFonts w:eastAsiaTheme="minorEastAsia"/>
          <w:sz w:val="24"/>
          <w:szCs w:val="24"/>
        </w:rPr>
      </w:pPr>
      <w:r>
        <w:rPr>
          <w:rFonts w:hint="eastAsia" w:eastAsiaTheme="minorEastAsia"/>
          <w:sz w:val="24"/>
          <w:szCs w:val="24"/>
        </w:rPr>
        <w:t>本项目废气经分类收集、有效处理后可实现达标排放；无废水排放；噪声可做到厂界达标排放；固废分类暂存，委托外协单位合法处置，符合环保要求，能实现环境零排放。因此，本项目的污染物排放符合国家、省规定的污染物排放标准要求。</w:t>
      </w:r>
    </w:p>
    <w:p>
      <w:pPr>
        <w:spacing w:line="480" w:lineRule="exact"/>
        <w:ind w:firstLine="480"/>
        <w:rPr>
          <w:rFonts w:eastAsiaTheme="minorEastAsia"/>
          <w:sz w:val="24"/>
          <w:szCs w:val="24"/>
        </w:rPr>
      </w:pPr>
      <w:r>
        <w:rPr>
          <w:rFonts w:eastAsiaTheme="minorEastAsia"/>
          <w:bCs/>
          <w:sz w:val="24"/>
          <w:szCs w:val="24"/>
        </w:rPr>
        <w:t>项目实施后企业主要污染物排放均在原排污许可证载明量内，环评建议以原排污许可证的核定量作为项目实施后企业总厂总量控制值，即</w:t>
      </w:r>
      <w:r>
        <w:rPr>
          <w:rFonts w:eastAsiaTheme="minorEastAsia"/>
          <w:sz w:val="24"/>
          <w:szCs w:val="24"/>
        </w:rPr>
        <w:t>：SO</w:t>
      </w:r>
      <w:r>
        <w:rPr>
          <w:rFonts w:eastAsiaTheme="minorEastAsia"/>
          <w:sz w:val="24"/>
          <w:szCs w:val="24"/>
          <w:vertAlign w:val="subscript"/>
        </w:rPr>
        <w:t>2</w:t>
      </w:r>
      <w:r>
        <w:rPr>
          <w:rFonts w:eastAsiaTheme="minorEastAsia"/>
          <w:sz w:val="24"/>
          <w:szCs w:val="24"/>
        </w:rPr>
        <w:t>23.861t/a、NO</w:t>
      </w:r>
      <w:r>
        <w:rPr>
          <w:rFonts w:eastAsiaTheme="minorEastAsia"/>
          <w:sz w:val="24"/>
          <w:szCs w:val="24"/>
          <w:vertAlign w:val="subscript"/>
        </w:rPr>
        <w:t>x</w:t>
      </w:r>
      <w:r>
        <w:rPr>
          <w:rFonts w:eastAsiaTheme="minorEastAsia"/>
          <w:sz w:val="24"/>
          <w:szCs w:val="24"/>
        </w:rPr>
        <w:t>47.835t/a、烟粉尘39.45761t/a、COD5.152t/a、氨氮0.515t/a。</w:t>
      </w:r>
    </w:p>
    <w:p>
      <w:pPr>
        <w:spacing w:line="480" w:lineRule="exact"/>
        <w:ind w:firstLine="486" w:firstLineChars="200"/>
        <w:rPr>
          <w:rFonts w:eastAsiaTheme="minorEastAsia"/>
          <w:sz w:val="24"/>
          <w:szCs w:val="24"/>
        </w:rPr>
      </w:pPr>
      <w:bookmarkStart w:id="318" w:name="_Toc395625172"/>
      <w:bookmarkStart w:id="319" w:name="_Toc336000088"/>
      <w:r>
        <w:rPr>
          <w:rFonts w:eastAsiaTheme="minorEastAsia"/>
          <w:sz w:val="24"/>
          <w:szCs w:val="24"/>
        </w:rPr>
        <w:t xml:space="preserve"> (3)</w:t>
      </w:r>
      <w:bookmarkEnd w:id="318"/>
      <w:bookmarkEnd w:id="319"/>
      <w:r>
        <w:rPr>
          <w:rFonts w:hint="eastAsia" w:eastAsiaTheme="minorEastAsia"/>
          <w:sz w:val="24"/>
          <w:szCs w:val="24"/>
        </w:rPr>
        <w:t>项目造成的环境影响符合建设项目所在地环境功能区划确定的环境质量要求</w:t>
      </w:r>
    </w:p>
    <w:p>
      <w:pPr>
        <w:pStyle w:val="835"/>
        <w:spacing w:before="0" w:line="480" w:lineRule="exact"/>
        <w:ind w:firstLine="486"/>
        <w:rPr>
          <w:rFonts w:ascii="Times New Roman" w:hAnsi="Times New Roman" w:eastAsiaTheme="minorEastAsia"/>
        </w:rPr>
      </w:pPr>
      <w:r>
        <w:rPr>
          <w:rFonts w:ascii="Times New Roman" w:hAnsi="Times New Roman" w:eastAsiaTheme="minorEastAsia"/>
        </w:rPr>
        <w:t>根据《湖州市2018年环境质量公报》，项目所在地为</w:t>
      </w:r>
      <w:r>
        <w:rPr>
          <w:rFonts w:hint="eastAsia" w:ascii="Times New Roman" w:hAnsi="Times New Roman" w:eastAsiaTheme="minorEastAsia"/>
        </w:rPr>
        <w:t>不</w:t>
      </w:r>
      <w:r>
        <w:rPr>
          <w:rFonts w:ascii="Times New Roman" w:hAnsi="Times New Roman" w:eastAsiaTheme="minorEastAsia"/>
        </w:rPr>
        <w:t>达标区</w:t>
      </w:r>
      <w:r>
        <w:rPr>
          <w:rFonts w:hint="eastAsia" w:ascii="Times New Roman" w:hAnsi="Times New Roman" w:eastAsiaTheme="minorEastAsia"/>
        </w:rPr>
        <w:t>，</w:t>
      </w:r>
      <w:r>
        <w:rPr>
          <w:rFonts w:ascii="Times New Roman" w:hAnsi="Times New Roman" w:eastAsiaTheme="minorEastAsia"/>
        </w:rPr>
        <w:t>超标因子主要为</w:t>
      </w:r>
      <w:r>
        <w:rPr>
          <w:rFonts w:hint="eastAsia" w:ascii="Times New Roman" w:hAnsi="Times New Roman" w:eastAsiaTheme="minorEastAsia"/>
        </w:rPr>
        <w:t>PM</w:t>
      </w:r>
      <w:r>
        <w:rPr>
          <w:rFonts w:hint="eastAsia" w:ascii="Times New Roman" w:hAnsi="Times New Roman" w:eastAsiaTheme="minorEastAsia"/>
          <w:vertAlign w:val="subscript"/>
        </w:rPr>
        <w:t>2.5</w:t>
      </w:r>
      <w:r>
        <w:rPr>
          <w:rFonts w:hint="eastAsia" w:ascii="Times New Roman" w:hAnsi="Times New Roman" w:eastAsiaTheme="minorEastAsia"/>
        </w:rPr>
        <w:t>、O</w:t>
      </w:r>
      <w:r>
        <w:rPr>
          <w:rFonts w:hint="eastAsia" w:ascii="Times New Roman" w:hAnsi="Times New Roman" w:eastAsiaTheme="minorEastAsia"/>
          <w:vertAlign w:val="subscript"/>
        </w:rPr>
        <w:t>3</w:t>
      </w:r>
      <w:r>
        <w:rPr>
          <w:rFonts w:ascii="Times New Roman" w:hAnsi="Times New Roman" w:eastAsiaTheme="minorEastAsia"/>
        </w:rPr>
        <w:t>；根据环境质量现状监测可以看出，地下水、地表水、土壤、河道底泥</w:t>
      </w:r>
      <w:r>
        <w:rPr>
          <w:rFonts w:hint="eastAsia" w:ascii="Times New Roman" w:hAnsi="Times New Roman" w:eastAsiaTheme="minorEastAsia"/>
        </w:rPr>
        <w:t>、</w:t>
      </w:r>
      <w:r>
        <w:rPr>
          <w:rFonts w:ascii="Times New Roman" w:hAnsi="Times New Roman" w:eastAsiaTheme="minorEastAsia"/>
        </w:rPr>
        <w:t>声环境质量均可以满足环境功能区要求。</w:t>
      </w:r>
    </w:p>
    <w:p>
      <w:pPr>
        <w:pStyle w:val="835"/>
        <w:spacing w:before="0" w:line="480" w:lineRule="exact"/>
        <w:ind w:firstLine="486"/>
        <w:rPr>
          <w:rFonts w:ascii="Times New Roman" w:hAnsi="Times New Roman"/>
        </w:rPr>
      </w:pPr>
      <w:r>
        <w:rPr>
          <w:rFonts w:ascii="Times New Roman" w:hAnsi="Times New Roman" w:eastAsiaTheme="minorEastAsia"/>
        </w:rPr>
        <w:t>本项目建成后，根据本环评预测结果可知，生产废</w:t>
      </w:r>
      <w:r>
        <w:rPr>
          <w:rFonts w:hint="eastAsia" w:ascii="Times New Roman" w:hAnsi="Times New Roman"/>
        </w:rPr>
        <w:t>气</w:t>
      </w:r>
      <w:r>
        <w:rPr>
          <w:rFonts w:ascii="Times New Roman" w:hAnsi="Times New Roman"/>
        </w:rPr>
        <w:t>的正常排放对周围环境及敏感点的影响均较小；本项目</w:t>
      </w:r>
      <w:r>
        <w:rPr>
          <w:rFonts w:hint="eastAsia" w:ascii="Times New Roman" w:hAnsi="Times New Roman"/>
        </w:rPr>
        <w:t>无废水排放</w:t>
      </w:r>
      <w:r>
        <w:rPr>
          <w:rFonts w:ascii="Times New Roman" w:hAnsi="Times New Roman"/>
        </w:rPr>
        <w:t>；项目设备噪声经采取相应治理措施后能够做到厂界达标；各类固废均能得到妥善处置。因此，本项目只有雨水排入市政雨水管网，对地表水环境影响很小，不会改变其环境质量现状；在采取本环评提出的各项措施的前提下，预测结果对厂界影响不大。因此本项目建成后，在采取了有关污染防治措施后，可以维持区域环境质量现状，符合环境功能区要求。</w:t>
      </w:r>
    </w:p>
    <w:p>
      <w:pPr>
        <w:pStyle w:val="835"/>
        <w:spacing w:before="0" w:line="480" w:lineRule="exact"/>
        <w:ind w:firstLine="486"/>
        <w:rPr>
          <w:rFonts w:ascii="Times New Roman" w:hAnsi="Times New Roman"/>
        </w:rPr>
      </w:pPr>
      <w:r>
        <w:rPr>
          <w:rFonts w:hint="eastAsia" w:ascii="Times New Roman" w:hAnsi="Times New Roman"/>
        </w:rPr>
        <w:t>(</w:t>
      </w:r>
      <w:r>
        <w:rPr>
          <w:rFonts w:ascii="Times New Roman" w:hAnsi="Times New Roman"/>
        </w:rPr>
        <w:t>4</w:t>
      </w:r>
      <w:r>
        <w:rPr>
          <w:rFonts w:hint="eastAsia" w:ascii="Times New Roman" w:hAnsi="Times New Roman"/>
        </w:rPr>
        <w:t>)</w:t>
      </w:r>
      <w:r>
        <w:rPr>
          <w:rFonts w:hint="eastAsia"/>
        </w:rPr>
        <w:t xml:space="preserve"> </w:t>
      </w:r>
      <w:r>
        <w:rPr>
          <w:rFonts w:hint="eastAsia" w:ascii="Times New Roman" w:hAnsi="Times New Roman"/>
        </w:rPr>
        <w:t>项目建设符合《关于以改善环境质量为核心加强环境影响评价管理的通知》（环环评[2016]150号）中“三线一单”要求</w:t>
      </w:r>
    </w:p>
    <w:p>
      <w:pPr>
        <w:pStyle w:val="4"/>
        <w:spacing w:line="480" w:lineRule="exact"/>
        <w:rPr>
          <w:rFonts w:ascii="Times New Roman" w:hAnsi="Times New Roman" w:cs="Times New Roman"/>
          <w:spacing w:val="0"/>
        </w:rPr>
      </w:pPr>
      <w:r>
        <w:rPr>
          <w:rFonts w:hint="eastAsia" w:ascii="宋体" w:hAnsi="宋体" w:cs="宋体"/>
          <w:spacing w:val="0"/>
        </w:rPr>
        <w:t>①</w:t>
      </w:r>
      <w:r>
        <w:rPr>
          <w:rFonts w:ascii="Times New Roman" w:hAnsi="Times New Roman" w:cs="Times New Roman"/>
          <w:spacing w:val="0"/>
        </w:rPr>
        <w:t>生态保护红线</w:t>
      </w:r>
    </w:p>
    <w:p>
      <w:pPr>
        <w:pStyle w:val="4"/>
        <w:spacing w:line="480" w:lineRule="exact"/>
        <w:rPr>
          <w:rFonts w:ascii="Times New Roman" w:hAnsi="Times New Roman" w:cs="Times New Roman"/>
          <w:spacing w:val="0"/>
        </w:rPr>
      </w:pPr>
      <w:r>
        <w:rPr>
          <w:rFonts w:ascii="Times New Roman" w:hAnsi="Times New Roman" w:cs="Times New Roman"/>
          <w:spacing w:val="0"/>
        </w:rPr>
        <w:t>项目位于</w:t>
      </w:r>
      <w:r>
        <w:rPr>
          <w:rFonts w:hint="eastAsia" w:ascii="Times New Roman" w:hAnsi="Times New Roman" w:cs="Times New Roman"/>
          <w:spacing w:val="0"/>
        </w:rPr>
        <w:t>湖州市经济技术开发区杨家埠霅水桥路618号</w:t>
      </w:r>
      <w:r>
        <w:rPr>
          <w:rFonts w:ascii="Times New Roman" w:hAnsi="Times New Roman" w:cs="Times New Roman"/>
          <w:spacing w:val="0"/>
        </w:rPr>
        <w:t>，项目用地为工业用地，项目不在当地饮用水源、风景区、自然保护区等生态保护区内，不涉及</w:t>
      </w:r>
      <w:r>
        <w:rPr>
          <w:rFonts w:hint="eastAsia" w:ascii="Times New Roman" w:hAnsi="Times New Roman" w:cs="Times New Roman"/>
          <w:spacing w:val="0"/>
        </w:rPr>
        <w:t>湖州市区环境功能区划</w:t>
      </w:r>
      <w:r>
        <w:rPr>
          <w:rFonts w:ascii="Times New Roman" w:hAnsi="Times New Roman" w:cs="Times New Roman"/>
          <w:spacing w:val="0"/>
        </w:rPr>
        <w:t>等相关文件划定的生态保护红线。同时根据浙政发[2018]30号《浙江省人民政府关于发布浙江省生态保护红线的通知》</w:t>
      </w:r>
      <w:r>
        <w:rPr>
          <w:rFonts w:hint="eastAsia" w:ascii="Times New Roman" w:hAnsi="Times New Roman" w:cs="Times New Roman"/>
          <w:spacing w:val="0"/>
        </w:rPr>
        <w:t>和《湖州市生态保护红线图》(详见附图9)</w:t>
      </w:r>
      <w:r>
        <w:rPr>
          <w:rFonts w:ascii="Times New Roman" w:hAnsi="Times New Roman" w:cs="Times New Roman"/>
          <w:spacing w:val="0"/>
        </w:rPr>
        <w:t>，项目所在地不在</w:t>
      </w:r>
      <w:r>
        <w:rPr>
          <w:rFonts w:hint="eastAsia" w:ascii="Times New Roman" w:hAnsi="Times New Roman" w:cs="Times New Roman"/>
          <w:spacing w:val="0"/>
        </w:rPr>
        <w:t>浙江省</w:t>
      </w:r>
      <w:r>
        <w:rPr>
          <w:rFonts w:ascii="Times New Roman" w:hAnsi="Times New Roman" w:cs="Times New Roman"/>
          <w:spacing w:val="0"/>
        </w:rPr>
        <w:t>生态保护红线范围</w:t>
      </w:r>
      <w:r>
        <w:rPr>
          <w:rFonts w:hint="eastAsia" w:ascii="Times New Roman" w:hAnsi="Times New Roman" w:cs="Times New Roman"/>
          <w:spacing w:val="0"/>
        </w:rPr>
        <w:t>和湖州市生态保护红线范围内。综上所述，</w:t>
      </w:r>
      <w:r>
        <w:rPr>
          <w:rFonts w:ascii="Times New Roman" w:hAnsi="Times New Roman" w:cs="Times New Roman"/>
          <w:spacing w:val="0"/>
        </w:rPr>
        <w:t>项目不</w:t>
      </w:r>
      <w:r>
        <w:rPr>
          <w:rFonts w:hint="eastAsia" w:ascii="Times New Roman" w:hAnsi="Times New Roman" w:cs="Times New Roman"/>
          <w:spacing w:val="0"/>
        </w:rPr>
        <w:t>涉及</w:t>
      </w:r>
      <w:r>
        <w:rPr>
          <w:rFonts w:ascii="Times New Roman" w:hAnsi="Times New Roman" w:cs="Times New Roman"/>
          <w:spacing w:val="0"/>
        </w:rPr>
        <w:t>生态保护红线。</w:t>
      </w:r>
    </w:p>
    <w:p>
      <w:pPr>
        <w:pStyle w:val="4"/>
        <w:spacing w:line="480" w:lineRule="exact"/>
        <w:rPr>
          <w:rFonts w:ascii="Times New Roman" w:hAnsi="Times New Roman" w:cs="Times New Roman"/>
          <w:spacing w:val="0"/>
        </w:rPr>
      </w:pPr>
      <w:r>
        <w:rPr>
          <w:rFonts w:hint="eastAsia" w:ascii="宋体" w:hAnsi="宋体" w:cs="宋体"/>
          <w:spacing w:val="0"/>
        </w:rPr>
        <w:t>②</w:t>
      </w:r>
      <w:r>
        <w:rPr>
          <w:rFonts w:ascii="Times New Roman" w:hAnsi="Times New Roman" w:cs="Times New Roman"/>
          <w:spacing w:val="0"/>
        </w:rPr>
        <w:t>环境质量底线</w:t>
      </w:r>
    </w:p>
    <w:p>
      <w:pPr>
        <w:pStyle w:val="4"/>
        <w:spacing w:line="480" w:lineRule="exact"/>
        <w:rPr>
          <w:rFonts w:ascii="Times New Roman" w:hAnsi="Times New Roman" w:cs="Times New Roman"/>
          <w:spacing w:val="0"/>
        </w:rPr>
      </w:pPr>
      <w:r>
        <w:rPr>
          <w:rFonts w:ascii="Times New Roman" w:hAnsi="Times New Roman" w:cs="Times New Roman" w:eastAsiaTheme="minorEastAsia"/>
          <w:spacing w:val="0"/>
          <w:szCs w:val="24"/>
        </w:rPr>
        <w:t>本项目评价基准年为2018年，根据湖州市环境保护局发布的《湖州市2018年环境质量公报》，2018年湖州市</w:t>
      </w:r>
      <w:r>
        <w:rPr>
          <w:rFonts w:hint="eastAsia" w:ascii="Times New Roman" w:hAnsi="Times New Roman" w:cs="Times New Roman" w:eastAsiaTheme="minorEastAsia"/>
          <w:spacing w:val="0"/>
          <w:szCs w:val="24"/>
        </w:rPr>
        <w:t>为不达标区，</w:t>
      </w:r>
      <w:r>
        <w:rPr>
          <w:rFonts w:ascii="Times New Roman" w:hAnsi="Times New Roman" w:cs="Times New Roman" w:eastAsiaTheme="minorEastAsia"/>
          <w:spacing w:val="0"/>
          <w:szCs w:val="24"/>
        </w:rPr>
        <w:t>主要污染物为细颗粒物(PM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)和臭氧(O</w:t>
      </w:r>
      <w:r>
        <w:rPr>
          <w:rFonts w:ascii="Times New Roman" w:hAnsi="Times New Roman" w:cs="Times New Roman" w:eastAsiaTheme="minorEastAsia"/>
          <w:spacing w:val="0"/>
          <w:szCs w:val="24"/>
          <w:vertAlign w:val="subscript"/>
        </w:rPr>
        <w:t>3</w:t>
      </w:r>
      <w:r>
        <w:rPr>
          <w:rFonts w:ascii="Times New Roman" w:hAnsi="Times New Roman" w:cs="Times New Roman" w:eastAsiaTheme="minorEastAsia"/>
          <w:spacing w:val="0"/>
          <w:szCs w:val="24"/>
        </w:rPr>
        <w:t>)</w:t>
      </w:r>
      <w:r>
        <w:rPr>
          <w:rFonts w:ascii="Times New Roman" w:hAnsi="Times New Roman" w:cs="Times New Roman"/>
          <w:spacing w:val="0"/>
        </w:rPr>
        <w:t>；</w:t>
      </w:r>
      <w:r>
        <w:rPr>
          <w:rFonts w:hint="eastAsia" w:ascii="Times New Roman" w:hAnsi="Times New Roman" w:cs="Times New Roman"/>
          <w:spacing w:val="0"/>
        </w:rPr>
        <w:t>项目附近</w:t>
      </w:r>
      <w:r>
        <w:rPr>
          <w:rFonts w:ascii="Times New Roman" w:hAnsi="Times New Roman" w:cs="Times New Roman"/>
          <w:spacing w:val="0"/>
        </w:rPr>
        <w:t>城西水厂监测点位不达标因子为</w:t>
      </w:r>
      <w:r>
        <w:rPr>
          <w:rFonts w:hint="eastAsia" w:ascii="Times New Roman" w:hAnsi="Times New Roman" w:cs="Times New Roman" w:eastAsiaTheme="minorEastAsia"/>
          <w:spacing w:val="0"/>
          <w:szCs w:val="24"/>
        </w:rPr>
        <w:t>NO</w:t>
      </w:r>
      <w:r>
        <w:rPr>
          <w:rFonts w:hint="eastAsia" w:ascii="Times New Roman" w:hAnsi="Times New Roman" w:cs="Times New Roman" w:eastAsiaTheme="minorEastAsia"/>
          <w:spacing w:val="0"/>
          <w:szCs w:val="24"/>
          <w:vertAlign w:val="subscript"/>
        </w:rPr>
        <w:t>2</w:t>
      </w:r>
      <w:r>
        <w:rPr>
          <w:rFonts w:ascii="Times New Roman" w:hAnsi="Times New Roman" w:cs="Times New Roman" w:eastAsiaTheme="minorEastAsia"/>
          <w:spacing w:val="0"/>
          <w:szCs w:val="24"/>
        </w:rPr>
        <w:t>、PM</w:t>
      </w:r>
      <w:r>
        <w:rPr>
          <w:rFonts w:ascii="Times New Roman" w:hAnsi="Times New Roman" w:cs="Times New Roman" w:eastAsiaTheme="minorEastAsia"/>
          <w:spacing w:val="0"/>
          <w:szCs w:val="24"/>
          <w:vertAlign w:val="subscript"/>
        </w:rPr>
        <w:t>2.5</w:t>
      </w:r>
      <w:r>
        <w:rPr>
          <w:rFonts w:ascii="Times New Roman" w:hAnsi="Times New Roman" w:cs="Times New Roman" w:eastAsiaTheme="minorEastAsia"/>
          <w:spacing w:val="0"/>
          <w:szCs w:val="24"/>
        </w:rPr>
        <w:t>、O</w:t>
      </w:r>
      <w:r>
        <w:rPr>
          <w:rFonts w:ascii="Times New Roman" w:hAnsi="Times New Roman" w:cs="Times New Roman" w:eastAsiaTheme="minorEastAsia"/>
          <w:spacing w:val="0"/>
          <w:szCs w:val="24"/>
          <w:vertAlign w:val="subscript"/>
        </w:rPr>
        <w:t>3</w:t>
      </w:r>
      <w:r>
        <w:rPr>
          <w:rFonts w:hint="eastAsia" w:ascii="Times New Roman" w:hAnsi="Times New Roman" w:cs="Times New Roman" w:eastAsiaTheme="minorEastAsia"/>
          <w:spacing w:val="0"/>
          <w:szCs w:val="24"/>
        </w:rPr>
        <w:t>。</w:t>
      </w:r>
      <w:r>
        <w:rPr>
          <w:rFonts w:ascii="Times New Roman" w:hAnsi="Times New Roman" w:cs="Times New Roman"/>
          <w:spacing w:val="0"/>
        </w:rPr>
        <w:t>项目建设地附近地表水各监测因子监测值均可以达到《地表水环境质量标准》（GB3838-2002）中的</w:t>
      </w:r>
      <w:r>
        <w:rPr>
          <w:rFonts w:hint="eastAsia" w:ascii="宋体" w:hAnsi="宋体" w:cs="宋体"/>
          <w:spacing w:val="0"/>
        </w:rPr>
        <w:t>Ⅲ</w:t>
      </w:r>
      <w:r>
        <w:rPr>
          <w:rFonts w:ascii="Times New Roman" w:hAnsi="Times New Roman" w:cs="Times New Roman"/>
          <w:spacing w:val="0"/>
        </w:rPr>
        <w:t>类水质标准；地下水环境能够达到《地下水质量标准》(GB/T14848-2017)中的</w:t>
      </w:r>
      <w:r>
        <w:rPr>
          <w:rFonts w:hint="eastAsia" w:ascii="宋体" w:hAnsi="宋体" w:cs="宋体"/>
          <w:spacing w:val="0"/>
        </w:rPr>
        <w:t>Ⅲ</w:t>
      </w:r>
      <w:r>
        <w:rPr>
          <w:rFonts w:ascii="Times New Roman" w:hAnsi="Times New Roman" w:cs="Times New Roman"/>
          <w:spacing w:val="0"/>
        </w:rPr>
        <w:t>类水质标准；区域声环境质量能达《声环境质量标准》</w:t>
      </w:r>
      <w:r>
        <w:rPr>
          <w:rFonts w:hint="eastAsia" w:ascii="Times New Roman" w:hAnsi="Times New Roman" w:cs="Times New Roman"/>
          <w:spacing w:val="0"/>
        </w:rPr>
        <w:t>(</w:t>
      </w:r>
      <w:r>
        <w:rPr>
          <w:rFonts w:ascii="Times New Roman" w:hAnsi="Times New Roman" w:cs="Times New Roman"/>
          <w:spacing w:val="0"/>
        </w:rPr>
        <w:t>GB3096-2008</w:t>
      </w:r>
      <w:r>
        <w:rPr>
          <w:rFonts w:hint="eastAsia" w:ascii="Times New Roman" w:hAnsi="Times New Roman" w:cs="Times New Roman"/>
          <w:spacing w:val="0"/>
        </w:rPr>
        <w:t>)</w:t>
      </w:r>
      <w:r>
        <w:rPr>
          <w:rFonts w:ascii="Times New Roman" w:hAnsi="Times New Roman" w:cs="Times New Roman"/>
          <w:spacing w:val="0"/>
        </w:rPr>
        <w:t>中3</w:t>
      </w:r>
      <w:r>
        <w:rPr>
          <w:rFonts w:hint="eastAsia" w:ascii="Times New Roman" w:hAnsi="Times New Roman" w:cs="Times New Roman"/>
          <w:spacing w:val="0"/>
        </w:rPr>
        <w:t>、</w:t>
      </w:r>
      <w:r>
        <w:rPr>
          <w:rFonts w:ascii="Times New Roman" w:hAnsi="Times New Roman" w:cs="Times New Roman"/>
          <w:spacing w:val="0"/>
        </w:rPr>
        <w:t>4a</w:t>
      </w:r>
      <w:r>
        <w:rPr>
          <w:rFonts w:hint="eastAsia" w:ascii="Times New Roman" w:hAnsi="Times New Roman" w:cs="Times New Roman"/>
          <w:spacing w:val="0"/>
        </w:rPr>
        <w:t>、</w:t>
      </w:r>
      <w:r>
        <w:rPr>
          <w:rFonts w:ascii="Times New Roman" w:hAnsi="Times New Roman" w:cs="Times New Roman"/>
          <w:spacing w:val="0"/>
        </w:rPr>
        <w:t>4b类标准要求；项目场地</w:t>
      </w:r>
      <w:r>
        <w:rPr>
          <w:rFonts w:hint="eastAsia" w:ascii="Times New Roman" w:hAnsi="Times New Roman" w:cs="Times New Roman"/>
          <w:spacing w:val="0"/>
        </w:rPr>
        <w:t>内</w:t>
      </w:r>
      <w:r>
        <w:rPr>
          <w:rFonts w:ascii="Times New Roman" w:hAnsi="Times New Roman" w:cs="Times New Roman"/>
          <w:spacing w:val="0"/>
        </w:rPr>
        <w:t>土壤各监测指标均能满足《土壤环境质量 建设用地土壤污染风险管控标准(试行)》(GB366600-2018)中第二类用地基本项目</w:t>
      </w:r>
      <w:r>
        <w:rPr>
          <w:rFonts w:hint="eastAsia" w:ascii="Times New Roman" w:hAnsi="Times New Roman" w:cs="Times New Roman"/>
          <w:spacing w:val="0"/>
        </w:rPr>
        <w:t>及</w:t>
      </w:r>
      <w:r>
        <w:rPr>
          <w:rFonts w:ascii="Times New Roman" w:hAnsi="Times New Roman" w:cs="Times New Roman"/>
          <w:spacing w:val="0"/>
        </w:rPr>
        <w:t>其它项目二噁英的</w:t>
      </w:r>
      <w:r>
        <w:rPr>
          <w:rFonts w:hint="eastAsia" w:ascii="Times New Roman" w:hAnsi="Times New Roman" w:cs="Times New Roman"/>
          <w:spacing w:val="0"/>
        </w:rPr>
        <w:t>风险</w:t>
      </w:r>
      <w:r>
        <w:rPr>
          <w:rFonts w:ascii="Times New Roman" w:hAnsi="Times New Roman" w:cs="Times New Roman"/>
          <w:spacing w:val="0"/>
        </w:rPr>
        <w:t>筛选值标准</w:t>
      </w:r>
      <w:r>
        <w:rPr>
          <w:rFonts w:hint="eastAsia" w:ascii="Times New Roman" w:hAnsi="Times New Roman" w:cs="Times New Roman"/>
          <w:spacing w:val="0"/>
        </w:rPr>
        <w:t>，永兴家园土壤监测值满足《土壤环境质量 建设用地土壤污染风险管控标准（试行）》（G</w:t>
      </w:r>
      <w:r>
        <w:rPr>
          <w:rFonts w:ascii="Times New Roman" w:hAnsi="Times New Roman" w:cs="Times New Roman"/>
          <w:spacing w:val="0"/>
        </w:rPr>
        <w:t>B36600-2018</w:t>
      </w:r>
      <w:r>
        <w:rPr>
          <w:rFonts w:hint="eastAsia" w:ascii="Times New Roman" w:hAnsi="Times New Roman" w:cs="Times New Roman"/>
          <w:spacing w:val="0"/>
        </w:rPr>
        <w:t>）中第一类用地的相关风险筛选值标准；</w:t>
      </w:r>
      <w:r>
        <w:rPr>
          <w:rFonts w:ascii="Times New Roman" w:hAnsi="Times New Roman" w:cs="Times New Roman"/>
          <w:spacing w:val="0"/>
          <w:lang w:val="zh-CN"/>
        </w:rPr>
        <w:t>河道底泥各项指标</w:t>
      </w:r>
      <w:r>
        <w:rPr>
          <w:rFonts w:hint="eastAsia" w:ascii="Times New Roman" w:hAnsi="Times New Roman" w:cs="Times New Roman"/>
          <w:spacing w:val="0"/>
          <w:lang w:val="zh-CN"/>
        </w:rPr>
        <w:t>监测值均</w:t>
      </w:r>
      <w:r>
        <w:rPr>
          <w:rFonts w:ascii="Times New Roman" w:hAnsi="Times New Roman" w:cs="Times New Roman"/>
          <w:spacing w:val="0"/>
          <w:lang w:val="zh-CN"/>
        </w:rPr>
        <w:t>低于《土壤环境质量 农用地土壤污染风险管控标准（试行）》（GB15618-2018）的筛选值</w:t>
      </w:r>
      <w:r>
        <w:rPr>
          <w:rFonts w:ascii="Times New Roman" w:hAnsi="Times New Roman" w:cs="Times New Roman"/>
          <w:spacing w:val="0"/>
        </w:rPr>
        <w:t>。</w:t>
      </w:r>
    </w:p>
    <w:p>
      <w:pPr>
        <w:pStyle w:val="4"/>
        <w:spacing w:line="480" w:lineRule="exact"/>
        <w:rPr>
          <w:rFonts w:ascii="Times New Roman" w:hAnsi="Times New Roman" w:cs="Times New Roman"/>
          <w:spacing w:val="0"/>
        </w:rPr>
      </w:pPr>
      <w:r>
        <w:rPr>
          <w:rFonts w:ascii="Times New Roman" w:hAnsi="Times New Roman" w:cs="Times New Roman"/>
          <w:spacing w:val="0"/>
        </w:rPr>
        <w:t>项目实施后，营运过程中</w:t>
      </w:r>
      <w:r>
        <w:rPr>
          <w:rFonts w:hint="eastAsia" w:ascii="Times New Roman" w:hAnsi="Times New Roman" w:cs="Times New Roman"/>
          <w:spacing w:val="0"/>
        </w:rPr>
        <w:t>经采取治理措施后各项</w:t>
      </w:r>
      <w:r>
        <w:rPr>
          <w:rFonts w:ascii="Times New Roman" w:hAnsi="Times New Roman" w:cs="Times New Roman"/>
          <w:spacing w:val="0"/>
        </w:rPr>
        <w:t>废气能实现达标排放，根据预测结果最大落地点浓度及敏感目标预测值均能达标，符合环境空气功能区要求；</w:t>
      </w:r>
      <w:r>
        <w:rPr>
          <w:rFonts w:hint="eastAsia" w:ascii="Times New Roman" w:hAnsi="Times New Roman" w:cs="Times New Roman"/>
          <w:spacing w:val="0"/>
        </w:rPr>
        <w:t>项目无废水排放</w:t>
      </w:r>
      <w:r>
        <w:rPr>
          <w:rFonts w:ascii="Times New Roman" w:hAnsi="Times New Roman" w:cs="Times New Roman"/>
          <w:spacing w:val="0"/>
        </w:rPr>
        <w:t>，不会对周边地表水及地下水环境造成不良影响，能维持地表水环境功能区现状；项目设备噪声经隔声降噪后能够做到达标排放，不会改变区域环境功能区要求，能维持声环境功能区现状；其次，环评要求企业积极采取地面硬化、防腐防渗等措施，确保项目污染物不渗入地下水和土壤，对其影响也不大。因此项目建设不触及环境质量底线。</w:t>
      </w:r>
    </w:p>
    <w:p>
      <w:pPr>
        <w:pStyle w:val="4"/>
        <w:spacing w:line="480" w:lineRule="exact"/>
        <w:rPr>
          <w:rFonts w:ascii="Times New Roman" w:hAnsi="Times New Roman" w:cs="Times New Roman"/>
          <w:spacing w:val="0"/>
        </w:rPr>
      </w:pPr>
      <w:r>
        <w:rPr>
          <w:rFonts w:hint="eastAsia" w:ascii="宋体" w:hAnsi="宋体" w:cs="宋体"/>
          <w:spacing w:val="0"/>
        </w:rPr>
        <w:t>③</w:t>
      </w:r>
      <w:r>
        <w:rPr>
          <w:rFonts w:ascii="Times New Roman" w:hAnsi="Times New Roman" w:cs="Times New Roman"/>
          <w:spacing w:val="0"/>
        </w:rPr>
        <w:t>资源利用上线</w:t>
      </w:r>
    </w:p>
    <w:p>
      <w:pPr>
        <w:pStyle w:val="4"/>
        <w:spacing w:line="480" w:lineRule="exact"/>
        <w:rPr>
          <w:rFonts w:ascii="Times New Roman" w:hAnsi="Times New Roman" w:cs="Times New Roman"/>
          <w:spacing w:val="0"/>
        </w:rPr>
      </w:pPr>
      <w:r>
        <w:rPr>
          <w:rFonts w:ascii="Times New Roman" w:hAnsi="Times New Roman" w:cs="Times New Roman"/>
          <w:spacing w:val="0"/>
        </w:rPr>
        <w:t>项目</w:t>
      </w:r>
      <w:r>
        <w:rPr>
          <w:rFonts w:hint="eastAsia" w:ascii="Times New Roman" w:hAnsi="Times New Roman" w:cs="Times New Roman"/>
          <w:spacing w:val="0"/>
        </w:rPr>
        <w:t>不新增</w:t>
      </w:r>
      <w:r>
        <w:rPr>
          <w:rFonts w:ascii="Times New Roman" w:hAnsi="Times New Roman" w:cs="Times New Roman"/>
          <w:spacing w:val="0"/>
        </w:rPr>
        <w:t>用地</w:t>
      </w:r>
      <w:r>
        <w:rPr>
          <w:rFonts w:hint="eastAsia" w:ascii="Times New Roman" w:hAnsi="Times New Roman" w:cs="Times New Roman"/>
          <w:spacing w:val="0"/>
        </w:rPr>
        <w:t>，</w:t>
      </w:r>
      <w:r>
        <w:rPr>
          <w:rFonts w:ascii="Times New Roman" w:hAnsi="Times New Roman" w:cs="Times New Roman"/>
          <w:spacing w:val="0"/>
        </w:rPr>
        <w:t>用水、用电利用量均在区域水、电资源量范围内，项目</w:t>
      </w:r>
      <w:r>
        <w:rPr>
          <w:rFonts w:hint="eastAsia" w:ascii="Times New Roman" w:hAnsi="Times New Roman" w:cs="Times New Roman"/>
          <w:spacing w:val="0"/>
        </w:rPr>
        <w:t>无</w:t>
      </w:r>
      <w:r>
        <w:rPr>
          <w:rFonts w:ascii="Times New Roman" w:hAnsi="Times New Roman" w:cs="Times New Roman"/>
          <w:spacing w:val="0"/>
        </w:rPr>
        <w:t>废水排放，因此项目不触及资源利用上线。</w:t>
      </w:r>
    </w:p>
    <w:p>
      <w:pPr>
        <w:pStyle w:val="4"/>
        <w:spacing w:line="480" w:lineRule="exact"/>
        <w:rPr>
          <w:rFonts w:ascii="Times New Roman" w:hAnsi="Times New Roman" w:cs="Times New Roman"/>
          <w:spacing w:val="0"/>
        </w:rPr>
      </w:pPr>
      <w:r>
        <w:rPr>
          <w:rFonts w:hint="eastAsia" w:ascii="宋体" w:hAnsi="宋体" w:cs="宋体"/>
          <w:spacing w:val="0"/>
        </w:rPr>
        <w:t>④</w:t>
      </w:r>
      <w:r>
        <w:rPr>
          <w:rFonts w:ascii="Times New Roman" w:hAnsi="Times New Roman" w:cs="Times New Roman"/>
          <w:spacing w:val="0"/>
        </w:rPr>
        <w:t>环境准入负面清单</w:t>
      </w:r>
    </w:p>
    <w:p>
      <w:pPr>
        <w:pStyle w:val="4"/>
        <w:spacing w:line="480" w:lineRule="exact"/>
        <w:rPr>
          <w:rFonts w:ascii="Times New Roman" w:hAnsi="Times New Roman" w:cs="Times New Roman"/>
          <w:spacing w:val="0"/>
        </w:rPr>
      </w:pPr>
      <w:r>
        <w:rPr>
          <w:rFonts w:ascii="Times New Roman" w:hAnsi="Times New Roman" w:cs="Times New Roman"/>
          <w:spacing w:val="0"/>
        </w:rPr>
        <w:t>根据《</w:t>
      </w:r>
      <w:r>
        <w:rPr>
          <w:rFonts w:hint="eastAsia" w:ascii="Times New Roman" w:hAnsi="Times New Roman" w:cs="Times New Roman"/>
          <w:spacing w:val="0"/>
        </w:rPr>
        <w:t>湖州市区环境功能区划</w:t>
      </w:r>
      <w:r>
        <w:rPr>
          <w:rFonts w:ascii="Times New Roman" w:hAnsi="Times New Roman" w:cs="Times New Roman"/>
          <w:spacing w:val="0"/>
        </w:rPr>
        <w:t>》，项目所在地位于</w:t>
      </w:r>
      <w:r>
        <w:rPr>
          <w:rFonts w:hint="eastAsia" w:ascii="Times New Roman" w:hAnsi="Times New Roman"/>
          <w:bCs/>
          <w:spacing w:val="0"/>
        </w:rPr>
        <w:t>国家开发区环境重点</w:t>
      </w:r>
      <w:r>
        <w:rPr>
          <w:rFonts w:ascii="Times New Roman" w:hAnsi="Times New Roman"/>
          <w:bCs/>
          <w:spacing w:val="0"/>
        </w:rPr>
        <w:t>准入区(050</w:t>
      </w:r>
      <w:r>
        <w:rPr>
          <w:rFonts w:hint="eastAsia" w:ascii="Times New Roman" w:hAnsi="Times New Roman"/>
          <w:bCs/>
          <w:spacing w:val="0"/>
        </w:rPr>
        <w:t>2</w:t>
      </w:r>
      <w:r>
        <w:rPr>
          <w:rFonts w:ascii="Times New Roman" w:hAnsi="Times New Roman"/>
          <w:bCs/>
          <w:spacing w:val="0"/>
        </w:rPr>
        <w:t>-</w:t>
      </w:r>
      <w:r>
        <w:rPr>
          <w:rFonts w:hint="eastAsia" w:ascii="宋体" w:hAnsi="宋体"/>
          <w:bCs/>
          <w:spacing w:val="0"/>
        </w:rPr>
        <w:t>Ⅵ</w:t>
      </w:r>
      <w:r>
        <w:rPr>
          <w:rFonts w:ascii="Times New Roman" w:hAnsi="Times New Roman"/>
          <w:bCs/>
          <w:spacing w:val="0"/>
        </w:rPr>
        <w:t>-0-</w:t>
      </w:r>
      <w:r>
        <w:rPr>
          <w:rFonts w:hint="eastAsia" w:ascii="Times New Roman" w:hAnsi="Times New Roman"/>
          <w:bCs/>
          <w:spacing w:val="0"/>
        </w:rPr>
        <w:t>1</w:t>
      </w:r>
      <w:r>
        <w:rPr>
          <w:rFonts w:ascii="Times New Roman" w:hAnsi="Times New Roman"/>
          <w:bCs/>
          <w:spacing w:val="0"/>
        </w:rPr>
        <w:t>)</w:t>
      </w:r>
      <w:r>
        <w:rPr>
          <w:rFonts w:ascii="Times New Roman" w:hAnsi="Times New Roman" w:cs="Times New Roman"/>
          <w:spacing w:val="0"/>
        </w:rPr>
        <w:t>，该小区与本项目相关的负面清单为：</w:t>
      </w:r>
      <w:r>
        <w:rPr>
          <w:rFonts w:ascii="宋体" w:hAnsi="宋体" w:cs="Times New Roman"/>
          <w:spacing w:val="0"/>
        </w:rPr>
        <w:t>“</w:t>
      </w:r>
      <w:r>
        <w:rPr>
          <w:rFonts w:hint="eastAsia" w:ascii="宋体" w:hAnsi="宋体"/>
          <w:spacing w:val="0"/>
        </w:rPr>
        <w:t>禁止新建废水排放量较大的以及不符合集聚区产业规划的三类工业项目，禁止扩建、改建有增加水污染物排放和水环境风险的三类工业项目。新建三类工业项目污染物排放水平需达到同行业国内先进水平</w:t>
      </w:r>
      <w:r>
        <w:rPr>
          <w:rFonts w:hint="eastAsia" w:ascii="宋体" w:hAnsi="宋体" w:cs="Times New Roman"/>
          <w:spacing w:val="0"/>
        </w:rPr>
        <w:t>。</w:t>
      </w:r>
      <w:r>
        <w:rPr>
          <w:rFonts w:ascii="宋体" w:hAnsi="宋体" w:cs="Times New Roman"/>
          <w:spacing w:val="0"/>
        </w:rPr>
        <w:t>”</w:t>
      </w:r>
      <w:r>
        <w:rPr>
          <w:rFonts w:hint="eastAsia" w:ascii="Times New Roman" w:hAnsi="Times New Roman" w:cs="Times New Roman"/>
          <w:spacing w:val="0"/>
        </w:rPr>
        <w:t>本项目为技改项目，不增加水污染物排放和水环境风险，</w:t>
      </w:r>
      <w:r>
        <w:rPr>
          <w:rFonts w:ascii="Times New Roman" w:hAnsi="Times New Roman" w:cs="Times New Roman"/>
          <w:spacing w:val="0"/>
        </w:rPr>
        <w:t>因此</w:t>
      </w:r>
      <w:r>
        <w:rPr>
          <w:rFonts w:hint="eastAsia" w:ascii="Times New Roman" w:hAnsi="Times New Roman" w:cs="Times New Roman"/>
          <w:spacing w:val="0"/>
        </w:rPr>
        <w:t>本</w:t>
      </w:r>
      <w:r>
        <w:rPr>
          <w:rFonts w:ascii="Times New Roman" w:hAnsi="Times New Roman" w:cs="Times New Roman"/>
          <w:spacing w:val="0"/>
        </w:rPr>
        <w:t>项目未列入该环境功能区的负面清单。</w:t>
      </w:r>
    </w:p>
    <w:p>
      <w:pPr>
        <w:pStyle w:val="835"/>
        <w:spacing w:before="0" w:line="480" w:lineRule="exact"/>
        <w:ind w:firstLine="486"/>
        <w:rPr>
          <w:rFonts w:ascii="Times New Roman" w:hAnsi="Times New Roman"/>
        </w:rPr>
      </w:pPr>
      <w:r>
        <w:rPr>
          <w:rFonts w:ascii="Times New Roman" w:hAnsi="Times New Roman"/>
        </w:rPr>
        <w:t>综上所述，项目建设符合</w:t>
      </w:r>
      <w:r>
        <w:rPr>
          <w:rFonts w:asciiTheme="minorEastAsia" w:hAnsiTheme="minorEastAsia" w:eastAsiaTheme="minorEastAsia"/>
        </w:rPr>
        <w:t>“三线一单”</w:t>
      </w:r>
      <w:r>
        <w:rPr>
          <w:rFonts w:ascii="Times New Roman" w:hAnsi="Times New Roman"/>
        </w:rPr>
        <w:t>管理要</w:t>
      </w:r>
      <w:bookmarkStart w:id="324" w:name="_GoBack"/>
      <w:bookmarkEnd w:id="324"/>
      <w:r>
        <w:rPr>
          <w:rFonts w:ascii="Times New Roman" w:hAnsi="Times New Roman"/>
        </w:rPr>
        <w:t>求</w:t>
      </w:r>
      <w:r>
        <w:rPr>
          <w:rFonts w:hint="eastAsia" w:ascii="Times New Roman" w:hAnsi="Times New Roman"/>
        </w:rPr>
        <w:t>。</w:t>
      </w:r>
    </w:p>
    <w:p>
      <w:pPr>
        <w:pStyle w:val="835"/>
        <w:spacing w:before="0" w:line="480" w:lineRule="exact"/>
        <w:ind w:firstLine="486"/>
        <w:rPr>
          <w:rFonts w:hint="eastAsia" w:ascii="Times New Roman" w:hAnsi="Times New Roman"/>
        </w:rPr>
      </w:pPr>
      <w:r>
        <w:rPr>
          <w:rFonts w:hint="eastAsia" w:ascii="Times New Roman" w:hAnsi="Times New Roman"/>
        </w:rPr>
        <w:t>(</w:t>
      </w:r>
      <w:r>
        <w:rPr>
          <w:rFonts w:ascii="Times New Roman" w:hAnsi="Times New Roman"/>
        </w:rPr>
        <w:t>5</w:t>
      </w:r>
      <w:r>
        <w:rPr>
          <w:rFonts w:hint="eastAsia" w:ascii="Times New Roman" w:hAnsi="Times New Roman"/>
        </w:rPr>
        <w:t>)项目建设符合土地利用总体规划、开发区规划、国家和省产业政策等要求</w:t>
      </w:r>
    </w:p>
    <w:p>
      <w:pPr>
        <w:pStyle w:val="835"/>
        <w:spacing w:before="0" w:line="480" w:lineRule="exact"/>
        <w:ind w:firstLine="486"/>
        <w:rPr>
          <w:rFonts w:ascii="Times New Roman" w:hAnsi="Times New Roman"/>
        </w:rPr>
      </w:pPr>
      <w:r>
        <w:rPr>
          <w:rFonts w:hint="eastAsia" w:ascii="Times New Roman" w:hAnsi="Times New Roman"/>
        </w:rPr>
        <w:t>项目选址位于湖州市经济技术开发区杨家埠霅水桥路618号，根据不动产权证书及土地证，建设用地为工业用地；</w:t>
      </w:r>
      <w:r>
        <w:rPr>
          <w:rFonts w:hint="eastAsia" w:ascii="Times New Roman" w:hAnsi="Times New Roman" w:eastAsiaTheme="minorEastAsia"/>
          <w:szCs w:val="28"/>
          <w:lang w:val="zh-CN"/>
        </w:rPr>
        <w:t>根据《湖州市城市总体规划(2017-2035年)》中心城市远期用地规划图(详见附图8-1)，项目所在地为工业用地；</w:t>
      </w:r>
      <w:r>
        <w:rPr>
          <w:rFonts w:hint="eastAsia" w:ascii="Times New Roman" w:hAnsi="Times New Roman"/>
        </w:rPr>
        <w:t>同时</w:t>
      </w:r>
      <w:r>
        <w:rPr>
          <w:rFonts w:hint="eastAsia" w:ascii="Times New Roman" w:hAnsi="Times New Roman" w:eastAsiaTheme="minorEastAsia"/>
        </w:rPr>
        <w:t>根据《</w:t>
      </w:r>
      <w:r>
        <w:t>湖州南太湖产业集聚区</w:t>
      </w:r>
      <w:r>
        <w:rPr>
          <w:rFonts w:hint="eastAsia"/>
        </w:rPr>
        <w:t>杨家埠及枢纽片区</w:t>
      </w:r>
      <w:r>
        <w:t>控制性详细规划</w:t>
      </w:r>
      <w:r>
        <w:rPr>
          <w:rFonts w:hint="eastAsia" w:ascii="Times New Roman" w:hAnsi="Times New Roman" w:eastAsiaTheme="minorEastAsia"/>
        </w:rPr>
        <w:t>》</w:t>
      </w:r>
      <w:r>
        <w:rPr>
          <w:rFonts w:hint="eastAsia"/>
        </w:rPr>
        <w:t>中</w:t>
      </w:r>
      <w:r>
        <w:t>的</w:t>
      </w:r>
      <w:r>
        <w:rPr>
          <w:rFonts w:hint="eastAsia" w:ascii="Times New Roman" w:hAnsi="Times New Roman" w:eastAsiaTheme="minorEastAsia"/>
        </w:rPr>
        <w:t>杨家埠片区规划区用地布局规划图</w:t>
      </w:r>
      <w:r>
        <w:rPr>
          <w:rFonts w:ascii="Times New Roman" w:hAnsi="Times New Roman" w:eastAsiaTheme="minorEastAsia"/>
        </w:rPr>
        <w:t>（详见附图</w:t>
      </w:r>
      <w:r>
        <w:rPr>
          <w:rFonts w:hint="eastAsia" w:ascii="Times New Roman" w:hAnsi="Times New Roman" w:eastAsiaTheme="minorEastAsia"/>
        </w:rPr>
        <w:t>8-2</w:t>
      </w:r>
      <w:r>
        <w:rPr>
          <w:rFonts w:ascii="Times New Roman" w:hAnsi="Times New Roman" w:eastAsiaTheme="minorEastAsia"/>
        </w:rPr>
        <w:t>），</w:t>
      </w:r>
      <w:r>
        <w:rPr>
          <w:rFonts w:hint="eastAsia" w:ascii="Times New Roman" w:hAnsi="Times New Roman" w:eastAsiaTheme="minorEastAsia"/>
        </w:rPr>
        <w:t>项目所在地</w:t>
      </w:r>
      <w:r>
        <w:rPr>
          <w:rFonts w:ascii="Times New Roman" w:hAnsi="Times New Roman" w:eastAsiaTheme="minorEastAsia"/>
        </w:rPr>
        <w:t>为工业用地</w:t>
      </w:r>
      <w:r>
        <w:rPr>
          <w:rFonts w:hint="eastAsia" w:ascii="Times New Roman" w:hAnsi="Times New Roman"/>
        </w:rPr>
        <w:t>。因此项目建设符合湖州市城市总体规划和</w:t>
      </w:r>
      <w:r>
        <w:t>湖州南太湖产业集聚区</w:t>
      </w:r>
      <w:r>
        <w:rPr>
          <w:rFonts w:hint="eastAsia"/>
        </w:rPr>
        <w:t>杨家埠及枢纽片区</w:t>
      </w:r>
      <w:r>
        <w:t>控制性详细规划</w:t>
      </w:r>
      <w:r>
        <w:rPr>
          <w:rFonts w:ascii="Times New Roman" w:hAnsi="Times New Roman"/>
        </w:rPr>
        <w:t>。</w:t>
      </w:r>
    </w:p>
    <w:p>
      <w:pPr>
        <w:pStyle w:val="835"/>
        <w:spacing w:before="0" w:line="480" w:lineRule="exact"/>
        <w:ind w:firstLine="486"/>
        <w:rPr>
          <w:rFonts w:hint="eastAsia" w:ascii="Times New Roman" w:hAnsi="Times New Roman"/>
        </w:rPr>
      </w:pPr>
      <w:r>
        <w:rPr>
          <w:rFonts w:ascii="Times New Roman" w:hAnsi="Times New Roman"/>
        </w:rPr>
        <w:t>项目为</w:t>
      </w:r>
      <w:r>
        <w:rPr>
          <w:rFonts w:hint="eastAsia" w:ascii="Times New Roman" w:hAnsi="Times New Roman"/>
        </w:rPr>
        <w:t>高性能不锈钢产品</w:t>
      </w:r>
      <w:r>
        <w:rPr>
          <w:rFonts w:ascii="Times New Roman" w:hAnsi="Times New Roman"/>
        </w:rPr>
        <w:t>生产，根据国家发展和改革委员会令第21号《产业结构调整指导目录》（2013年修正），本项目属于鼓励类</w:t>
      </w:r>
      <w:r>
        <w:rPr>
          <w:rFonts w:hint="eastAsia" w:ascii="Times New Roman" w:hAnsi="Times New Roman"/>
        </w:rPr>
        <w:t>“</w:t>
      </w:r>
      <w:r>
        <w:rPr>
          <w:rFonts w:ascii="Times New Roman" w:hAnsi="Times New Roman"/>
        </w:rPr>
        <w:t>八、钢铁</w:t>
      </w:r>
      <w:r>
        <w:rPr>
          <w:rFonts w:hint="eastAsia" w:ascii="Times New Roman" w:hAnsi="Times New Roman"/>
        </w:rPr>
        <w:t>”</w:t>
      </w:r>
      <w:r>
        <w:rPr>
          <w:rFonts w:ascii="Times New Roman" w:hAnsi="Times New Roman"/>
        </w:rPr>
        <w:t>中的</w:t>
      </w:r>
      <w:r>
        <w:rPr>
          <w:rFonts w:hint="eastAsia" w:ascii="Times New Roman" w:hAnsi="Times New Roman"/>
        </w:rPr>
        <w:t>第4款“</w:t>
      </w:r>
      <w:r>
        <w:rPr>
          <w:rFonts w:hint="eastAsia" w:ascii="宋体" w:hAnsi="宋体" w:cs="宋体"/>
        </w:rPr>
        <w:t>先进压水堆核电管、百万千瓦火电锅炉管、耐蚀耐压耐温油井管、耐腐蚀航空管、高耐腐蚀化工管生产</w:t>
      </w:r>
      <w:r>
        <w:rPr>
          <w:rFonts w:hint="eastAsia" w:ascii="Times New Roman" w:hAnsi="Times New Roman"/>
        </w:rPr>
        <w:t>”、</w:t>
      </w:r>
      <w:r>
        <w:rPr>
          <w:rFonts w:ascii="Times New Roman" w:hAnsi="Times New Roman"/>
        </w:rPr>
        <w:t>第5款</w:t>
      </w:r>
      <w:r>
        <w:rPr>
          <w:rFonts w:asciiTheme="minorEastAsia" w:hAnsiTheme="minorEastAsia" w:eastAsiaTheme="minorEastAsia"/>
        </w:rPr>
        <w:t>“</w:t>
      </w:r>
      <w:r>
        <w:rPr>
          <w:rFonts w:ascii="Times New Roman" w:hAnsi="Times New Roman"/>
        </w:rPr>
        <w:t>高性能、高质量及升级换代钢材产品技术开发与应用。包括600兆帕级及以上高强度汽车板、油气输送高性能管线钢、高强度船舶用宽厚板、海洋工程用钢、420兆帕级及以上建筑和桥梁等结构用中厚板、高速重载铁路用钢、低铁损高磁感硅钢、耐腐蚀耐磨损钢材、节约合金资源不锈钢（现代铁素体不锈钢、双相不锈钢、含氮不锈钢）、高性能基础件（高性能齿轮、12.9 级及以上螺栓、高强度弹簧、长寿命轴承等）用特殊钢棒线材、高品质特钢锻轧材（工模具钢、不锈钢、机械用钢等）等</w:t>
      </w:r>
      <w:r>
        <w:rPr>
          <w:rFonts w:hint="eastAsia" w:ascii="Times New Roman" w:hAnsi="Times New Roman"/>
        </w:rPr>
        <w:t>”；</w:t>
      </w:r>
      <w:r>
        <w:rPr>
          <w:rFonts w:ascii="Times New Roman" w:hAnsi="Times New Roman"/>
        </w:rPr>
        <w:t>第</w:t>
      </w:r>
      <w:r>
        <w:rPr>
          <w:rFonts w:hint="eastAsia" w:ascii="Times New Roman" w:hAnsi="Times New Roman"/>
        </w:rPr>
        <w:t>9款</w:t>
      </w:r>
      <w:r>
        <w:rPr>
          <w:rFonts w:asciiTheme="minorEastAsia" w:hAnsiTheme="minorEastAsia" w:eastAsiaTheme="minorEastAsia"/>
        </w:rPr>
        <w:t>“</w:t>
      </w:r>
      <w:r>
        <w:rPr>
          <w:rFonts w:hint="eastAsia" w:asciiTheme="minorEastAsia" w:hAnsiTheme="minorEastAsia" w:eastAsiaTheme="minorEastAsia"/>
        </w:rPr>
        <w:t>生产过程在线质量检测技术应用</w:t>
      </w:r>
      <w:r>
        <w:rPr>
          <w:rFonts w:asciiTheme="minorEastAsia" w:hAnsiTheme="minorEastAsia" w:eastAsiaTheme="minorEastAsia"/>
        </w:rPr>
        <w:t>”项</w:t>
      </w:r>
      <w:r>
        <w:rPr>
          <w:rFonts w:ascii="Times New Roman" w:hAnsi="Times New Roman"/>
        </w:rPr>
        <w:t>目</w:t>
      </w:r>
      <w:r>
        <w:rPr>
          <w:rFonts w:hint="eastAsia" w:ascii="Times New Roman" w:hAnsi="Times New Roman"/>
        </w:rPr>
        <w:t>。项目不属于《湖州市产业发展导向目录（2012 年本）》中限制发展、禁止及淘汰类项目，为允许类项目。</w:t>
      </w:r>
      <w:r>
        <w:rPr>
          <w:rFonts w:ascii="Times New Roman" w:hAnsi="Times New Roman"/>
        </w:rPr>
        <w:t>综上所述，本项目建设符合国家、</w:t>
      </w:r>
      <w:r>
        <w:rPr>
          <w:rFonts w:hint="eastAsia" w:ascii="Times New Roman" w:hAnsi="Times New Roman"/>
        </w:rPr>
        <w:t>湖州市</w:t>
      </w:r>
      <w:r>
        <w:rPr>
          <w:rFonts w:ascii="Times New Roman" w:hAnsi="Times New Roman"/>
        </w:rPr>
        <w:t>产业政策要求</w:t>
      </w:r>
      <w:r>
        <w:rPr>
          <w:rFonts w:hint="eastAsia" w:ascii="Times New Roman" w:hAnsi="Times New Roman"/>
        </w:rPr>
        <w:t>。</w:t>
      </w:r>
    </w:p>
    <w:p>
      <w:pPr>
        <w:pStyle w:val="835"/>
        <w:spacing w:before="0" w:line="480" w:lineRule="exact"/>
        <w:ind w:firstLine="486"/>
        <w:rPr>
          <w:rFonts w:ascii="Times New Roman" w:hAnsi="Times New Roman"/>
        </w:rPr>
      </w:pPr>
      <w:r>
        <w:rPr>
          <w:rFonts w:hint="eastAsia" w:ascii="Times New Roman" w:hAnsi="Times New Roman"/>
        </w:rPr>
        <w:t>(</w:t>
      </w:r>
      <w:r>
        <w:rPr>
          <w:rFonts w:ascii="Times New Roman" w:hAnsi="Times New Roman"/>
        </w:rPr>
        <w:t>6</w:t>
      </w:r>
      <w:r>
        <w:rPr>
          <w:rFonts w:hint="eastAsia" w:ascii="Times New Roman" w:hAnsi="Times New Roman"/>
        </w:rPr>
        <w:t>)</w:t>
      </w:r>
      <w:r>
        <w:rPr>
          <w:rFonts w:hint="eastAsia"/>
        </w:rPr>
        <w:t xml:space="preserve"> </w:t>
      </w:r>
      <w:r>
        <w:rPr>
          <w:rFonts w:hint="eastAsia" w:ascii="Times New Roman" w:hAnsi="Times New Roman"/>
        </w:rPr>
        <w:t>项目建设符合规划环评，环境事故风险水平可接受，并符合公众参与要求</w:t>
      </w:r>
    </w:p>
    <w:p>
      <w:pPr>
        <w:pStyle w:val="835"/>
        <w:spacing w:before="0" w:line="480" w:lineRule="exact"/>
        <w:ind w:firstLine="486"/>
        <w:rPr>
          <w:rFonts w:ascii="Times New Roman" w:hAnsi="Times New Roman"/>
        </w:rPr>
      </w:pPr>
      <w:r>
        <w:rPr>
          <w:rFonts w:hint="eastAsia" w:ascii="Times New Roman" w:hAnsi="Times New Roman"/>
        </w:rPr>
        <w:t>①</w:t>
      </w:r>
      <w:r>
        <w:rPr>
          <w:rFonts w:ascii="Times New Roman" w:hAnsi="Times New Roman"/>
        </w:rPr>
        <w:t>规划环评符合性</w:t>
      </w:r>
    </w:p>
    <w:p>
      <w:pPr>
        <w:pStyle w:val="4"/>
        <w:spacing w:line="480" w:lineRule="exact"/>
        <w:rPr>
          <w:rFonts w:ascii="Times New Roman" w:hAnsi="Times New Roman" w:cs="Times New Roman"/>
          <w:spacing w:val="0"/>
        </w:rPr>
      </w:pPr>
      <w:r>
        <w:rPr>
          <w:rFonts w:ascii="Times New Roman" w:hAnsi="Times New Roman" w:cs="Times New Roman"/>
          <w:spacing w:val="0"/>
        </w:rPr>
        <w:t>2014年11月</w:t>
      </w:r>
      <w:r>
        <w:rPr>
          <w:rFonts w:hint="eastAsia" w:ascii="Times New Roman" w:hAnsi="Times New Roman" w:cs="Times New Roman"/>
          <w:spacing w:val="0"/>
        </w:rPr>
        <w:t>，</w:t>
      </w:r>
      <w:r>
        <w:rPr>
          <w:rFonts w:ascii="Times New Roman" w:hAnsi="Times New Roman" w:cs="Times New Roman"/>
          <w:spacing w:val="0"/>
        </w:rPr>
        <w:t>湖州经济技术开发区管理委员会</w:t>
      </w:r>
      <w:r>
        <w:rPr>
          <w:rFonts w:hint="eastAsia" w:ascii="Times New Roman" w:hAnsi="Times New Roman" w:cs="Times New Roman"/>
          <w:spacing w:val="0"/>
        </w:rPr>
        <w:t>报批了由</w:t>
      </w:r>
      <w:r>
        <w:rPr>
          <w:rFonts w:ascii="Times New Roman" w:hAnsi="Times New Roman" w:cs="Times New Roman"/>
          <w:spacing w:val="0"/>
        </w:rPr>
        <w:t>浙江省环境工程有限公司编制的《湖州南太湖产业集聚区(生物医药园区、杨家埠及枢纽片区、西南分区、凤凰分区)控制性详细规划环境影响报告书》</w:t>
      </w:r>
      <w:r>
        <w:rPr>
          <w:rFonts w:hint="eastAsia" w:ascii="Times New Roman" w:hAnsi="Times New Roman" w:cs="Times New Roman"/>
          <w:spacing w:val="0"/>
        </w:rPr>
        <w:t>，并于2015年7月通过原浙江省环境保护厅审查（</w:t>
      </w:r>
      <w:r>
        <w:rPr>
          <w:rFonts w:ascii="Times New Roman" w:hAnsi="Times New Roman" w:cs="Times New Roman"/>
          <w:spacing w:val="0"/>
        </w:rPr>
        <w:t>经浙环函[2015]269号</w:t>
      </w:r>
      <w:r>
        <w:rPr>
          <w:rFonts w:hint="eastAsia" w:ascii="Times New Roman" w:hAnsi="Times New Roman" w:cs="Times New Roman"/>
          <w:spacing w:val="0"/>
        </w:rPr>
        <w:t>文）。</w:t>
      </w:r>
      <w:r>
        <w:rPr>
          <w:rFonts w:ascii="Times New Roman" w:hAnsi="Times New Roman" w:cs="Times New Roman"/>
          <w:spacing w:val="0"/>
        </w:rPr>
        <w:t>2017年12月又按环环评</w:t>
      </w:r>
      <w:r>
        <w:rPr>
          <w:rFonts w:hint="eastAsia" w:ascii="Times New Roman" w:hAnsi="Times New Roman" w:cs="Times New Roman"/>
          <w:spacing w:val="0"/>
        </w:rPr>
        <w:t>[</w:t>
      </w:r>
      <w:r>
        <w:rPr>
          <w:rFonts w:ascii="Times New Roman" w:hAnsi="Times New Roman" w:cs="Times New Roman"/>
          <w:spacing w:val="0"/>
        </w:rPr>
        <w:t>2016</w:t>
      </w:r>
      <w:r>
        <w:rPr>
          <w:rFonts w:hint="eastAsia" w:ascii="Times New Roman" w:hAnsi="Times New Roman" w:cs="Times New Roman"/>
          <w:spacing w:val="0"/>
        </w:rPr>
        <w:t>]</w:t>
      </w:r>
      <w:r>
        <w:rPr>
          <w:rFonts w:ascii="Times New Roman" w:hAnsi="Times New Roman" w:cs="Times New Roman"/>
          <w:spacing w:val="0"/>
        </w:rPr>
        <w:t>150号、浙政办发</w:t>
      </w:r>
      <w:r>
        <w:rPr>
          <w:rFonts w:hint="eastAsia" w:ascii="Times New Roman" w:hAnsi="Times New Roman" w:cs="Times New Roman"/>
          <w:spacing w:val="0"/>
        </w:rPr>
        <w:t>[</w:t>
      </w:r>
      <w:r>
        <w:rPr>
          <w:rFonts w:ascii="Times New Roman" w:hAnsi="Times New Roman" w:cs="Times New Roman"/>
          <w:spacing w:val="0"/>
        </w:rPr>
        <w:t>2017</w:t>
      </w:r>
      <w:r>
        <w:rPr>
          <w:rFonts w:hint="eastAsia" w:ascii="Times New Roman" w:hAnsi="Times New Roman" w:cs="Times New Roman"/>
          <w:spacing w:val="0"/>
        </w:rPr>
        <w:t>]</w:t>
      </w:r>
      <w:r>
        <w:rPr>
          <w:rFonts w:ascii="Times New Roman" w:hAnsi="Times New Roman" w:cs="Times New Roman"/>
          <w:spacing w:val="0"/>
        </w:rPr>
        <w:t>57号和浙环发[2017]37号等文件要求进一步细化编制了《规划环评结论清单》</w:t>
      </w:r>
      <w:r>
        <w:rPr>
          <w:rFonts w:hint="eastAsia" w:ascii="Times New Roman" w:hAnsi="Times New Roman" w:cs="Times New Roman"/>
          <w:spacing w:val="0"/>
        </w:rPr>
        <w:t>。本项目为炼钢</w:t>
      </w:r>
      <w:r>
        <w:rPr>
          <w:rFonts w:ascii="Times New Roman" w:hAnsi="Times New Roman" w:cs="Times New Roman"/>
          <w:spacing w:val="0"/>
        </w:rPr>
        <w:t>行业的</w:t>
      </w:r>
      <w:r>
        <w:rPr>
          <w:rFonts w:hint="eastAsia" w:ascii="Times New Roman" w:hAnsi="Times New Roman" w:cs="Times New Roman"/>
          <w:spacing w:val="0"/>
        </w:rPr>
        <w:t>技改项目，为特种钢材料</w:t>
      </w:r>
      <w:r>
        <w:rPr>
          <w:rFonts w:ascii="Times New Roman" w:hAnsi="Times New Roman" w:cs="Times New Roman"/>
          <w:spacing w:val="0"/>
        </w:rPr>
        <w:t>制造业，</w:t>
      </w:r>
      <w:r>
        <w:rPr>
          <w:rFonts w:hint="eastAsia" w:ascii="Times New Roman" w:hAnsi="Times New Roman" w:cs="Times New Roman"/>
          <w:spacing w:val="0"/>
        </w:rPr>
        <w:t>经分析本项目建设</w:t>
      </w:r>
      <w:r>
        <w:rPr>
          <w:rFonts w:hint="eastAsia"/>
        </w:rPr>
        <w:t>符合</w:t>
      </w:r>
      <w:r>
        <w:rPr>
          <w:rFonts w:ascii="Times New Roman" w:hAnsi="Times New Roman" w:cs="Times New Roman"/>
          <w:spacing w:val="0"/>
        </w:rPr>
        <w:t>规划环评结论</w:t>
      </w:r>
      <w:r>
        <w:rPr>
          <w:rFonts w:hint="eastAsia" w:ascii="Times New Roman" w:hAnsi="Times New Roman" w:cs="Times New Roman"/>
          <w:spacing w:val="0"/>
        </w:rPr>
        <w:t>六张</w:t>
      </w:r>
      <w:r>
        <w:rPr>
          <w:rFonts w:ascii="Times New Roman" w:hAnsi="Times New Roman" w:cs="Times New Roman"/>
          <w:spacing w:val="0"/>
        </w:rPr>
        <w:t>清单</w:t>
      </w:r>
      <w:r>
        <w:rPr>
          <w:rFonts w:hint="eastAsia" w:ascii="Times New Roman" w:hAnsi="Times New Roman" w:cs="Times New Roman"/>
          <w:spacing w:val="0"/>
        </w:rPr>
        <w:t>要求</w:t>
      </w:r>
      <w:r>
        <w:rPr>
          <w:rFonts w:hint="eastAsia"/>
        </w:rPr>
        <w:t>，因此</w:t>
      </w:r>
      <w:r>
        <w:rPr>
          <w:rFonts w:hint="eastAsia" w:ascii="Times New Roman" w:hAnsi="Times New Roman" w:cs="Times New Roman"/>
          <w:spacing w:val="0"/>
        </w:rPr>
        <w:t>项目建设符合规划环评要求</w:t>
      </w:r>
      <w:r>
        <w:rPr>
          <w:rFonts w:ascii="Times New Roman" w:hAnsi="Times New Roman" w:cs="Times New Roman"/>
          <w:spacing w:val="0"/>
        </w:rPr>
        <w:t>。</w:t>
      </w:r>
    </w:p>
    <w:p>
      <w:pPr>
        <w:pStyle w:val="835"/>
        <w:spacing w:before="0" w:line="480" w:lineRule="exact"/>
        <w:ind w:firstLine="486"/>
        <w:rPr>
          <w:rFonts w:ascii="Times New Roman" w:hAnsi="Times New Roman"/>
        </w:rPr>
      </w:pPr>
      <w:r>
        <w:rPr>
          <w:rFonts w:hint="eastAsia" w:ascii="Times New Roman" w:hAnsi="Times New Roman"/>
        </w:rPr>
        <w:t>②环境事故风险水平可接受分析</w:t>
      </w:r>
    </w:p>
    <w:p>
      <w:pPr>
        <w:pStyle w:val="835"/>
        <w:spacing w:before="0" w:line="480" w:lineRule="exact"/>
        <w:ind w:firstLine="486"/>
        <w:rPr>
          <w:rFonts w:ascii="Times New Roman" w:hAnsi="Times New Roman"/>
        </w:rPr>
      </w:pPr>
      <w:r>
        <w:rPr>
          <w:rFonts w:ascii="Times New Roman" w:hAnsi="Times New Roman"/>
        </w:rPr>
        <w:t>根据环境风险评价，本项目使用的燃料</w:t>
      </w:r>
      <w:r>
        <w:rPr>
          <w:rFonts w:hint="eastAsia" w:ascii="Times New Roman" w:hAnsi="Times New Roman"/>
        </w:rPr>
        <w:t>天然气</w:t>
      </w:r>
      <w:r>
        <w:rPr>
          <w:rFonts w:ascii="Times New Roman" w:hAnsi="Times New Roman"/>
        </w:rPr>
        <w:t>存在一定程度的火灾和爆炸风险</w:t>
      </w:r>
      <w:r>
        <w:rPr>
          <w:rFonts w:hint="eastAsia" w:ascii="Times New Roman" w:hAnsi="Times New Roman"/>
        </w:rPr>
        <w:t>、润滑油包装桶存在泄漏风险</w:t>
      </w:r>
      <w:r>
        <w:rPr>
          <w:rFonts w:ascii="Times New Roman" w:hAnsi="Times New Roman"/>
        </w:rPr>
        <w:t>。项目可能发生环境风险主要为</w:t>
      </w:r>
      <w:r>
        <w:rPr>
          <w:rFonts w:hint="eastAsia" w:ascii="Times New Roman" w:hAnsi="Times New Roman"/>
        </w:rPr>
        <w:t>天然气</w:t>
      </w:r>
      <w:r>
        <w:rPr>
          <w:rFonts w:ascii="Times New Roman" w:hAnsi="Times New Roman"/>
        </w:rPr>
        <w:t>泄漏导致火灾和爆炸、</w:t>
      </w:r>
      <w:r>
        <w:rPr>
          <w:rFonts w:hint="eastAsia" w:ascii="Times New Roman" w:hAnsi="Times New Roman"/>
        </w:rPr>
        <w:t>润滑油泄漏导致环境影响、废气事故性排放</w:t>
      </w:r>
      <w:r>
        <w:rPr>
          <w:rFonts w:ascii="Times New Roman" w:hAnsi="Times New Roman"/>
        </w:rPr>
        <w:t>等。要求公司严格执行国家有关危险品运输、贮存的规定，通过采取有限措施，防范污染事故发生。一旦发生事故，依靠厂区内的安全防护设施和事故应急措施也能及时控制事故，防止事故排放，特别是对周围大气环境产生影响。因此，只要严格遵守各项安全操作规程和制度，加强安全管理，项目运行过程环境污染风险是可控的。</w:t>
      </w:r>
    </w:p>
    <w:p>
      <w:pPr>
        <w:pStyle w:val="835"/>
        <w:spacing w:before="0" w:line="480" w:lineRule="exact"/>
        <w:ind w:firstLine="486"/>
        <w:rPr>
          <w:rFonts w:ascii="Times New Roman" w:hAnsi="Times New Roman"/>
        </w:rPr>
      </w:pPr>
      <w:r>
        <w:rPr>
          <w:rFonts w:hint="eastAsia" w:ascii="Times New Roman" w:hAnsi="Times New Roman"/>
        </w:rPr>
        <w:t>③公众参与符合性</w:t>
      </w:r>
    </w:p>
    <w:p>
      <w:pPr>
        <w:pStyle w:val="835"/>
        <w:spacing w:before="0" w:line="480" w:lineRule="exact"/>
        <w:ind w:firstLine="486"/>
        <w:rPr>
          <w:rFonts w:ascii="Times New Roman" w:hAnsi="Times New Roman"/>
          <w:kern w:val="0"/>
        </w:rPr>
      </w:pPr>
      <w:r>
        <w:rPr>
          <w:rFonts w:ascii="Times New Roman" w:hAnsi="Times New Roman"/>
        </w:rPr>
        <w:t>根据生态环境部令第4号《环境影响评价公众参与办法》，第三十一条：</w:t>
      </w:r>
      <w:r>
        <w:rPr>
          <w:rFonts w:ascii="Times New Roman" w:hAnsi="Times New Roman"/>
          <w:kern w:val="0"/>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pPr>
        <w:pStyle w:val="835"/>
        <w:spacing w:before="0" w:line="480" w:lineRule="exact"/>
        <w:ind w:firstLine="486"/>
        <w:rPr>
          <w:rFonts w:ascii="Times New Roman" w:hAnsi="Times New Roman"/>
        </w:rPr>
      </w:pPr>
      <w:r>
        <w:rPr>
          <w:rFonts w:ascii="Times New Roman" w:hAnsi="Times New Roman"/>
          <w:kern w:val="0"/>
        </w:rPr>
        <w:t>项目位于湖州市经济技术开发区霅水桥路618号，位于</w:t>
      </w:r>
      <w:r>
        <w:rPr>
          <w:rFonts w:ascii="Times New Roman" w:hAnsi="Times New Roman"/>
        </w:rPr>
        <w:t>湖州南太湖产业集聚区的杨家埠片区，符合生态环境部令第4号中公众参与简化条件，因此予以简化。本项目在环评期间，采取网络公示和报纸公示同步进行的方法对项目建设以及环评的信息、征求意见稿进行了公告、公示，公告、公示期间未收到反对意见，整个公众参与的过程均符合《环境影响评价公众参与办法》（环境保护部令第4号）的相关要求。因此，项目建设符合公众参与要求。</w:t>
      </w:r>
    </w:p>
    <w:p>
      <w:pPr>
        <w:pStyle w:val="5"/>
        <w:tabs>
          <w:tab w:val="clear" w:pos="1080"/>
        </w:tabs>
        <w:rPr>
          <w:rFonts w:ascii="Times New Roman"/>
        </w:rPr>
      </w:pPr>
      <w:r>
        <w:rPr>
          <w:rFonts w:hint="eastAsia" w:ascii="Times New Roman"/>
          <w:lang w:eastAsia="zh-CN"/>
        </w:rPr>
        <w:t>环境影响</w:t>
      </w:r>
      <w:r>
        <w:rPr>
          <w:rFonts w:ascii="Times New Roman"/>
          <w:lang w:eastAsia="zh-CN"/>
        </w:rPr>
        <w:t>分析预测评估的可靠性</w:t>
      </w:r>
      <w:r>
        <w:rPr>
          <w:rFonts w:ascii="Times New Roman"/>
        </w:rPr>
        <w:t>分析</w:t>
      </w:r>
    </w:p>
    <w:p>
      <w:pPr>
        <w:pStyle w:val="835"/>
        <w:spacing w:before="0" w:line="480" w:lineRule="exact"/>
        <w:ind w:firstLine="486"/>
        <w:rPr>
          <w:rFonts w:hint="eastAsia" w:ascii="Times New Roman" w:hAnsi="Times New Roman"/>
          <w:lang w:val="zh-CN"/>
        </w:rPr>
      </w:pPr>
      <w:r>
        <w:rPr>
          <w:rFonts w:hint="eastAsia" w:ascii="Times New Roman" w:hAnsi="Times New Roman"/>
          <w:lang w:val="zh-CN"/>
        </w:rPr>
        <w:t>本次环评分析了污染物排放分别对大气、地表水、地下水、声环境的影响，并且按照导则要求对大气和地下水环境影响进行了预测。</w:t>
      </w:r>
    </w:p>
    <w:p>
      <w:pPr>
        <w:pStyle w:val="835"/>
        <w:spacing w:before="0" w:line="480" w:lineRule="exact"/>
        <w:ind w:firstLine="486"/>
        <w:rPr>
          <w:rFonts w:ascii="Times New Roman" w:hAnsi="Times New Roman"/>
          <w:lang w:val="zh-CN"/>
        </w:rPr>
      </w:pPr>
      <w:r>
        <w:rPr>
          <w:rFonts w:hint="eastAsia" w:ascii="Times New Roman" w:hAnsi="Times New Roman"/>
          <w:lang w:val="zh-CN"/>
        </w:rPr>
        <w:t>1、本项目净环水排放</w:t>
      </w:r>
      <w:r>
        <w:rPr>
          <w:rFonts w:ascii="Times New Roman" w:hAnsi="Times New Roman"/>
          <w:lang w:val="zh-CN"/>
        </w:rPr>
        <w:t>水作为浊环水系统的补充水，浊环水经隔油</w:t>
      </w:r>
      <w:r>
        <w:rPr>
          <w:rFonts w:hint="eastAsia" w:ascii="Times New Roman" w:hAnsi="Times New Roman"/>
          <w:lang w:val="zh-CN"/>
        </w:rPr>
        <w:t>+沉淀+过滤+冷却</w:t>
      </w:r>
      <w:r>
        <w:rPr>
          <w:rFonts w:ascii="Times New Roman" w:hAnsi="Times New Roman"/>
          <w:lang w:val="zh-CN"/>
        </w:rPr>
        <w:t>后循环使用不排放。</w:t>
      </w:r>
      <w:r>
        <w:rPr>
          <w:rFonts w:hint="eastAsia" w:ascii="Times New Roman" w:hAnsi="Times New Roman"/>
          <w:lang w:val="zh-CN"/>
        </w:rPr>
        <w:t>因此本项目</w:t>
      </w:r>
      <w:r>
        <w:rPr>
          <w:rFonts w:ascii="Times New Roman" w:hAnsi="Times New Roman"/>
          <w:lang w:val="zh-CN"/>
        </w:rPr>
        <w:t>无废水排放</w:t>
      </w:r>
      <w:r>
        <w:rPr>
          <w:rFonts w:hint="eastAsia" w:ascii="Times New Roman" w:hAnsi="Times New Roman"/>
          <w:lang w:val="zh-CN"/>
        </w:rPr>
        <w:t>。根据《环境影响评价技术导则 地表水环境》（HJ 2.3-2018），属于水污染影响型三级B评价，仅需分析水污染控制和水环境影响减缓措施的有效性。本次环评进行了简单的环境影响分析，结果满足可靠性要求。</w:t>
      </w:r>
    </w:p>
    <w:p>
      <w:pPr>
        <w:pStyle w:val="835"/>
        <w:spacing w:before="0" w:line="480" w:lineRule="exact"/>
        <w:ind w:firstLine="486"/>
        <w:rPr>
          <w:rFonts w:hint="eastAsia" w:ascii="Times New Roman" w:hAnsi="Times New Roman"/>
          <w:lang w:val="zh-CN"/>
        </w:rPr>
      </w:pPr>
      <w:r>
        <w:rPr>
          <w:rFonts w:hint="eastAsia" w:ascii="Times New Roman" w:hAnsi="Times New Roman"/>
          <w:lang w:val="zh-CN"/>
        </w:rPr>
        <w:t>2、根据判别，本项目大气环境影响评价等级为一级，大气环境影响采用AERMOD 模型进行了进一步预测分析，选用的软件和模式均符合导则要求，预测结果满足可靠性要求。</w:t>
      </w:r>
    </w:p>
    <w:p>
      <w:pPr>
        <w:pStyle w:val="835"/>
        <w:spacing w:before="0" w:line="480" w:lineRule="exact"/>
        <w:ind w:firstLine="486"/>
        <w:rPr>
          <w:rFonts w:hint="eastAsia" w:ascii="Times New Roman" w:hAnsi="Times New Roman"/>
          <w:lang w:val="zh-CN"/>
        </w:rPr>
      </w:pPr>
      <w:r>
        <w:rPr>
          <w:rFonts w:hint="eastAsia" w:ascii="Times New Roman" w:hAnsi="Times New Roman"/>
          <w:lang w:val="zh-CN"/>
        </w:rPr>
        <w:t>3、本项目所在区域无大规模开采地下水的行为，也无地下水环境敏感区，水文地质条件相对较为简单，因此按照《环境影响评价技术导则 地下水环境》（HJ610-2016）要求，本次预测采用导则推荐的一维稳定流动一维水动力弥散问题，概化条件为一维半无限长多孔介质柱体，一端为定浓度边界。选用的预测方法和结果满足可靠性要求。</w:t>
      </w:r>
    </w:p>
    <w:p>
      <w:pPr>
        <w:pStyle w:val="835"/>
        <w:spacing w:before="0" w:line="480" w:lineRule="exact"/>
        <w:ind w:firstLine="486"/>
        <w:rPr>
          <w:rFonts w:hint="eastAsia" w:ascii="Times New Roman" w:hAnsi="Times New Roman"/>
          <w:lang w:val="zh-CN"/>
        </w:rPr>
      </w:pPr>
      <w:r>
        <w:rPr>
          <w:rFonts w:hint="eastAsia" w:ascii="Times New Roman" w:hAnsi="Times New Roman"/>
          <w:lang w:val="zh-CN"/>
        </w:rPr>
        <w:t>4、本项目噪声源强较小，所处的声环境功能区为《声环境质量标准》（GB3096-2008）规定的 3 、</w:t>
      </w:r>
      <w:r>
        <w:rPr>
          <w:rFonts w:ascii="Times New Roman" w:hAnsi="Times New Roman"/>
          <w:lang w:val="zh-CN"/>
        </w:rPr>
        <w:t>4a、4b</w:t>
      </w:r>
      <w:r>
        <w:rPr>
          <w:rFonts w:hint="eastAsia" w:ascii="Times New Roman" w:hAnsi="Times New Roman"/>
          <w:lang w:val="zh-CN"/>
        </w:rPr>
        <w:t>类地区，且评价范围内没有声环境敏感目标，对噪声影响进行了简单分析，满足可靠性要求。</w:t>
      </w:r>
    </w:p>
    <w:p>
      <w:pPr>
        <w:pStyle w:val="835"/>
        <w:spacing w:before="0" w:line="480" w:lineRule="exact"/>
        <w:ind w:firstLine="486"/>
        <w:rPr>
          <w:rFonts w:hint="eastAsia" w:ascii="Times New Roman" w:hAnsi="Times New Roman"/>
          <w:lang w:val="zh-CN"/>
        </w:rPr>
      </w:pPr>
      <w:r>
        <w:rPr>
          <w:rFonts w:hint="eastAsia" w:ascii="Times New Roman" w:hAnsi="Times New Roman"/>
          <w:lang w:val="zh-CN"/>
        </w:rPr>
        <w:t>此外，本项目根据《建设项目危险废物环境影响评价指南》要求，对固废影响进行了分析；根据《建设项目环境风险评价技术导则》（HJ169-2018），对事故风险影响进行了定性分析，选用的模式和方法均满足可靠性要求。</w:t>
      </w:r>
    </w:p>
    <w:p>
      <w:pPr>
        <w:pStyle w:val="835"/>
        <w:spacing w:before="0" w:line="480" w:lineRule="exact"/>
        <w:ind w:firstLine="486"/>
        <w:rPr>
          <w:rFonts w:ascii="Times New Roman" w:hAnsi="Times New Roman"/>
          <w:lang w:val="zh-CN"/>
        </w:rPr>
      </w:pPr>
      <w:r>
        <w:rPr>
          <w:rFonts w:hint="eastAsia" w:ascii="Times New Roman" w:hAnsi="Times New Roman"/>
          <w:lang w:val="zh-CN"/>
        </w:rPr>
        <w:t>综上，本次环评选用的影响分析方法均严格按照相应导则的要求，满足可靠性原则。</w:t>
      </w:r>
    </w:p>
    <w:p>
      <w:pPr>
        <w:pStyle w:val="5"/>
        <w:tabs>
          <w:tab w:val="clear" w:pos="1080"/>
        </w:tabs>
      </w:pPr>
      <w:r>
        <w:t>环境保护</w:t>
      </w:r>
      <w:r>
        <w:rPr>
          <w:rFonts w:hint="eastAsia"/>
          <w:lang w:eastAsia="zh-CN"/>
        </w:rPr>
        <w:t>措施的</w:t>
      </w:r>
      <w:r>
        <w:rPr>
          <w:lang w:eastAsia="zh-CN"/>
        </w:rPr>
        <w:t>可靠性</w:t>
      </w:r>
      <w:r>
        <w:t>分析</w:t>
      </w:r>
    </w:p>
    <w:p>
      <w:pPr>
        <w:pStyle w:val="835"/>
        <w:spacing w:before="0" w:line="480" w:lineRule="exact"/>
        <w:ind w:firstLine="486"/>
        <w:rPr>
          <w:rFonts w:ascii="Times New Roman" w:hAnsi="Times New Roman"/>
          <w:lang w:val="zh-CN"/>
        </w:rPr>
      </w:pPr>
      <w:r>
        <w:rPr>
          <w:rFonts w:ascii="Times New Roman" w:hAnsi="Times New Roman"/>
          <w:lang w:val="zh-CN"/>
        </w:rPr>
        <w:t>1、本项目净环水排放水作为浊环水系统的补充水，浊环水经隔油+沉淀+过滤+冷却后循环使用不排放，不会对周边地表水环境质量产生不利影响。</w:t>
      </w:r>
    </w:p>
    <w:p>
      <w:pPr>
        <w:pStyle w:val="835"/>
        <w:spacing w:before="0" w:line="480" w:lineRule="exact"/>
        <w:ind w:firstLine="486"/>
        <w:rPr>
          <w:rFonts w:ascii="Times New Roman" w:hAnsi="Times New Roman"/>
          <w:lang w:val="zh-CN"/>
        </w:rPr>
      </w:pPr>
      <w:r>
        <w:rPr>
          <w:rFonts w:ascii="Times New Roman" w:hAnsi="Times New Roman"/>
          <w:lang w:val="zh-CN"/>
        </w:rPr>
        <w:t>2、</w:t>
      </w:r>
      <w:r>
        <w:rPr>
          <w:rFonts w:ascii="Times New Roman" w:hAnsi="Times New Roman" w:eastAsiaTheme="minorEastAsia"/>
        </w:rPr>
        <w:t>项目实施后，LF炉精炼炉废气经炉盖罩收集后进入电炉除尘器主烟道、VD炉废气经除尘后接入电炉除尘器主烟道、连铸废气经收集后进入连铸布袋除尘器，除尘尾气进入电炉除尘器主烟道，经现有（</w:t>
      </w:r>
      <w:r>
        <w:rPr>
          <w:rFonts w:ascii="Times New Roman" w:hAnsi="Times New Roman" w:eastAsiaTheme="minorEastAsia"/>
          <w:kern w:val="0"/>
        </w:rPr>
        <w:t>换热型离线回转脉冲袋式</w:t>
      </w:r>
      <w:r>
        <w:rPr>
          <w:rFonts w:ascii="Times New Roman" w:hAnsi="Times New Roman" w:eastAsiaTheme="minorEastAsia"/>
        </w:rPr>
        <w:t>）</w:t>
      </w:r>
      <w:r>
        <w:rPr>
          <w:rFonts w:ascii="Times New Roman" w:hAnsi="Times New Roman" w:eastAsiaTheme="minorEastAsia"/>
          <w:kern w:val="0"/>
        </w:rPr>
        <w:t>除尘器除尘</w:t>
      </w:r>
      <w:r>
        <w:rPr>
          <w:rFonts w:ascii="Times New Roman" w:hAnsi="Times New Roman" w:eastAsiaTheme="minorEastAsia"/>
        </w:rPr>
        <w:t>后通过现有30m高排气筒(DA001)排放</w:t>
      </w:r>
      <w:r>
        <w:rPr>
          <w:rFonts w:hint="eastAsia" w:ascii="Times New Roman" w:hAnsi="Times New Roman" w:eastAsiaTheme="minorEastAsia"/>
        </w:rPr>
        <w:t>；</w:t>
      </w:r>
      <w:r>
        <w:rPr>
          <w:rFonts w:ascii="Times New Roman" w:hAnsi="Times New Roman" w:eastAsiaTheme="minorEastAsia"/>
        </w:rPr>
        <w:t>项目实施后将对现有布袋进行更换，更换为覆膜滤料布袋，以提高除尘效率（除尘效率不低于99.5%）。</w:t>
      </w:r>
      <w:r>
        <w:rPr>
          <w:rFonts w:ascii="Times New Roman" w:hAnsi="Times New Roman"/>
          <w:lang w:val="zh-CN"/>
        </w:rPr>
        <w:t>各类废气经处理能够做到稳定达标排放。</w:t>
      </w:r>
    </w:p>
    <w:p>
      <w:pPr>
        <w:pStyle w:val="835"/>
        <w:spacing w:before="0" w:line="480" w:lineRule="exact"/>
        <w:ind w:firstLine="486"/>
        <w:rPr>
          <w:rFonts w:ascii="Times New Roman" w:hAnsi="Times New Roman"/>
          <w:lang w:val="zh-CN"/>
        </w:rPr>
      </w:pPr>
      <w:r>
        <w:rPr>
          <w:rFonts w:ascii="Times New Roman" w:hAnsi="Times New Roman"/>
          <w:lang w:val="zh-CN"/>
        </w:rPr>
        <w:t>3、厂区内已设置符合《中华人民共和国固体废物污染环境防治法》和《危险废物贮存污染控制标准》（GB18597-2001）要求的暂存库，危废委托有资质单位处理，一般工业固废妥善处置，各类固废能做到环境零排放。</w:t>
      </w:r>
    </w:p>
    <w:p>
      <w:pPr>
        <w:pStyle w:val="835"/>
        <w:spacing w:before="0" w:line="480" w:lineRule="exact"/>
        <w:ind w:firstLine="486"/>
        <w:rPr>
          <w:rFonts w:ascii="Times New Roman" w:hAnsi="Times New Roman"/>
          <w:lang w:val="zh-CN"/>
        </w:rPr>
      </w:pPr>
      <w:r>
        <w:rPr>
          <w:rFonts w:ascii="Times New Roman" w:hAnsi="Times New Roman"/>
          <w:lang w:val="zh-CN"/>
        </w:rPr>
        <w:t>4、依据《地下工程防水技术规范》(GB50108-2001)的要求对工艺、管道、设备、污水储存及处理构筑物等采取相应措施进行源头控制，根据分区防渗原则对重点污染防治区、一般污染防治区和简单污染防治区采取分区防渗，并建立地下水污染监控系统及应急响应体系。</w:t>
      </w:r>
    </w:p>
    <w:p>
      <w:pPr>
        <w:pStyle w:val="835"/>
        <w:spacing w:before="0" w:line="480" w:lineRule="exact"/>
        <w:ind w:firstLine="486"/>
        <w:rPr>
          <w:rFonts w:ascii="Times New Roman" w:hAnsi="Times New Roman"/>
          <w:lang w:val="zh-CN"/>
        </w:rPr>
      </w:pPr>
      <w:r>
        <w:rPr>
          <w:rFonts w:ascii="Times New Roman" w:hAnsi="Times New Roman"/>
          <w:lang w:val="zh-CN"/>
        </w:rPr>
        <w:t>5、通过优化平面布置、选择低噪声设备、针对产生噪声的部位采取相应的隔声降噪措施。</w:t>
      </w:r>
    </w:p>
    <w:p>
      <w:pPr>
        <w:pStyle w:val="835"/>
        <w:spacing w:before="0" w:line="480" w:lineRule="exact"/>
        <w:ind w:firstLine="486"/>
        <w:rPr>
          <w:rFonts w:ascii="Times New Roman" w:hAnsi="Times New Roman"/>
          <w:lang w:val="zh-CN"/>
        </w:rPr>
      </w:pPr>
      <w:r>
        <w:rPr>
          <w:rFonts w:ascii="Times New Roman" w:hAnsi="Times New Roman"/>
          <w:lang w:val="zh-CN"/>
        </w:rPr>
        <w:t>综上可知，本次项目采用的环境保护措施可靠、有效，可以确保各项污染物经过处理后达标排放。</w:t>
      </w:r>
    </w:p>
    <w:p>
      <w:pPr>
        <w:pStyle w:val="5"/>
        <w:tabs>
          <w:tab w:val="clear" w:pos="1080"/>
        </w:tabs>
        <w:rPr>
          <w:lang w:eastAsia="zh-CN"/>
        </w:rPr>
      </w:pPr>
      <w:r>
        <w:rPr>
          <w:rFonts w:hint="eastAsia"/>
          <w:lang w:eastAsia="zh-CN"/>
        </w:rPr>
        <w:t>环境影响</w:t>
      </w:r>
      <w:r>
        <w:rPr>
          <w:lang w:eastAsia="zh-CN"/>
        </w:rPr>
        <w:t>评价结论的科学性</w:t>
      </w:r>
    </w:p>
    <w:p>
      <w:pPr>
        <w:pStyle w:val="835"/>
        <w:spacing w:before="0" w:line="480" w:lineRule="exact"/>
        <w:ind w:firstLine="486"/>
        <w:rPr>
          <w:rFonts w:ascii="Times New Roman" w:hAnsi="Times New Roman"/>
          <w:lang w:val="zh-CN"/>
        </w:rPr>
      </w:pPr>
      <w:r>
        <w:rPr>
          <w:rFonts w:hint="eastAsia" w:ascii="Times New Roman" w:hAnsi="Times New Roman"/>
          <w:lang w:val="zh-CN"/>
        </w:rPr>
        <w:t>本次环评结论客观、过程公开、评价公正，评价过程均依照环评相关技术导则、技术方法等进行，并综合考虑建设项目实施后对各种环境因素可能造成的影响，环评结论科学可信。</w:t>
      </w:r>
    </w:p>
    <w:p>
      <w:pPr>
        <w:pStyle w:val="5"/>
        <w:rPr>
          <w:lang w:eastAsia="zh-CN"/>
        </w:rPr>
      </w:pPr>
      <w:r>
        <w:rPr>
          <w:rFonts w:hint="eastAsia"/>
          <w:lang w:eastAsia="zh-CN"/>
        </w:rPr>
        <w:t>建设项目类型及其选址、布局、规模等是否符合环境保护法律法规和相关法定规划</w:t>
      </w:r>
    </w:p>
    <w:p>
      <w:pPr>
        <w:pStyle w:val="835"/>
        <w:spacing w:before="0" w:line="480" w:lineRule="exact"/>
        <w:ind w:firstLine="486"/>
        <w:rPr>
          <w:rFonts w:ascii="Times New Roman" w:hAnsi="Times New Roman"/>
          <w:lang w:val="zh-CN"/>
        </w:rPr>
      </w:pPr>
      <w:r>
        <w:rPr>
          <w:rFonts w:hint="eastAsia" w:ascii="Times New Roman" w:hAnsi="Times New Roman"/>
          <w:lang w:val="zh-CN"/>
        </w:rPr>
        <w:t>本项目类型及其选址、布局、规模符合环境保护法律法规，并符合</w:t>
      </w:r>
      <w:r>
        <w:rPr>
          <w:rFonts w:hint="eastAsia" w:ascii="Times New Roman" w:hAnsi="Times New Roman" w:eastAsiaTheme="minorEastAsia"/>
        </w:rPr>
        <w:t>《</w:t>
      </w:r>
      <w:r>
        <w:t>湖州南太湖产业集聚区</w:t>
      </w:r>
      <w:r>
        <w:rPr>
          <w:rFonts w:hint="eastAsia"/>
        </w:rPr>
        <w:t>杨家埠及枢纽片区</w:t>
      </w:r>
      <w:r>
        <w:t>控制性详细规划</w:t>
      </w:r>
      <w:r>
        <w:rPr>
          <w:rFonts w:hint="eastAsia" w:ascii="Times New Roman" w:hAnsi="Times New Roman" w:eastAsiaTheme="minorEastAsia"/>
        </w:rPr>
        <w:t>》</w:t>
      </w:r>
      <w:r>
        <w:rPr>
          <w:rFonts w:hint="eastAsia" w:ascii="Times New Roman" w:hAnsi="Times New Roman"/>
          <w:lang w:val="zh-CN"/>
        </w:rPr>
        <w:t>、湖州市区环境功能区划等规划要求。</w:t>
      </w:r>
    </w:p>
    <w:p>
      <w:pPr>
        <w:pStyle w:val="5"/>
        <w:rPr>
          <w:lang w:eastAsia="zh-CN"/>
        </w:rPr>
      </w:pPr>
      <w:r>
        <w:rPr>
          <w:rFonts w:hint="eastAsia"/>
          <w:lang w:eastAsia="zh-CN"/>
        </w:rPr>
        <w:t>所在区域环境质量未达到国家或者地方环境质量标准，且建设项目拟采取的措施不能满足区域环境质量改善目标管理要求</w:t>
      </w:r>
    </w:p>
    <w:p>
      <w:pPr>
        <w:pStyle w:val="835"/>
        <w:spacing w:before="0" w:line="480" w:lineRule="exact"/>
        <w:ind w:firstLine="486"/>
        <w:rPr>
          <w:rFonts w:hint="eastAsia" w:ascii="Times New Roman" w:hAnsi="Times New Roman"/>
          <w:kern w:val="0"/>
        </w:rPr>
      </w:pPr>
      <w:r>
        <w:rPr>
          <w:rFonts w:hint="eastAsia" w:ascii="Times New Roman" w:hAnsi="Times New Roman"/>
        </w:rPr>
        <w:t>根据《湖州市201</w:t>
      </w:r>
      <w:r>
        <w:rPr>
          <w:rFonts w:ascii="Times New Roman" w:hAnsi="Times New Roman"/>
        </w:rPr>
        <w:t>8</w:t>
      </w:r>
      <w:r>
        <w:rPr>
          <w:rFonts w:hint="eastAsia" w:ascii="Times New Roman" w:hAnsi="Times New Roman"/>
        </w:rPr>
        <w:t>年环境质量公报》，湖州市区除</w:t>
      </w:r>
      <w:r>
        <w:rPr>
          <w:rFonts w:ascii="Times New Roman" w:hAnsi="Times New Roman" w:eastAsiaTheme="minorEastAsia"/>
        </w:rPr>
        <w:t>PM</w:t>
      </w:r>
      <w:r>
        <w:rPr>
          <w:rFonts w:ascii="Times New Roman" w:hAnsi="Times New Roman" w:eastAsiaTheme="minorEastAsia"/>
          <w:vertAlign w:val="subscript"/>
        </w:rPr>
        <w:t>2.5</w:t>
      </w:r>
      <w:r>
        <w:rPr>
          <w:rFonts w:ascii="Times New Roman" w:hAnsi="Times New Roman" w:eastAsiaTheme="minorEastAsia"/>
        </w:rPr>
        <w:t>、O</w:t>
      </w:r>
      <w:r>
        <w:rPr>
          <w:rFonts w:ascii="Times New Roman" w:hAnsi="Times New Roman" w:eastAsiaTheme="minorEastAsia"/>
          <w:vertAlign w:val="subscript"/>
        </w:rPr>
        <w:t>3</w:t>
      </w:r>
      <w:r>
        <w:rPr>
          <w:rFonts w:hint="eastAsia" w:ascii="Times New Roman" w:hAnsi="Times New Roman"/>
        </w:rPr>
        <w:t>外其余基本污染物年均值</w:t>
      </w:r>
      <w:r>
        <w:rPr>
          <w:rFonts w:ascii="Times New Roman" w:hAnsi="Times New Roman"/>
        </w:rPr>
        <w:t>均符合《环境空气质量标准》(GB3095-2012)及修改单的二级标准</w:t>
      </w:r>
      <w:r>
        <w:rPr>
          <w:rFonts w:hint="eastAsia" w:ascii="Times New Roman" w:hAnsi="Times New Roman"/>
        </w:rPr>
        <w:t>，为不达标区；项目附近</w:t>
      </w:r>
      <w:r>
        <w:rPr>
          <w:rFonts w:ascii="Times New Roman" w:hAnsi="Times New Roman"/>
        </w:rPr>
        <w:t>城西水厂监测点位不达标因子为</w:t>
      </w:r>
      <w:r>
        <w:rPr>
          <w:rFonts w:hint="eastAsia" w:ascii="Times New Roman" w:hAnsi="Times New Roman" w:eastAsiaTheme="minorEastAsia"/>
        </w:rPr>
        <w:t>NO</w:t>
      </w:r>
      <w:r>
        <w:rPr>
          <w:rFonts w:hint="eastAsia" w:ascii="Times New Roman" w:hAnsi="Times New Roman" w:eastAsiaTheme="minorEastAsia"/>
          <w:vertAlign w:val="subscript"/>
        </w:rPr>
        <w:t>2</w:t>
      </w:r>
      <w:r>
        <w:rPr>
          <w:rFonts w:ascii="Times New Roman" w:hAnsi="Times New Roman" w:eastAsiaTheme="minorEastAsia"/>
        </w:rPr>
        <w:t>、PM</w:t>
      </w:r>
      <w:r>
        <w:rPr>
          <w:rFonts w:ascii="Times New Roman" w:hAnsi="Times New Roman" w:eastAsiaTheme="minorEastAsia"/>
          <w:vertAlign w:val="subscript"/>
        </w:rPr>
        <w:t>2.5</w:t>
      </w:r>
      <w:r>
        <w:rPr>
          <w:rFonts w:ascii="Times New Roman" w:hAnsi="Times New Roman" w:eastAsiaTheme="minorEastAsia"/>
        </w:rPr>
        <w:t>、O</w:t>
      </w:r>
      <w:r>
        <w:rPr>
          <w:rFonts w:ascii="Times New Roman" w:hAnsi="Times New Roman" w:eastAsiaTheme="minorEastAsia"/>
          <w:vertAlign w:val="subscript"/>
        </w:rPr>
        <w:t>3</w:t>
      </w:r>
      <w:r>
        <w:rPr>
          <w:rFonts w:hint="eastAsia" w:ascii="Times New Roman" w:hAnsi="Times New Roman"/>
        </w:rPr>
        <w:t>。</w:t>
      </w:r>
      <w:r>
        <w:rPr>
          <w:rFonts w:ascii="Times New Roman" w:hAnsi="Times New Roman"/>
          <w:kern w:val="0"/>
        </w:rPr>
        <w:t>为进一步改善环境空气质量，接下来全市将进一步健全治气工作的体制机制，随着工作的持续推进，区域环境空气质量必将会进一步得到改善</w:t>
      </w:r>
      <w:r>
        <w:rPr>
          <w:rFonts w:hint="eastAsia" w:ascii="Times New Roman" w:hAnsi="Times New Roman"/>
          <w:kern w:val="0"/>
        </w:rPr>
        <w:t>。本项目</w:t>
      </w:r>
      <w:r>
        <w:rPr>
          <w:rFonts w:ascii="Times New Roman" w:hAnsi="Times New Roman"/>
          <w:kern w:val="0"/>
        </w:rPr>
        <w:t>实施后</w:t>
      </w:r>
      <w:r>
        <w:rPr>
          <w:rFonts w:hint="eastAsia" w:ascii="Times New Roman" w:hAnsi="Times New Roman"/>
          <w:kern w:val="0"/>
        </w:rPr>
        <w:t>通过以新带老</w:t>
      </w:r>
      <w:r>
        <w:rPr>
          <w:rFonts w:ascii="Times New Roman" w:hAnsi="Times New Roman"/>
          <w:kern w:val="0"/>
        </w:rPr>
        <w:t>削减，</w:t>
      </w:r>
      <w:r>
        <w:rPr>
          <w:rFonts w:hint="eastAsia" w:ascii="Times New Roman" w:hAnsi="Times New Roman"/>
          <w:kern w:val="0"/>
        </w:rPr>
        <w:t>通过</w:t>
      </w:r>
      <w:r>
        <w:rPr>
          <w:rFonts w:ascii="Times New Roman" w:hAnsi="Times New Roman"/>
          <w:kern w:val="0"/>
        </w:rPr>
        <w:t>预测可知，</w:t>
      </w:r>
      <w:r>
        <w:rPr>
          <w:rFonts w:hint="eastAsia" w:ascii="Times New Roman" w:hAnsi="Times New Roman"/>
          <w:kern w:val="0"/>
        </w:rPr>
        <w:t>不达标</w:t>
      </w:r>
      <w:r>
        <w:rPr>
          <w:rFonts w:ascii="Times New Roman" w:hAnsi="Times New Roman"/>
          <w:kern w:val="0"/>
        </w:rPr>
        <w:t>因子</w:t>
      </w:r>
      <w:r>
        <w:rPr>
          <w:rFonts w:hint="eastAsia" w:ascii="Times New Roman" w:hAnsi="Times New Roman"/>
          <w:kern w:val="0"/>
        </w:rPr>
        <w:t>PM</w:t>
      </w:r>
      <w:r>
        <w:rPr>
          <w:rFonts w:hint="eastAsia" w:ascii="Times New Roman" w:hAnsi="Times New Roman"/>
          <w:kern w:val="0"/>
          <w:vertAlign w:val="subscript"/>
        </w:rPr>
        <w:t>2.5</w:t>
      </w:r>
      <w:r>
        <w:rPr>
          <w:rFonts w:hint="eastAsia" w:ascii="Times New Roman" w:hAnsi="Times New Roman"/>
          <w:kern w:val="0"/>
        </w:rPr>
        <w:t>、NO</w:t>
      </w:r>
      <w:r>
        <w:rPr>
          <w:rFonts w:ascii="Times New Roman" w:hAnsi="Times New Roman"/>
          <w:kern w:val="0"/>
          <w:vertAlign w:val="subscript"/>
        </w:rPr>
        <w:t>2</w:t>
      </w:r>
      <w:r>
        <w:rPr>
          <w:rFonts w:hint="eastAsia" w:ascii="Times New Roman" w:hAnsi="Times New Roman"/>
          <w:kern w:val="0"/>
        </w:rPr>
        <w:t>能够</w:t>
      </w:r>
      <w:r>
        <w:rPr>
          <w:rFonts w:ascii="Times New Roman" w:hAnsi="Times New Roman"/>
          <w:kern w:val="0"/>
        </w:rPr>
        <w:t>做到整体环境质量改善。</w:t>
      </w:r>
    </w:p>
    <w:p>
      <w:pPr>
        <w:pStyle w:val="835"/>
        <w:spacing w:before="0" w:line="480" w:lineRule="exact"/>
        <w:ind w:firstLine="486"/>
        <w:rPr>
          <w:rFonts w:ascii="Times New Roman" w:hAnsi="Times New Roman"/>
          <w:lang w:val="zh-CN"/>
        </w:rPr>
      </w:pPr>
      <w:r>
        <w:rPr>
          <w:rFonts w:ascii="Times New Roman" w:hAnsi="Times New Roman"/>
        </w:rPr>
        <w:t>项目建设地附近地表水各监测因子监测值均可以达到《地表水环境质量标准》（GB3838-2002）中的</w:t>
      </w:r>
      <w:r>
        <w:rPr>
          <w:rFonts w:hint="eastAsia" w:ascii="宋体" w:hAnsi="宋体" w:cs="宋体"/>
        </w:rPr>
        <w:t>Ⅲ</w:t>
      </w:r>
      <w:r>
        <w:rPr>
          <w:rFonts w:ascii="Times New Roman" w:hAnsi="Times New Roman"/>
        </w:rPr>
        <w:t>类水质标准；地下水环境能够达到《地下水质量标准》(GB/T14848-2017)中的</w:t>
      </w:r>
      <w:r>
        <w:rPr>
          <w:rFonts w:hint="eastAsia" w:ascii="宋体" w:hAnsi="宋体" w:cs="宋体"/>
        </w:rPr>
        <w:t>Ⅲ</w:t>
      </w:r>
      <w:r>
        <w:rPr>
          <w:rFonts w:ascii="Times New Roman" w:hAnsi="Times New Roman"/>
        </w:rPr>
        <w:t>类水质标准；区域声环境质量能达《声环境质量标准》</w:t>
      </w:r>
      <w:r>
        <w:rPr>
          <w:rFonts w:hint="eastAsia" w:ascii="Times New Roman" w:hAnsi="Times New Roman"/>
        </w:rPr>
        <w:t>(</w:t>
      </w:r>
      <w:r>
        <w:rPr>
          <w:rFonts w:ascii="Times New Roman" w:hAnsi="Times New Roman"/>
        </w:rPr>
        <w:t>GB3096-2008</w:t>
      </w:r>
      <w:r>
        <w:rPr>
          <w:rFonts w:hint="eastAsia" w:ascii="Times New Roman" w:hAnsi="Times New Roman"/>
        </w:rPr>
        <w:t>)</w:t>
      </w:r>
      <w:r>
        <w:rPr>
          <w:rFonts w:ascii="Times New Roman" w:hAnsi="Times New Roman"/>
        </w:rPr>
        <w:t>中3</w:t>
      </w:r>
      <w:r>
        <w:rPr>
          <w:rFonts w:hint="eastAsia" w:ascii="Times New Roman" w:hAnsi="Times New Roman"/>
        </w:rPr>
        <w:t>、</w:t>
      </w:r>
      <w:r>
        <w:rPr>
          <w:rFonts w:ascii="Times New Roman" w:hAnsi="Times New Roman"/>
        </w:rPr>
        <w:t>4a</w:t>
      </w:r>
      <w:r>
        <w:rPr>
          <w:rFonts w:hint="eastAsia" w:ascii="Times New Roman" w:hAnsi="Times New Roman"/>
        </w:rPr>
        <w:t>、</w:t>
      </w:r>
      <w:r>
        <w:rPr>
          <w:rFonts w:ascii="Times New Roman" w:hAnsi="Times New Roman"/>
        </w:rPr>
        <w:t>4b类标准要求；项目场地</w:t>
      </w:r>
      <w:r>
        <w:rPr>
          <w:rFonts w:hint="eastAsia" w:ascii="Times New Roman" w:hAnsi="Times New Roman"/>
        </w:rPr>
        <w:t>内</w:t>
      </w:r>
      <w:r>
        <w:rPr>
          <w:rFonts w:ascii="Times New Roman" w:hAnsi="Times New Roman"/>
        </w:rPr>
        <w:t>土壤各监测指标均能满足《土壤环境质量 建设用地土壤污染风险管控标准(试行)》(GB366600-2018)中第二类用地基本项目</w:t>
      </w:r>
      <w:r>
        <w:rPr>
          <w:rFonts w:hint="eastAsia" w:ascii="Times New Roman" w:hAnsi="Times New Roman"/>
        </w:rPr>
        <w:t>及</w:t>
      </w:r>
      <w:r>
        <w:rPr>
          <w:rFonts w:ascii="Times New Roman" w:hAnsi="Times New Roman"/>
        </w:rPr>
        <w:t>二噁英因子的</w:t>
      </w:r>
      <w:r>
        <w:rPr>
          <w:rFonts w:hint="eastAsia" w:ascii="Times New Roman" w:hAnsi="Times New Roman"/>
        </w:rPr>
        <w:t>风险</w:t>
      </w:r>
      <w:r>
        <w:rPr>
          <w:rFonts w:ascii="Times New Roman" w:hAnsi="Times New Roman"/>
        </w:rPr>
        <w:t>筛选值标准</w:t>
      </w:r>
      <w:r>
        <w:rPr>
          <w:rFonts w:hint="eastAsia" w:ascii="Times New Roman" w:hAnsi="Times New Roman"/>
        </w:rPr>
        <w:t>，永兴家园土壤监测值满足《土壤环境质量 建设用地土壤污染风险管控标准（试行）》（G</w:t>
      </w:r>
      <w:r>
        <w:rPr>
          <w:rFonts w:ascii="Times New Roman" w:hAnsi="Times New Roman"/>
        </w:rPr>
        <w:t>B36600-2018</w:t>
      </w:r>
      <w:r>
        <w:rPr>
          <w:rFonts w:hint="eastAsia" w:ascii="Times New Roman" w:hAnsi="Times New Roman"/>
        </w:rPr>
        <w:t>）中第一类用地的相关风险筛选值标准；</w:t>
      </w:r>
      <w:r>
        <w:rPr>
          <w:rFonts w:ascii="Times New Roman" w:hAnsi="Times New Roman"/>
          <w:lang w:val="zh-CN"/>
        </w:rPr>
        <w:t>河道底泥各指标</w:t>
      </w:r>
      <w:r>
        <w:rPr>
          <w:rFonts w:hint="eastAsia" w:ascii="Times New Roman" w:hAnsi="Times New Roman"/>
          <w:lang w:val="zh-CN"/>
        </w:rPr>
        <w:t>监测值均</w:t>
      </w:r>
      <w:r>
        <w:rPr>
          <w:rFonts w:ascii="Times New Roman" w:hAnsi="Times New Roman"/>
          <w:lang w:val="zh-CN"/>
        </w:rPr>
        <w:t>低于《土壤环境质量 农用地土壤污染风险管控标准（试行）》（GB15618-2018）的</w:t>
      </w:r>
      <w:r>
        <w:rPr>
          <w:rFonts w:hint="eastAsia" w:ascii="Times New Roman" w:hAnsi="Times New Roman"/>
          <w:lang w:val="zh-CN"/>
        </w:rPr>
        <w:t>风险</w:t>
      </w:r>
      <w:r>
        <w:rPr>
          <w:rFonts w:ascii="Times New Roman" w:hAnsi="Times New Roman"/>
          <w:lang w:val="zh-CN"/>
        </w:rPr>
        <w:t>筛选值</w:t>
      </w:r>
      <w:r>
        <w:rPr>
          <w:rFonts w:hint="eastAsia" w:ascii="Times New Roman" w:hAnsi="Times New Roman"/>
          <w:lang w:val="zh-CN"/>
        </w:rPr>
        <w:t>。</w:t>
      </w:r>
    </w:p>
    <w:p>
      <w:pPr>
        <w:pStyle w:val="5"/>
        <w:rPr>
          <w:lang w:eastAsia="zh-CN"/>
        </w:rPr>
      </w:pPr>
      <w:r>
        <w:rPr>
          <w:rFonts w:hint="eastAsia"/>
          <w:lang w:eastAsia="zh-CN"/>
        </w:rPr>
        <w:t>建设项目采取的污染防治措施无法确保污染排放达到国家和地方排放标准，或者未采 取必要措施预防和控制生态破坏</w:t>
      </w:r>
    </w:p>
    <w:p>
      <w:pPr>
        <w:pStyle w:val="835"/>
        <w:spacing w:before="0" w:line="480" w:lineRule="exact"/>
        <w:ind w:firstLine="486"/>
        <w:rPr>
          <w:rFonts w:ascii="Times New Roman" w:hAnsi="Times New Roman"/>
        </w:rPr>
      </w:pPr>
      <w:r>
        <w:rPr>
          <w:rFonts w:hint="eastAsia" w:ascii="Times New Roman" w:hAnsi="Times New Roman"/>
        </w:rPr>
        <w:t>本项目运营过程中各类污染源均可得到有效控制并能做到达标排放，对周边生态环境影响较小。</w:t>
      </w:r>
    </w:p>
    <w:p>
      <w:pPr>
        <w:pStyle w:val="5"/>
        <w:rPr>
          <w:lang w:eastAsia="zh-CN"/>
        </w:rPr>
      </w:pPr>
      <w:r>
        <w:rPr>
          <w:rFonts w:hint="eastAsia"/>
          <w:lang w:eastAsia="zh-CN"/>
        </w:rPr>
        <w:t>改建、扩建和技术改造项目，未针对项目原有环境污染和生态破坏提出有效防治措施</w:t>
      </w:r>
    </w:p>
    <w:p>
      <w:pPr>
        <w:pStyle w:val="835"/>
        <w:spacing w:before="0" w:line="480" w:lineRule="exact"/>
        <w:ind w:firstLine="486"/>
        <w:rPr>
          <w:rFonts w:ascii="Times New Roman" w:hAnsi="Times New Roman"/>
        </w:rPr>
      </w:pPr>
      <w:r>
        <w:rPr>
          <w:rFonts w:hint="eastAsia" w:ascii="Times New Roman" w:hAnsi="Times New Roman"/>
        </w:rPr>
        <w:t>本项目属于技术改造项目，已针对原有环境</w:t>
      </w:r>
      <w:r>
        <w:rPr>
          <w:rFonts w:ascii="Times New Roman" w:hAnsi="Times New Roman"/>
        </w:rPr>
        <w:t>问题提出</w:t>
      </w:r>
      <w:r>
        <w:rPr>
          <w:rFonts w:hint="eastAsia" w:ascii="Times New Roman" w:hAnsi="Times New Roman"/>
        </w:rPr>
        <w:t>相应</w:t>
      </w:r>
      <w:r>
        <w:rPr>
          <w:rFonts w:ascii="Times New Roman" w:hAnsi="Times New Roman"/>
        </w:rPr>
        <w:t>的整改措施，</w:t>
      </w:r>
      <w:r>
        <w:rPr>
          <w:rFonts w:hint="eastAsia" w:ascii="Times New Roman" w:hAnsi="Times New Roman"/>
        </w:rPr>
        <w:t>可以做到达标排放且对周边生态环境影响较小。</w:t>
      </w:r>
    </w:p>
    <w:p>
      <w:pPr>
        <w:pStyle w:val="5"/>
      </w:pPr>
      <w:r>
        <w:rPr>
          <w:rFonts w:hint="eastAsia"/>
          <w:lang w:eastAsia="zh-CN"/>
        </w:rPr>
        <w:t>建设项目的环境影响报告书、环境影响报告表的基础资料数据明显不实，</w:t>
      </w:r>
      <w:r>
        <w:rPr>
          <w:rFonts w:hint="eastAsia"/>
        </w:rPr>
        <w:t>内容存在重大缺陷、遗漏，或者环境影响评价结论不明确、不合理</w:t>
      </w:r>
    </w:p>
    <w:p>
      <w:pPr>
        <w:pStyle w:val="835"/>
        <w:spacing w:before="0" w:line="480" w:lineRule="exact"/>
        <w:ind w:firstLine="486"/>
        <w:rPr>
          <w:rFonts w:ascii="Times New Roman" w:hAnsi="Times New Roman"/>
        </w:rPr>
      </w:pPr>
      <w:r>
        <w:rPr>
          <w:rFonts w:hint="eastAsia" w:ascii="Times New Roman" w:hAnsi="Times New Roman"/>
        </w:rPr>
        <w:t>本次环评采用的基础资料数据均采用项目方实际建设申报内容，环境监测数据均由正规有资质单位监测取得。根据内控审核和外部专家技术咨询指导，不存在重大缺陷和遗漏，环境影响评价结论明确、合理。</w:t>
      </w:r>
    </w:p>
    <w:p>
      <w:pPr>
        <w:pStyle w:val="5"/>
        <w:rPr>
          <w:rFonts w:hint="eastAsia"/>
          <w:lang w:eastAsia="zh-CN"/>
        </w:rPr>
      </w:pPr>
      <w:r>
        <w:rPr>
          <w:rFonts w:hint="eastAsia"/>
          <w:lang w:eastAsia="zh-CN"/>
        </w:rPr>
        <w:t>小结</w:t>
      </w:r>
    </w:p>
    <w:p>
      <w:pPr>
        <w:pStyle w:val="835"/>
        <w:spacing w:before="0" w:line="480" w:lineRule="exact"/>
        <w:ind w:firstLine="486"/>
        <w:rPr>
          <w:rFonts w:ascii="Times New Roman" w:hAnsi="Times New Roman"/>
        </w:rPr>
      </w:pPr>
      <w:r>
        <w:rPr>
          <w:rFonts w:hint="eastAsia"/>
          <w:lang w:val="zh-CN"/>
        </w:rPr>
        <w:t>本项目属于技术改造项目，采取的措施可满足区域环境质量改善目标管理要求；采取的污染防治措施可确保污染物排放达到国家和地方排放标准；本项目的环境影响报告书基础资料数据真实，内容无重大缺陷、遗漏，环境影响评价结论明确、合理。因此，本项目符合建设项目环境保护管理条例“四性五不批”的相关要求</w:t>
      </w:r>
      <w:r>
        <w:rPr>
          <w:rFonts w:ascii="Times New Roman" w:hAnsi="Times New Roman"/>
        </w:rPr>
        <w:t>。</w:t>
      </w:r>
    </w:p>
    <w:p>
      <w:pPr>
        <w:pStyle w:val="3"/>
        <w:numPr>
          <w:ilvl w:val="1"/>
          <w:numId w:val="24"/>
        </w:numPr>
        <w:tabs>
          <w:tab w:val="clear" w:pos="567"/>
        </w:tabs>
        <w:rPr>
          <w:rFonts w:ascii="Times New Roman" w:hAnsi="Times New Roman"/>
        </w:rPr>
      </w:pPr>
      <w:bookmarkStart w:id="320" w:name="_Toc10637187"/>
      <w:bookmarkStart w:id="321" w:name="_Toc511116336"/>
      <w:bookmarkStart w:id="322" w:name="_Toc286314002"/>
      <w:r>
        <w:rPr>
          <w:rFonts w:ascii="Times New Roman" w:hAnsi="Times New Roman"/>
        </w:rPr>
        <w:t>建议</w:t>
      </w:r>
      <w:bookmarkEnd w:id="320"/>
      <w:bookmarkEnd w:id="321"/>
    </w:p>
    <w:p>
      <w:pPr>
        <w:pStyle w:val="4"/>
        <w:rPr>
          <w:rFonts w:ascii="Times New Roman" w:hAnsi="Times New Roman" w:cs="Times New Roman"/>
          <w:spacing w:val="0"/>
        </w:rPr>
      </w:pPr>
      <w:r>
        <w:rPr>
          <w:rFonts w:hint="eastAsia" w:ascii="Times New Roman" w:hAnsi="Times New Roman" w:cs="Times New Roman"/>
          <w:spacing w:val="0"/>
        </w:rPr>
        <w:t>1、本报告提出的各项三废预处理、处理方案仅为初步方案，企业在项目批复后应尽快委托专业设计单位进行专项设计，以满足“三废”达标排放。</w:t>
      </w:r>
    </w:p>
    <w:p>
      <w:pPr>
        <w:pStyle w:val="4"/>
        <w:rPr>
          <w:rFonts w:ascii="Times New Roman" w:hAnsi="Times New Roman" w:cs="Times New Roman"/>
          <w:spacing w:val="0"/>
        </w:rPr>
      </w:pPr>
      <w:r>
        <w:rPr>
          <w:rFonts w:hint="eastAsia" w:ascii="Times New Roman" w:hAnsi="Times New Roman" w:cs="Times New Roman"/>
          <w:spacing w:val="0"/>
        </w:rPr>
        <w:t>2、在项目实施中要严格执行“三同时”制度，保证环保资金的落实和使用，做到达标排放。</w:t>
      </w:r>
    </w:p>
    <w:p>
      <w:pPr>
        <w:pStyle w:val="4"/>
        <w:rPr>
          <w:rFonts w:ascii="Times New Roman" w:hAnsi="Times New Roman" w:cs="Times New Roman"/>
          <w:spacing w:val="0"/>
        </w:rPr>
      </w:pPr>
      <w:r>
        <w:rPr>
          <w:rFonts w:hint="eastAsia" w:ascii="Times New Roman" w:hAnsi="Times New Roman" w:cs="Times New Roman"/>
          <w:spacing w:val="0"/>
        </w:rPr>
        <w:t>3、落实好本环评中所提及的各项污染防治措施，运营过程应当加强环保设施的运行管理，保证污染治理设施的正常运行，确保项目运营过程的污染物全面、稳定达标排放。</w:t>
      </w:r>
    </w:p>
    <w:p>
      <w:pPr>
        <w:pStyle w:val="4"/>
        <w:rPr>
          <w:rFonts w:ascii="Times New Roman" w:hAnsi="Times New Roman" w:cs="Times New Roman"/>
          <w:spacing w:val="0"/>
        </w:rPr>
      </w:pPr>
      <w:r>
        <w:rPr>
          <w:rFonts w:hint="eastAsia" w:ascii="Times New Roman" w:hAnsi="Times New Roman" w:cs="Times New Roman"/>
          <w:spacing w:val="0"/>
        </w:rPr>
        <w:t>4、建议企业进行ISO14000环境管理体系的认证工作</w:t>
      </w:r>
      <w:r>
        <w:rPr>
          <w:rFonts w:ascii="Times New Roman" w:hAnsi="Times New Roman" w:cs="Times New Roman"/>
          <w:spacing w:val="0"/>
        </w:rPr>
        <w:t>。</w:t>
      </w:r>
    </w:p>
    <w:p>
      <w:pPr>
        <w:pStyle w:val="4"/>
        <w:rPr>
          <w:rFonts w:ascii="Times New Roman" w:hAnsi="Times New Roman" w:cs="Times New Roman"/>
          <w:spacing w:val="0"/>
        </w:rPr>
      </w:pPr>
      <w:r>
        <w:rPr>
          <w:rFonts w:hint="eastAsia" w:ascii="Times New Roman" w:hAnsi="Times New Roman" w:cs="Times New Roman"/>
          <w:spacing w:val="0"/>
        </w:rPr>
        <w:t>5</w:t>
      </w:r>
      <w:r>
        <w:rPr>
          <w:rFonts w:ascii="Times New Roman" w:hAnsi="Times New Roman" w:cs="Times New Roman"/>
          <w:spacing w:val="0"/>
        </w:rPr>
        <w:t>、若项目建设内容、建设地点、建设性质、生产规模及生产工艺发生较大变化，应重新编制环境影响报告，重新报批。</w:t>
      </w:r>
    </w:p>
    <w:p>
      <w:pPr>
        <w:pStyle w:val="3"/>
        <w:numPr>
          <w:ilvl w:val="1"/>
          <w:numId w:val="24"/>
        </w:numPr>
        <w:rPr>
          <w:rFonts w:ascii="Times New Roman" w:hAnsi="Times New Roman"/>
        </w:rPr>
      </w:pPr>
      <w:bookmarkStart w:id="323" w:name="_Toc10637188"/>
      <w:r>
        <w:rPr>
          <w:rFonts w:ascii="Times New Roman" w:hAnsi="Times New Roman"/>
        </w:rPr>
        <w:t>环评总结论</w:t>
      </w:r>
      <w:bookmarkEnd w:id="322"/>
      <w:bookmarkEnd w:id="323"/>
    </w:p>
    <w:p>
      <w:pPr>
        <w:pStyle w:val="4"/>
        <w:spacing w:line="480" w:lineRule="exact"/>
        <w:rPr>
          <w:rFonts w:ascii="Times New Roman" w:hAnsi="Times New Roman" w:cs="Times New Roman"/>
          <w:spacing w:val="0"/>
        </w:rPr>
      </w:pPr>
      <w:r>
        <w:rPr>
          <w:rFonts w:ascii="Times New Roman" w:hAnsi="Times New Roman" w:cs="Times New Roman"/>
          <w:spacing w:val="0"/>
        </w:rPr>
        <w:t>综上所述，</w:t>
      </w:r>
      <w:r>
        <w:rPr>
          <w:rFonts w:hint="eastAsia" w:ascii="Times New Roman" w:hAnsi="Times New Roman" w:cs="Times New Roman"/>
          <w:spacing w:val="0"/>
        </w:rPr>
        <w:t>永兴特种不锈钢股份有限公司高性能不锈钢连铸系统升级改造项目</w:t>
      </w:r>
      <w:r>
        <w:rPr>
          <w:rFonts w:ascii="Times New Roman" w:hAnsi="Times New Roman" w:cs="Times New Roman"/>
          <w:spacing w:val="0"/>
        </w:rPr>
        <w:t>位于</w:t>
      </w:r>
      <w:r>
        <w:rPr>
          <w:rFonts w:hint="eastAsia" w:ascii="Times New Roman" w:hAnsi="Times New Roman" w:cs="Times New Roman"/>
          <w:spacing w:val="0"/>
        </w:rPr>
        <w:t>湖州市经济技术开发区杨家埠霅水桥路618号</w:t>
      </w:r>
      <w:r>
        <w:rPr>
          <w:rFonts w:ascii="Times New Roman" w:hAnsi="Times New Roman" w:cs="Times New Roman"/>
          <w:spacing w:val="0"/>
        </w:rPr>
        <w:t>，项目建设符合</w:t>
      </w:r>
      <w:r>
        <w:rPr>
          <w:rFonts w:hint="eastAsia" w:ascii="Times New Roman" w:hAnsi="Times New Roman" w:cs="Times New Roman"/>
          <w:spacing w:val="0"/>
        </w:rPr>
        <w:t>湖州</w:t>
      </w:r>
      <w:r>
        <w:rPr>
          <w:rFonts w:ascii="Times New Roman" w:hAnsi="Times New Roman" w:cs="Times New Roman"/>
          <w:spacing w:val="0"/>
        </w:rPr>
        <w:t>市总体规划和</w:t>
      </w:r>
      <w:r>
        <w:rPr>
          <w:rFonts w:hint="eastAsia" w:ascii="Times New Roman" w:hAnsi="Times New Roman" w:cs="Times New Roman"/>
          <w:spacing w:val="0"/>
        </w:rPr>
        <w:t>湖州</w:t>
      </w:r>
      <w:r>
        <w:rPr>
          <w:rFonts w:ascii="Times New Roman" w:hAnsi="Times New Roman" w:cs="Times New Roman"/>
          <w:spacing w:val="0"/>
        </w:rPr>
        <w:t>市</w:t>
      </w:r>
      <w:r>
        <w:rPr>
          <w:rFonts w:hint="eastAsia" w:ascii="Times New Roman" w:hAnsi="Times New Roman" w:cs="Times New Roman"/>
          <w:spacing w:val="0"/>
        </w:rPr>
        <w:t>区</w:t>
      </w:r>
      <w:r>
        <w:rPr>
          <w:rFonts w:ascii="Times New Roman" w:hAnsi="Times New Roman" w:cs="Times New Roman"/>
          <w:spacing w:val="0"/>
        </w:rPr>
        <w:t>环境功能区划要求；排放污染物符合国家、省规定的污染物排放标准，符合总量控制指标要求；符合建设项目所在地环境功能区划确定的环境质量要求</w:t>
      </w:r>
      <w:r>
        <w:rPr>
          <w:rFonts w:hint="eastAsia" w:ascii="Times New Roman" w:hAnsi="Times New Roman" w:cs="Times New Roman"/>
          <w:spacing w:val="0"/>
        </w:rPr>
        <w:t>；</w:t>
      </w:r>
      <w:r>
        <w:rPr>
          <w:rFonts w:hint="eastAsia"/>
          <w:spacing w:val="0"/>
          <w:szCs w:val="28"/>
        </w:rPr>
        <w:t>符合环境风险防范措施的要求，符合规划环评要求，符合环境准入要求及“三线一单”要求</w:t>
      </w:r>
      <w:r>
        <w:rPr>
          <w:rFonts w:ascii="Times New Roman" w:hAnsi="Times New Roman" w:cs="Times New Roman"/>
          <w:spacing w:val="0"/>
        </w:rPr>
        <w:t>；根据建设单位编制的公众参与统计，项目公众参与</w:t>
      </w:r>
      <w:r>
        <w:rPr>
          <w:rFonts w:hint="eastAsia" w:ascii="Times New Roman" w:hAnsi="Times New Roman" w:cs="Times New Roman"/>
          <w:spacing w:val="0"/>
        </w:rPr>
        <w:t>期间</w:t>
      </w:r>
      <w:r>
        <w:rPr>
          <w:rFonts w:ascii="Times New Roman" w:hAnsi="Times New Roman" w:cs="Times New Roman"/>
          <w:spacing w:val="0"/>
        </w:rPr>
        <w:t>未收到相关意见及建议</w:t>
      </w:r>
      <w:r>
        <w:rPr>
          <w:rFonts w:hint="eastAsia"/>
          <w:spacing w:val="0"/>
          <w:szCs w:val="28"/>
        </w:rPr>
        <w:t>。</w:t>
      </w:r>
      <w:r>
        <w:rPr>
          <w:rFonts w:ascii="Times New Roman" w:hAnsi="Times New Roman" w:cs="Times New Roman"/>
          <w:spacing w:val="0"/>
        </w:rPr>
        <w:t>因此在建设单位严格落实本环评提出的各项污染控制措施要求后，从环境保护的角度分析，项目建设可行</w:t>
      </w:r>
      <w:r>
        <w:rPr>
          <w:rFonts w:hint="eastAsia" w:ascii="Times New Roman" w:hAnsi="Times New Roman" w:cs="Times New Roman"/>
          <w:spacing w:val="0"/>
        </w:rPr>
        <w:t>。</w:t>
      </w:r>
    </w:p>
    <w:sectPr>
      <w:footerReference r:id="rId17" w:type="default"/>
      <w:pgSz w:w="11907" w:h="16840"/>
      <w:pgMar w:top="1418" w:right="1406" w:bottom="1418" w:left="1157" w:header="964" w:footer="794" w:gutter="567"/>
      <w:pgNumType w:fmt="numberInDash"/>
      <w:cols w:space="720" w:num="1"/>
      <w:docGrid w:type="linesAndChars" w:linePitch="400" w:charSpace="64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s>
  <wne:acds>
    <wne:acd wne:argValue="AgBBAHAAcABsAHkAUwB0AHkAbABlAE4AYQBtAGUA" wne:acdName="acd0" wne:fciIndexBasedOn="0065"/>
    <wne:acd wne:argValue="AgBBAHAAcABsAHkAUwB0AHkAbABlAE4AYQBtAGUA" wne:acdName="acd1" wne:fciIndexBasedOn="0065"/>
    <wne:acd wne:argValue="AgBBAHAAcABsAHkAUwB0AHkAbABlAE4AYQBtAGUA" wne:acdName="acd2" wne:fciIndexBasedOn="0065"/>
    <wne:acd wne:argValue="AgBBAHAAcABsAHkAUwB0AHkAbABlAE4AYQBtAGUA" wne:acdName="acd3" wne:fciIndexBasedOn="0065"/>
    <wne:acd wne:argValue="AgBBAHAAcABsAHkAUwB0AHkAbABlAE4AYQBtAGUA" wne:acdName="acd4"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Geneva">
    <w:altName w:val="Arial"/>
    <w:panose1 w:val="00000000000000000000"/>
    <w:charset w:val="00"/>
    <w:family w:val="swiss"/>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方正宋三简体">
    <w:altName w:val="宋体"/>
    <w:panose1 w:val="00000000000000000000"/>
    <w:charset w:val="86"/>
    <w:family w:val="auto"/>
    <w:pitch w:val="default"/>
    <w:sig w:usb0="00000000" w:usb1="00000000" w:usb2="00000010" w:usb3="00000000" w:csb0="00040000" w:csb1="00000000"/>
  </w:font>
  <w:font w:name="Univers">
    <w:altName w:val="AMGDT"/>
    <w:panose1 w:val="00000000000000000000"/>
    <w:charset w:val="00"/>
    <w:family w:val="swiss"/>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Arial Rounded MT Bold">
    <w:panose1 w:val="020F0704030504030204"/>
    <w:charset w:val="00"/>
    <w:family w:val="swiss"/>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方正魏碑简体">
    <w:altName w:val="宋体"/>
    <w:panose1 w:val="00000000000000000000"/>
    <w:charset w:val="86"/>
    <w:family w:val="script"/>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PMingLiU">
    <w:panose1 w:val="02020500000000000000"/>
    <w:charset w:val="88"/>
    <w:family w:val="roman"/>
    <w:pitch w:val="default"/>
    <w:sig w:usb0="A00002FF" w:usb1="28CFFCFA" w:usb2="00000016" w:usb3="00000000" w:csb0="00100001" w:csb1="00000000"/>
  </w:font>
  <w:font w:name="幼圆">
    <w:panose1 w:val="02010509060101010101"/>
    <w:charset w:val="86"/>
    <w:family w:val="modern"/>
    <w:pitch w:val="default"/>
    <w:sig w:usb0="00000001" w:usb1="080E0000" w:usb2="00000000" w:usb3="00000000" w:csb0="00040000" w:csb1="00000000"/>
  </w:font>
  <w:font w:name="Bodoni MT">
    <w:panose1 w:val="02070603080606020203"/>
    <w:charset w:val="00"/>
    <w:family w:val="roman"/>
    <w:pitch w:val="default"/>
    <w:sig w:usb0="00000003" w:usb1="00000000" w:usb2="00000000" w:usb3="00000000" w:csb0="20000001" w:csb1="00000000"/>
  </w:font>
  <w:font w:name="Tms Rmn">
    <w:altName w:val="Segoe Print"/>
    <w:panose1 w:val="020206030405050203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汉鼎简魏碑">
    <w:altName w:val="宋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TT1DEo03">
    <w:altName w:val="Times New Roman"/>
    <w:panose1 w:val="00000000000000000000"/>
    <w:charset w:val="00"/>
    <w:family w:val="roman"/>
    <w:pitch w:val="default"/>
    <w:sig w:usb0="00000000" w:usb1="00000000" w:usb2="00000000" w:usb3="00000000" w:csb0="00000000" w:csb1="00000000"/>
  </w:font>
  <w:font w:name="TT1DEo04">
    <w:altName w:val="AMGDT"/>
    <w:panose1 w:val="00000000000000000000"/>
    <w:charset w:val="00"/>
    <w:family w:val="roman"/>
    <w:pitch w:val="default"/>
    <w:sig w:usb0="00000000" w:usb1="00000000" w:usb2="00000000" w:usb3="00000000" w:csb0="00000000" w:csb1="00000000"/>
  </w:font>
  <w:font w:name="TT1DEo00">
    <w:altName w:val="Times New Roman"/>
    <w:panose1 w:val="00000000000000000000"/>
    <w:charset w:val="00"/>
    <w:family w:val="roman"/>
    <w:pitch w:val="default"/>
    <w:sig w:usb0="00000000" w:usb1="00000000" w:usb2="00000000" w:usb3="00000000" w:csb0="00000000" w:csb1="00000000"/>
  </w:font>
  <w:font w:name="TT1DEo02">
    <w:altName w:val="Times New Roman"/>
    <w:panose1 w:val="00000000000000000000"/>
    <w:charset w:val="00"/>
    <w:family w:val="roman"/>
    <w:pitch w:val="default"/>
    <w:sig w:usb0="00000000" w:usb1="00000000" w:usb2="00000000" w:usb3="00000000" w:csb0="00000000" w:csb1="00000000"/>
  </w:font>
  <w:font w:name="TT1DEo01">
    <w:altName w:val="Times New Roman"/>
    <w:panose1 w:val="00000000000000000000"/>
    <w:charset w:val="00"/>
    <w:family w:val="roman"/>
    <w:pitch w:val="default"/>
    <w:sig w:usb0="00000000" w:usb1="00000000" w:usb2="00000000" w:usb3="00000000" w:csb0="00000000" w:csb1="00000000"/>
  </w:font>
  <w:font w:name="”“Times New Roman”“">
    <w:altName w:val="宋体"/>
    <w:panose1 w:val="00000000000000000000"/>
    <w:charset w:val="86"/>
    <w:family w:val="roma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Bodoni MT Condensed">
    <w:panose1 w:val="02070606080606020203"/>
    <w:charset w:val="00"/>
    <w:family w:val="roman"/>
    <w:pitch w:val="default"/>
    <w:sig w:usb0="00000003" w:usb1="00000000" w:usb2="00000000" w:usb3="00000000" w:csb0="20000001" w:csb1="00000000"/>
  </w:font>
  <w:font w:name="Dotum">
    <w:panose1 w:val="020B0600000101010101"/>
    <w:charset w:val="81"/>
    <w:family w:val="swiss"/>
    <w:pitch w:val="default"/>
    <w:sig w:usb0="B00002AF" w:usb1="69D77CFB" w:usb2="00000030" w:usb3="00000000" w:csb0="4008009F" w:csb1="DFD70000"/>
  </w:font>
  <w:font w:name="汉鼎简书宋">
    <w:altName w:val="宋体"/>
    <w:panose1 w:val="00000000000000000000"/>
    <w:charset w:val="86"/>
    <w:family w:val="modern"/>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TimesNewRoman">
    <w:altName w:val="Times New Roman"/>
    <w:panose1 w:val="00000000000000000000"/>
    <w:charset w:val="00"/>
    <w:family w:val="roman"/>
    <w:pitch w:val="default"/>
    <w:sig w:usb0="00000000" w:usb1="00000000" w:usb2="00000000" w:usb3="00000000" w:csb0="00000001" w:csb1="00000000"/>
  </w:font>
  <w:font w:name="華康中楷體">
    <w:altName w:val="PMingLiU"/>
    <w:panose1 w:val="00000000000000000000"/>
    <w:charset w:val="88"/>
    <w:family w:val="modern"/>
    <w:pitch w:val="default"/>
    <w:sig w:usb0="00000000" w:usb1="00000000" w:usb2="00000010" w:usb3="00000000" w:csb0="00100000" w:csb1="00000000"/>
  </w:font>
  <w:font w:name="Ђˎ̥">
    <w:altName w:val="Times New Roman"/>
    <w:panose1 w:val="00000000000000000000"/>
    <w:charset w:val="00"/>
    <w:family w:val="roman"/>
    <w:pitch w:val="default"/>
    <w:sig w:usb0="00000000" w:usb1="00000000" w:usb2="00000000" w:usb3="00000000" w:csb0="00040001" w:csb1="00000000"/>
  </w:font>
  <w:font w:name="華康粗黑體">
    <w:altName w:val="Arial"/>
    <w:panose1 w:val="00000000000000000000"/>
    <w:charset w:val="00"/>
    <w:family w:val="modern"/>
    <w:pitch w:val="default"/>
    <w:sig w:usb0="00000000" w:usb1="00000000" w:usb2="00000000" w:usb3="00000000" w:csb0="00000000" w:csb1="00000000"/>
  </w:font>
  <w:font w:name="CG Times (W1)">
    <w:altName w:val="Times New Roman"/>
    <w:panose1 w:val="00000000000000000000"/>
    <w:charset w:val="00"/>
    <w:family w:val="roman"/>
    <w:pitch w:val="default"/>
    <w:sig w:usb0="00000000" w:usb1="00000000" w:usb2="00000000" w:usb3="00000000" w:csb0="00000001" w:csb1="00000000"/>
  </w:font>
  <w:font w:name="Brush Script MT">
    <w:panose1 w:val="03060802040406070304"/>
    <w:charset w:val="00"/>
    <w:family w:val="script"/>
    <w:pitch w:val="default"/>
    <w:sig w:usb0="00000003" w:usb1="00000000" w:usb2="00000000" w:usb3="00000000" w:csb0="20000001" w:csb1="00000000"/>
  </w:font>
  <w:font w:name="方正粗黑繁体2.">
    <w:altName w:val="宋体"/>
    <w:panose1 w:val="00000000000000000000"/>
    <w:charset w:val="86"/>
    <w:family w:val="swiss"/>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Verdana, Arial, 宋体">
    <w:altName w:val="宋体"/>
    <w:panose1 w:val="00000000000000000000"/>
    <w:charset w:val="86"/>
    <w:family w:val="roman"/>
    <w:pitch w:val="default"/>
    <w:sig w:usb0="00000000" w:usb1="00000000" w:usb2="00000010" w:usb3="00000000" w:csb0="00040000" w:csb1="00000000"/>
  </w:font>
  <w:font w:name="AngsanaUPC">
    <w:panose1 w:val="02020603050405020304"/>
    <w:charset w:val="00"/>
    <w:family w:val="roman"/>
    <w:pitch w:val="default"/>
    <w:sig w:usb0="81000003" w:usb1="00000000" w:usb2="00000000" w:usb3="00000000" w:csb0="00010001" w:csb1="00000000"/>
  </w:font>
  <w:font w:name="大标宋">
    <w:altName w:val="宋体"/>
    <w:panose1 w:val="00000000000000000000"/>
    <w:charset w:val="86"/>
    <w:family w:val="modern"/>
    <w:pitch w:val="default"/>
    <w:sig w:usb0="00000000" w:usb1="00000000" w:usb2="00000010" w:usb3="00000000" w:csb0="00040000" w:csb1="00000000"/>
  </w:font>
  <w:font w:name="Arial Gras">
    <w:altName w:val="Times New Roman"/>
    <w:panose1 w:val="00000000000000000000"/>
    <w:charset w:val="00"/>
    <w:family w:val="roman"/>
    <w:pitch w:val="default"/>
    <w:sig w:usb0="00000000" w:usb1="00000000" w:usb2="00000000" w:usb3="00000000" w:csb0="00000001" w:csb1="00000000"/>
  </w:font>
  <w:font w:name="创艺简黑体">
    <w:altName w:val="宋体"/>
    <w:panose1 w:val="00000000000000000000"/>
    <w:charset w:val="86"/>
    <w:family w:val="auto"/>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9871" w:y="371"/>
      <w:rPr>
        <w:rStyle w:val="134"/>
      </w:rPr>
    </w:pPr>
  </w:p>
  <w:p>
    <w:pPr>
      <w:pStyle w:val="5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tabs>
              <w:tab w:val="left" w:pos="3435"/>
              <w:tab w:val="clear" w:pos="4153"/>
              <w:tab w:val="clear" w:pos="8306"/>
            </w:tabs>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建科环境技术</w:t>
          </w:r>
          <w:r>
            <w:rPr>
              <w:rFonts w:eastAsiaTheme="minorEastAsia"/>
              <w:sz w:val="21"/>
              <w:szCs w:val="21"/>
              <w:lang w:eastAsia="zh-CN"/>
            </w:rPr>
            <w:t>有限公司</w:t>
          </w:r>
          <w:r>
            <w:rPr>
              <w:rFonts w:eastAsiaTheme="minorEastAsia"/>
              <w:sz w:val="21"/>
              <w:szCs w:val="21"/>
              <w:lang w:eastAsia="zh-CN"/>
            </w:rPr>
            <w:tab/>
          </w:r>
        </w:p>
      </w:tc>
      <w:tc>
        <w:tcPr>
          <w:tcW w:w="43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- 122 -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tabs>
              <w:tab w:val="left" w:pos="3435"/>
              <w:tab w:val="clear" w:pos="4153"/>
              <w:tab w:val="clear" w:pos="8306"/>
            </w:tabs>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w:t>
          </w:r>
          <w:r>
            <w:rPr>
              <w:rFonts w:eastAsiaTheme="minorEastAsia"/>
              <w:sz w:val="21"/>
              <w:szCs w:val="21"/>
              <w:lang w:eastAsia="zh-CN"/>
            </w:rPr>
            <w:t>技术有限公司</w:t>
          </w:r>
          <w:r>
            <w:rPr>
              <w:rFonts w:eastAsiaTheme="minorEastAsia"/>
              <w:sz w:val="21"/>
              <w:szCs w:val="21"/>
              <w:lang w:eastAsia="zh-CN"/>
            </w:rPr>
            <w:tab/>
          </w:r>
        </w:p>
      </w:tc>
      <w:tc>
        <w:tcPr>
          <w:tcW w:w="43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- 126 -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tabs>
              <w:tab w:val="left" w:pos="3435"/>
              <w:tab w:val="clear" w:pos="4153"/>
              <w:tab w:val="clear" w:pos="8306"/>
            </w:tabs>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w:t>
          </w:r>
          <w:r>
            <w:rPr>
              <w:rFonts w:eastAsiaTheme="minorEastAsia"/>
              <w:sz w:val="21"/>
              <w:szCs w:val="21"/>
              <w:lang w:eastAsia="zh-CN"/>
            </w:rPr>
            <w:t>技术有限公司</w:t>
          </w:r>
          <w:r>
            <w:rPr>
              <w:rFonts w:eastAsiaTheme="minorEastAsia"/>
              <w:sz w:val="21"/>
              <w:szCs w:val="21"/>
              <w:lang w:eastAsia="zh-CN"/>
            </w:rPr>
            <w:tab/>
          </w:r>
        </w:p>
      </w:tc>
      <w:tc>
        <w:tcPr>
          <w:tcW w:w="43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- 128 -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建科环境技术</w:t>
          </w:r>
          <w:r>
            <w:rPr>
              <w:rFonts w:eastAsiaTheme="minorEastAsia"/>
              <w:sz w:val="21"/>
              <w:szCs w:val="21"/>
              <w:lang w:eastAsia="zh-CN"/>
            </w:rPr>
            <w:t>有限公司</w:t>
          </w:r>
        </w:p>
      </w:tc>
      <w:tc>
        <w:tcPr>
          <w:tcW w:w="43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- 149 -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page" w:x="9871" w:y="371"/>
      <w:rPr>
        <w:rStyle w:val="134"/>
      </w:rPr>
    </w:pPr>
  </w:p>
  <w:tbl>
    <w:tblPr>
      <w:tblStyle w:val="87"/>
      <w:tblW w:w="8777"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43"/>
      <w:gridCol w:w="1852"/>
      <w:gridCol w:w="258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367" w:hRule="atLeast"/>
      </w:trPr>
      <w:tc>
        <w:tcPr>
          <w:tcW w:w="4343" w:type="dxa"/>
          <w:vAlign w:val="center"/>
        </w:tcPr>
        <w:p>
          <w:pPr>
            <w:pStyle w:val="55"/>
            <w:ind w:right="360"/>
            <w:rPr>
              <w:rFonts w:eastAsia="宋体"/>
              <w:sz w:val="21"/>
              <w:lang w:val="en-US" w:eastAsia="zh-CN"/>
            </w:rPr>
          </w:pPr>
          <w:r>
            <w:rPr>
              <w:rFonts w:hint="eastAsia" w:eastAsia="宋体"/>
              <w:sz w:val="21"/>
              <w:lang w:val="en-US" w:eastAsia="zh-CN"/>
            </w:rPr>
            <w:t>上海建科环境技术有限公司</w:t>
          </w:r>
        </w:p>
      </w:tc>
      <w:tc>
        <w:tcPr>
          <w:tcW w:w="1852" w:type="dxa"/>
        </w:tcPr>
        <w:p>
          <w:pPr>
            <w:pStyle w:val="55"/>
            <w:ind w:right="360"/>
            <w:jc w:val="center"/>
            <w:rPr>
              <w:rFonts w:eastAsia="宋体"/>
              <w:sz w:val="21"/>
              <w:lang w:val="en-US" w:eastAsia="zh-CN"/>
            </w:rPr>
          </w:pPr>
          <w:r>
            <w:rPr>
              <w:rFonts w:hint="eastAsia" w:eastAsia="宋体"/>
              <w:sz w:val="21"/>
              <w:lang w:val="en-US" w:eastAsia="zh-CN"/>
            </w:rPr>
            <w:t xml:space="preserve">                   </w:t>
          </w:r>
        </w:p>
      </w:tc>
      <w:tc>
        <w:tcPr>
          <w:tcW w:w="2582" w:type="dxa"/>
        </w:tcPr>
        <w:p>
          <w:pPr>
            <w:pStyle w:val="55"/>
            <w:ind w:right="353"/>
            <w:jc w:val="right"/>
            <w:rPr>
              <w:rFonts w:eastAsia="宋体"/>
              <w:sz w:val="21"/>
              <w:lang w:val="en-US" w:eastAsia="zh-CN"/>
            </w:rPr>
          </w:pPr>
          <w:r>
            <w:rPr>
              <w:rFonts w:eastAsia="宋体"/>
              <w:sz w:val="21"/>
              <w:lang w:val="en-US" w:eastAsia="zh-CN"/>
            </w:rPr>
            <w:fldChar w:fldCharType="begin"/>
          </w:r>
          <w:r>
            <w:rPr>
              <w:rFonts w:eastAsia="宋体"/>
              <w:sz w:val="21"/>
              <w:lang w:val="en-US" w:eastAsia="zh-CN"/>
            </w:rPr>
            <w:instrText xml:space="preserve">PAGE   \* MERGEFORMAT</w:instrText>
          </w:r>
          <w:r>
            <w:rPr>
              <w:rFonts w:eastAsia="宋体"/>
              <w:sz w:val="21"/>
              <w:lang w:val="en-US" w:eastAsia="zh-CN"/>
            </w:rPr>
            <w:fldChar w:fldCharType="separate"/>
          </w:r>
          <w:r>
            <w:rPr>
              <w:rFonts w:eastAsia="宋体"/>
              <w:sz w:val="21"/>
              <w:lang w:val="zh-CN" w:eastAsia="zh-CN"/>
            </w:rPr>
            <w:t>II</w:t>
          </w:r>
          <w:r>
            <w:rPr>
              <w:rFonts w:eastAsia="宋体"/>
              <w:sz w:val="21"/>
              <w:lang w:val="en-US" w:eastAsia="zh-CN"/>
            </w:rPr>
            <w:fldChar w:fldCharType="end"/>
          </w:r>
          <w:r>
            <w:rPr>
              <w:rFonts w:hint="eastAsia" w:eastAsia="宋体"/>
              <w:sz w:val="21"/>
              <w:lang w:val="en-US" w:eastAsia="zh-CN"/>
            </w:rPr>
            <w:t xml:space="preserve">     </w:t>
          </w:r>
        </w:p>
      </w:tc>
    </w:tr>
  </w:tbl>
  <w:p>
    <w:pPr>
      <w:pStyle w:val="5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spacing w:before="48" w:beforeLines="20"/>
            <w:rPr>
              <w:rFonts w:eastAsiaTheme="minorEastAsia"/>
              <w:sz w:val="21"/>
              <w:szCs w:val="21"/>
              <w:lang w:eastAsia="zh-CN"/>
            </w:rPr>
          </w:pPr>
          <w:r>
            <w:rPr>
              <w:rFonts w:eastAsiaTheme="minorEastAsia"/>
              <w:sz w:val="21"/>
              <w:szCs w:val="21"/>
              <w:lang w:eastAsia="zh-CN"/>
            </w:rPr>
            <w:t>上海建科环境技术有限公司</w:t>
          </w:r>
        </w:p>
      </w:tc>
      <w:tc>
        <w:tcPr>
          <w:tcW w:w="4389" w:type="dxa"/>
        </w:tcPr>
        <w:p>
          <w:pPr>
            <w:pStyle w:val="55"/>
            <w:spacing w:before="48" w:beforeLines="20"/>
            <w:ind w:right="21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val="zh-CN" w:eastAsia="zh-CN"/>
            </w:rPr>
            <w:t>-</w:t>
          </w:r>
          <w:r>
            <w:rPr>
              <w:rFonts w:eastAsiaTheme="minorEastAsia"/>
              <w:sz w:val="21"/>
              <w:szCs w:val="21"/>
              <w:lang w:eastAsia="zh-CN"/>
            </w:rPr>
            <w:t xml:space="preserve"> 1 -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13721"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860"/>
      <w:gridCol w:w="6861"/>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6860"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w:t>
          </w:r>
          <w:r>
            <w:rPr>
              <w:rFonts w:eastAsiaTheme="minorEastAsia"/>
              <w:sz w:val="21"/>
              <w:szCs w:val="21"/>
              <w:lang w:eastAsia="zh-CN"/>
            </w:rPr>
            <w:t>技术有限公司</w:t>
          </w:r>
        </w:p>
      </w:tc>
      <w:tc>
        <w:tcPr>
          <w:tcW w:w="6861" w:type="dxa"/>
        </w:tcPr>
        <w:p>
          <w:pPr>
            <w:pStyle w:val="55"/>
            <w:spacing w:before="48" w:beforeLines="20"/>
            <w:ind w:right="21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val="zh-CN" w:eastAsia="zh-CN"/>
            </w:rPr>
            <w:t>-</w:t>
          </w:r>
          <w:r>
            <w:rPr>
              <w:rFonts w:eastAsiaTheme="minorEastAsia"/>
              <w:sz w:val="21"/>
              <w:szCs w:val="21"/>
              <w:lang w:eastAsia="zh-CN"/>
            </w:rPr>
            <w:t xml:space="preserve"> 25 -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20695"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347"/>
      <w:gridCol w:w="10348"/>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10347"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建科环境技术</w:t>
          </w:r>
          <w:r>
            <w:rPr>
              <w:rFonts w:eastAsiaTheme="minorEastAsia"/>
              <w:sz w:val="21"/>
              <w:szCs w:val="21"/>
              <w:lang w:eastAsia="zh-CN"/>
            </w:rPr>
            <w:t>有限公司</w:t>
          </w:r>
        </w:p>
      </w:tc>
      <w:tc>
        <w:tcPr>
          <w:tcW w:w="10348" w:type="dxa"/>
        </w:tcPr>
        <w:p>
          <w:pPr>
            <w:pStyle w:val="55"/>
            <w:spacing w:before="48" w:beforeLines="20"/>
            <w:ind w:right="21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val="zh-CN" w:eastAsia="zh-CN"/>
            </w:rPr>
            <w:t>-</w:t>
          </w:r>
          <w:r>
            <w:rPr>
              <w:rFonts w:eastAsiaTheme="minorEastAsia"/>
              <w:sz w:val="21"/>
              <w:szCs w:val="21"/>
              <w:lang w:eastAsia="zh-CN"/>
            </w:rPr>
            <w:t xml:space="preserve"> 26 -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811"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405"/>
      <w:gridCol w:w="4406"/>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405"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建科环境技术</w:t>
          </w:r>
          <w:r>
            <w:rPr>
              <w:rFonts w:eastAsiaTheme="minorEastAsia"/>
              <w:sz w:val="21"/>
              <w:szCs w:val="21"/>
              <w:lang w:eastAsia="zh-CN"/>
            </w:rPr>
            <w:t>有限公司</w:t>
          </w:r>
        </w:p>
      </w:tc>
      <w:tc>
        <w:tcPr>
          <w:tcW w:w="4406"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- 66 -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13778"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889"/>
      <w:gridCol w:w="68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6889"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w:t>
          </w:r>
          <w:r>
            <w:rPr>
              <w:rFonts w:eastAsiaTheme="minorEastAsia"/>
              <w:sz w:val="21"/>
              <w:szCs w:val="21"/>
              <w:lang w:eastAsia="zh-CN"/>
            </w:rPr>
            <w:t>技术有限公司</w:t>
          </w:r>
        </w:p>
      </w:tc>
      <w:tc>
        <w:tcPr>
          <w:tcW w:w="68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- 68 -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811"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405"/>
      <w:gridCol w:w="4406"/>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405" w:type="dxa"/>
        </w:tcPr>
        <w:p>
          <w:pPr>
            <w:pStyle w:val="55"/>
            <w:spacing w:before="48" w:beforeLines="20"/>
            <w:rPr>
              <w:rFonts w:eastAsiaTheme="minorEastAsia"/>
              <w:sz w:val="21"/>
              <w:szCs w:val="21"/>
            </w:rPr>
          </w:pPr>
          <w:r>
            <w:rPr>
              <w:rFonts w:eastAsiaTheme="minorEastAsia"/>
              <w:sz w:val="21"/>
              <w:szCs w:val="21"/>
            </w:rPr>
            <w:t>上海</w:t>
          </w:r>
          <w:r>
            <w:rPr>
              <w:rFonts w:hint="eastAsia" w:eastAsiaTheme="minorEastAsia"/>
              <w:sz w:val="21"/>
              <w:szCs w:val="21"/>
            </w:rPr>
            <w:t>建科环境</w:t>
          </w:r>
          <w:r>
            <w:rPr>
              <w:rFonts w:eastAsiaTheme="minorEastAsia"/>
              <w:sz w:val="21"/>
              <w:szCs w:val="21"/>
            </w:rPr>
            <w:t>技术有限公司</w:t>
          </w:r>
        </w:p>
      </w:tc>
      <w:tc>
        <w:tcPr>
          <w:tcW w:w="4406" w:type="dxa"/>
        </w:tcPr>
        <w:p>
          <w:pPr>
            <w:pStyle w:val="55"/>
            <w:spacing w:before="48" w:beforeLines="20"/>
            <w:ind w:right="420"/>
            <w:jc w:val="right"/>
            <w:rPr>
              <w:rFonts w:eastAsiaTheme="minorEastAsia"/>
              <w:sz w:val="21"/>
              <w:szCs w:val="21"/>
            </w:rPr>
          </w:pPr>
          <w:r>
            <w:rPr>
              <w:rFonts w:eastAsiaTheme="minorEastAsia"/>
              <w:sz w:val="21"/>
              <w:szCs w:val="21"/>
            </w:rPr>
            <w:fldChar w:fldCharType="begin"/>
          </w:r>
          <w:r>
            <w:rPr>
              <w:rFonts w:eastAsiaTheme="minorEastAsia"/>
              <w:sz w:val="21"/>
              <w:szCs w:val="21"/>
            </w:rPr>
            <w:instrText xml:space="preserve">PAGE   \* MERGEFORMAT</w:instrText>
          </w:r>
          <w:r>
            <w:rPr>
              <w:rFonts w:eastAsiaTheme="minorEastAsia"/>
              <w:sz w:val="21"/>
              <w:szCs w:val="21"/>
            </w:rPr>
            <w:fldChar w:fldCharType="separate"/>
          </w:r>
          <w:r>
            <w:rPr>
              <w:rFonts w:eastAsiaTheme="minorEastAsia"/>
              <w:sz w:val="21"/>
              <w:szCs w:val="21"/>
            </w:rPr>
            <w:t>- 74 -</w:t>
          </w:r>
          <w:r>
            <w:rPr>
              <w:rFonts w:eastAsiaTheme="minorEastAsia"/>
              <w:sz w:val="21"/>
              <w:szCs w:val="21"/>
            </w:rPr>
            <w:fldChar w:fldCharType="end"/>
          </w:r>
          <w:r>
            <w:rPr>
              <w:rFonts w:eastAsiaTheme="minorEastAsia"/>
              <w:sz w:val="21"/>
              <w:szCs w:val="21"/>
            </w:rPr>
            <w:t xml:space="preserve">                                  </w:t>
          </w:r>
        </w:p>
      </w:tc>
    </w:tr>
  </w:tbl>
  <w:p>
    <w:pPr>
      <w:pStyle w:val="5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8"/>
      <w:tblW w:w="8777" w:type="dxa"/>
      <w:tblInd w:w="0" w:type="dxa"/>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388"/>
      <w:gridCol w:w="4389"/>
    </w:tblGrid>
    <w:tr>
      <w:tblPrEx>
        <w:tblBorders>
          <w:top w:val="single" w:color="auto" w:sz="4"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c>
        <w:tcPr>
          <w:tcW w:w="4388" w:type="dxa"/>
        </w:tcPr>
        <w:p>
          <w:pPr>
            <w:pStyle w:val="55"/>
            <w:spacing w:before="48" w:beforeLines="20"/>
            <w:rPr>
              <w:rFonts w:eastAsiaTheme="minorEastAsia"/>
              <w:sz w:val="21"/>
              <w:szCs w:val="21"/>
              <w:lang w:eastAsia="zh-CN"/>
            </w:rPr>
          </w:pPr>
          <w:r>
            <w:rPr>
              <w:rFonts w:eastAsiaTheme="minorEastAsia"/>
              <w:sz w:val="21"/>
              <w:szCs w:val="21"/>
              <w:lang w:eastAsia="zh-CN"/>
            </w:rPr>
            <w:t>上海</w:t>
          </w:r>
          <w:r>
            <w:rPr>
              <w:rFonts w:hint="eastAsia" w:eastAsiaTheme="minorEastAsia"/>
              <w:sz w:val="21"/>
              <w:szCs w:val="21"/>
              <w:lang w:eastAsia="zh-CN"/>
            </w:rPr>
            <w:t>建科环境技术</w:t>
          </w:r>
          <w:r>
            <w:rPr>
              <w:rFonts w:eastAsiaTheme="minorEastAsia"/>
              <w:sz w:val="21"/>
              <w:szCs w:val="21"/>
              <w:lang w:eastAsia="zh-CN"/>
            </w:rPr>
            <w:t>有限公司</w:t>
          </w:r>
        </w:p>
      </w:tc>
      <w:tc>
        <w:tcPr>
          <w:tcW w:w="4389" w:type="dxa"/>
        </w:tcPr>
        <w:p>
          <w:pPr>
            <w:pStyle w:val="55"/>
            <w:spacing w:before="48" w:beforeLines="20"/>
            <w:ind w:right="420"/>
            <w:jc w:val="right"/>
            <w:rPr>
              <w:rFonts w:eastAsiaTheme="minorEastAsia"/>
              <w:sz w:val="21"/>
              <w:szCs w:val="21"/>
              <w:lang w:eastAsia="zh-CN"/>
            </w:rPr>
          </w:pPr>
          <w:r>
            <w:rPr>
              <w:rFonts w:eastAsiaTheme="minorEastAsia"/>
              <w:sz w:val="21"/>
              <w:szCs w:val="21"/>
              <w:lang w:eastAsia="zh-CN"/>
            </w:rPr>
            <w:fldChar w:fldCharType="begin"/>
          </w:r>
          <w:r>
            <w:rPr>
              <w:rFonts w:eastAsiaTheme="minorEastAsia"/>
              <w:sz w:val="21"/>
              <w:szCs w:val="21"/>
              <w:lang w:eastAsia="zh-CN"/>
            </w:rPr>
            <w:instrText xml:space="preserve">PAGE   \* MERGEFORMAT</w:instrText>
          </w:r>
          <w:r>
            <w:rPr>
              <w:rFonts w:eastAsiaTheme="minorEastAsia"/>
              <w:sz w:val="21"/>
              <w:szCs w:val="21"/>
              <w:lang w:eastAsia="zh-CN"/>
            </w:rPr>
            <w:fldChar w:fldCharType="separate"/>
          </w:r>
          <w:r>
            <w:rPr>
              <w:rFonts w:eastAsiaTheme="minorEastAsia"/>
              <w:sz w:val="21"/>
              <w:szCs w:val="21"/>
              <w:lang w:eastAsia="zh-CN"/>
            </w:rPr>
            <w:t>- 110 -</w:t>
          </w:r>
          <w:r>
            <w:rPr>
              <w:rFonts w:eastAsiaTheme="minorEastAsia"/>
              <w:sz w:val="21"/>
              <w:szCs w:val="21"/>
              <w:lang w:eastAsia="zh-CN"/>
            </w:rPr>
            <w:fldChar w:fldCharType="end"/>
          </w:r>
          <w:r>
            <w:rPr>
              <w:rFonts w:eastAsiaTheme="minorEastAsia"/>
              <w:sz w:val="21"/>
              <w:szCs w:val="21"/>
              <w:lang w:eastAsia="zh-CN"/>
            </w:rPr>
            <w:t xml:space="preserve">                                  </w:t>
          </w:r>
        </w:p>
      </w:tc>
    </w:tr>
  </w:tbl>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rPr>
        <w:rFonts w:eastAsia="宋体"/>
        <w:sz w:val="21"/>
        <w:szCs w:val="21"/>
      </w:rPr>
    </w:pPr>
    <w:r>
      <w:rPr>
        <w:rFonts w:ascii="等线" w:hAnsi="等线" w:eastAsia="等线"/>
        <w:sz w:val="21"/>
        <w:szCs w:val="21"/>
      </w:rPr>
      <w:t>永兴特种不锈钢股份有限公司高性能不锈钢连铸</w:t>
    </w:r>
    <w:r>
      <w:rPr>
        <w:rFonts w:hint="eastAsia" w:ascii="等线" w:hAnsi="等线" w:eastAsia="等线"/>
        <w:sz w:val="21"/>
        <w:szCs w:val="21"/>
      </w:rPr>
      <w:t>系统升级改造</w:t>
    </w:r>
    <w:r>
      <w:rPr>
        <w:rFonts w:ascii="等线" w:hAnsi="等线" w:eastAsia="等线"/>
        <w:sz w:val="21"/>
        <w:szCs w:val="21"/>
      </w:rPr>
      <w:t>项目</w:t>
    </w:r>
    <w:r>
      <w:rPr>
        <w:rFonts w:hint="eastAsia" w:ascii="等线" w:hAnsi="等线" w:eastAsia="等线"/>
        <w:sz w:val="21"/>
        <w:szCs w:val="21"/>
      </w:rPr>
      <w:t>征求意见稿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35"/>
      <w:lvlText w:val="%1."/>
      <w:lvlJc w:val="left"/>
      <w:pPr>
        <w:tabs>
          <w:tab w:val="left" w:pos="1200"/>
        </w:tabs>
        <w:ind w:left="1200" w:leftChars="400" w:hanging="360" w:hangingChars="200"/>
      </w:pPr>
    </w:lvl>
  </w:abstractNum>
  <w:abstractNum w:abstractNumId="1">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2">
    <w:nsid w:val="00000002"/>
    <w:multiLevelType w:val="multilevel"/>
    <w:tmpl w:val="00000002"/>
    <w:lvl w:ilvl="0" w:tentative="0">
      <w:start w:val="1"/>
      <w:numFmt w:val="decimal"/>
      <w:lvlText w:val="第%1章  "/>
      <w:lvlJc w:val="left"/>
      <w:pPr>
        <w:tabs>
          <w:tab w:val="left" w:pos="1080"/>
        </w:tabs>
        <w:ind w:left="425" w:hanging="425"/>
      </w:pPr>
      <w:rPr>
        <w:rFonts w:hint="eastAsia"/>
      </w:rPr>
    </w:lvl>
    <w:lvl w:ilvl="1" w:tentative="0">
      <w:start w:val="1"/>
      <w:numFmt w:val="decimal"/>
      <w:lvlText w:val="%1.%2 "/>
      <w:lvlJc w:val="left"/>
      <w:pPr>
        <w:tabs>
          <w:tab w:val="left" w:pos="832"/>
        </w:tabs>
        <w:ind w:left="832" w:hanging="567"/>
      </w:pPr>
      <w:rPr>
        <w:rFonts w:hint="eastAsia"/>
      </w:rPr>
    </w:lvl>
    <w:lvl w:ilvl="2" w:tentative="0">
      <w:start w:val="1"/>
      <w:numFmt w:val="decimal"/>
      <w:lvlText w:val="%1.%2.%3 "/>
      <w:lvlJc w:val="left"/>
      <w:pPr>
        <w:tabs>
          <w:tab w:val="left" w:pos="1080"/>
        </w:tabs>
        <w:ind w:left="709" w:hanging="709"/>
      </w:pPr>
      <w:rPr>
        <w:rFonts w:hint="default" w:ascii="Arial" w:hAnsi="Arial" w:cs="Arial"/>
        <w:b/>
        <w:i w:val="0"/>
      </w:rPr>
    </w:lvl>
    <w:lvl w:ilvl="3" w:tentative="0">
      <w:start w:val="1"/>
      <w:numFmt w:val="decimal"/>
      <w:lvlRestart w:val="1"/>
      <w:pStyle w:val="2048"/>
      <w:lvlText w:val="表%1-%4"/>
      <w:lvlJc w:val="center"/>
      <w:pPr>
        <w:tabs>
          <w:tab w:val="left" w:pos="3213"/>
        </w:tabs>
        <w:ind w:left="1030" w:firstLine="1620"/>
      </w:pPr>
      <w:rPr>
        <w:rFonts w:hint="default" w:ascii="Arial" w:hAnsi="Arial" w:eastAsia="宋体" w:cs="Arial"/>
        <w:b/>
        <w:i w:val="0"/>
        <w:sz w:val="24"/>
        <w:szCs w:val="24"/>
        <w:lang w:val="en-US"/>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2BA3BB0"/>
    <w:multiLevelType w:val="multilevel"/>
    <w:tmpl w:val="02BA3BB0"/>
    <w:lvl w:ilvl="0" w:tentative="0">
      <w:start w:val="1"/>
      <w:numFmt w:val="chineseCountingThousand"/>
      <w:suff w:val="space"/>
      <w:lvlText w:val="第%1章"/>
      <w:lvlJc w:val="left"/>
      <w:pPr>
        <w:ind w:left="328" w:firstLine="567"/>
      </w:pPr>
      <w:rPr>
        <w:rFonts w:hint="eastAsia" w:ascii="创艺简黑体" w:eastAsia="创艺简黑体"/>
        <w:b/>
        <w:i w:val="0"/>
        <w:sz w:val="28"/>
        <w:szCs w:val="28"/>
      </w:rPr>
    </w:lvl>
    <w:lvl w:ilvl="1" w:tentative="0">
      <w:start w:val="1"/>
      <w:numFmt w:val="chineseCountingThousand"/>
      <w:lvlText w:val="第%2节 "/>
      <w:lvlJc w:val="left"/>
      <w:pPr>
        <w:tabs>
          <w:tab w:val="left" w:pos="1048"/>
        </w:tabs>
        <w:ind w:left="328" w:firstLine="0"/>
      </w:pPr>
      <w:rPr>
        <w:rFonts w:hint="eastAsia" w:ascii="创艺简黑体" w:eastAsia="创艺简黑体"/>
        <w:b w:val="0"/>
        <w:i w:val="0"/>
        <w:sz w:val="28"/>
        <w:szCs w:val="28"/>
      </w:rPr>
    </w:lvl>
    <w:lvl w:ilvl="2" w:tentative="0">
      <w:start w:val="1"/>
      <w:numFmt w:val="chineseCountingThousand"/>
      <w:lvlRestart w:val="0"/>
      <w:lvlText w:val="%3、"/>
      <w:lvlJc w:val="left"/>
      <w:pPr>
        <w:tabs>
          <w:tab w:val="left" w:pos="1255"/>
        </w:tabs>
        <w:ind w:left="328" w:firstLine="567"/>
      </w:pPr>
      <w:rPr>
        <w:rFonts w:hint="eastAsia" w:ascii="黑体" w:eastAsia="黑体"/>
        <w:b/>
        <w:i w:val="0"/>
        <w:sz w:val="24"/>
      </w:rPr>
    </w:lvl>
    <w:lvl w:ilvl="3" w:tentative="0">
      <w:start w:val="1"/>
      <w:numFmt w:val="decimal"/>
      <w:lvlText w:val="%4、"/>
      <w:lvlJc w:val="left"/>
      <w:pPr>
        <w:tabs>
          <w:tab w:val="left" w:pos="688"/>
        </w:tabs>
        <w:ind w:left="328" w:firstLine="0"/>
      </w:pPr>
      <w:rPr>
        <w:rFonts w:hint="eastAsia" w:ascii="黑体" w:eastAsia="黑体"/>
        <w:sz w:val="24"/>
      </w:rPr>
    </w:lvl>
    <w:lvl w:ilvl="4" w:tentative="0">
      <w:start w:val="1"/>
      <w:numFmt w:val="decimal"/>
      <w:pStyle w:val="2341"/>
      <w:lvlText w:val=" (%5)"/>
      <w:lvlJc w:val="left"/>
      <w:pPr>
        <w:tabs>
          <w:tab w:val="left" w:pos="1440"/>
        </w:tabs>
        <w:ind w:left="720" w:firstLine="0"/>
      </w:pPr>
      <w:rPr>
        <w:rFonts w:hint="eastAsia" w:ascii="黑体" w:eastAsia="黑体"/>
        <w:b w:val="0"/>
        <w:i w:val="0"/>
        <w:sz w:val="24"/>
      </w:rPr>
    </w:lvl>
    <w:lvl w:ilvl="5" w:tentative="0">
      <w:start w:val="1"/>
      <w:numFmt w:val="none"/>
      <w:suff w:val="nothing"/>
      <w:lvlText w:val=""/>
      <w:lvlJc w:val="left"/>
      <w:pPr>
        <w:ind w:left="328" w:firstLine="0"/>
      </w:pPr>
      <w:rPr>
        <w:rFonts w:hint="eastAsia"/>
      </w:rPr>
    </w:lvl>
    <w:lvl w:ilvl="6" w:tentative="0">
      <w:start w:val="1"/>
      <w:numFmt w:val="none"/>
      <w:suff w:val="nothing"/>
      <w:lvlText w:val=""/>
      <w:lvlJc w:val="left"/>
      <w:pPr>
        <w:ind w:left="328" w:firstLine="0"/>
      </w:pPr>
      <w:rPr>
        <w:rFonts w:hint="eastAsia"/>
      </w:rPr>
    </w:lvl>
    <w:lvl w:ilvl="7" w:tentative="0">
      <w:start w:val="1"/>
      <w:numFmt w:val="none"/>
      <w:suff w:val="nothing"/>
      <w:lvlText w:val=""/>
      <w:lvlJc w:val="left"/>
      <w:pPr>
        <w:ind w:left="328" w:firstLine="0"/>
      </w:pPr>
      <w:rPr>
        <w:rFonts w:hint="eastAsia"/>
      </w:rPr>
    </w:lvl>
    <w:lvl w:ilvl="8" w:tentative="0">
      <w:start w:val="1"/>
      <w:numFmt w:val="none"/>
      <w:suff w:val="nothing"/>
      <w:lvlText w:val=""/>
      <w:lvlJc w:val="left"/>
      <w:pPr>
        <w:ind w:left="328" w:firstLine="0"/>
      </w:pPr>
      <w:rPr>
        <w:rFonts w:hint="eastAsia"/>
      </w:rPr>
    </w:lvl>
  </w:abstractNum>
  <w:abstractNum w:abstractNumId="4">
    <w:nsid w:val="0AB85AC2"/>
    <w:multiLevelType w:val="multilevel"/>
    <w:tmpl w:val="0AB85AC2"/>
    <w:lvl w:ilvl="0" w:tentative="0">
      <w:start w:val="1"/>
      <w:numFmt w:val="decimal"/>
      <w:pStyle w:val="1630"/>
      <w:lvlText w:val="第%1章"/>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AC35EFE"/>
    <w:multiLevelType w:val="multilevel"/>
    <w:tmpl w:val="1AC35EF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C4A7677"/>
    <w:multiLevelType w:val="multilevel"/>
    <w:tmpl w:val="1C4A7677"/>
    <w:lvl w:ilvl="0" w:tentative="0">
      <w:start w:val="1"/>
      <w:numFmt w:val="decimal"/>
      <w:pStyle w:val="1866"/>
      <w:lvlText w:val="%1"/>
      <w:lvlJc w:val="left"/>
      <w:pPr>
        <w:tabs>
          <w:tab w:val="left" w:pos="567"/>
        </w:tabs>
        <w:ind w:left="0" w:firstLine="0"/>
      </w:pPr>
      <w:rPr>
        <w:rFonts w:hint="eastAsia"/>
      </w:rPr>
    </w:lvl>
    <w:lvl w:ilvl="1" w:tentative="0">
      <w:start w:val="1"/>
      <w:numFmt w:val="decimal"/>
      <w:lvlText w:val="%1.%2"/>
      <w:lvlJc w:val="left"/>
      <w:pPr>
        <w:tabs>
          <w:tab w:val="left" w:pos="1145"/>
        </w:tabs>
        <w:ind w:left="720" w:firstLine="0"/>
      </w:pPr>
      <w:rPr>
        <w:rFonts w:hint="default" w:ascii="Arial" w:hAnsi="Arial"/>
      </w:rPr>
    </w:lvl>
    <w:lvl w:ilvl="2" w:tentative="0">
      <w:start w:val="1"/>
      <w:numFmt w:val="decimal"/>
      <w:lvlText w:val="%1.%2.%3"/>
      <w:lvlJc w:val="left"/>
      <w:pPr>
        <w:tabs>
          <w:tab w:val="left" w:pos="425"/>
        </w:tabs>
        <w:ind w:left="0" w:firstLine="0"/>
      </w:pPr>
      <w:rPr>
        <w:rFonts w:hint="default" w:ascii="Arial" w:hAnsi="Arial"/>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1F483702"/>
    <w:multiLevelType w:val="multilevel"/>
    <w:tmpl w:val="1F483702"/>
    <w:lvl w:ilvl="0" w:tentative="0">
      <w:start w:val="1"/>
      <w:numFmt w:val="decimal"/>
      <w:pStyle w:val="1909"/>
      <w:lvlText w:val="(%1)"/>
      <w:lvlJc w:val="left"/>
      <w:pPr>
        <w:tabs>
          <w:tab w:val="left" w:pos="0"/>
        </w:tabs>
        <w:ind w:left="0" w:firstLine="482"/>
      </w:pPr>
      <w:rPr>
        <w:rFonts w:hint="eastAsia"/>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00920F7"/>
    <w:multiLevelType w:val="multilevel"/>
    <w:tmpl w:val="200920F7"/>
    <w:lvl w:ilvl="0" w:tentative="0">
      <w:start w:val="1"/>
      <w:numFmt w:val="decimal"/>
      <w:suff w:val="space"/>
      <w:lvlText w:val="第%1章"/>
      <w:lvlJc w:val="left"/>
      <w:pPr>
        <w:ind w:left="0" w:firstLine="0"/>
      </w:pPr>
      <w:rPr>
        <w:rFonts w:hint="default" w:ascii="Times New Roman" w:hAnsi="Times New Roman"/>
      </w:rPr>
    </w:lvl>
    <w:lvl w:ilvl="1" w:tentative="0">
      <w:start w:val="1"/>
      <w:numFmt w:val="decimal"/>
      <w:pStyle w:val="1843"/>
      <w:lvlText w:val=".%2%1"/>
      <w:lvlJc w:val="left"/>
      <w:pPr>
        <w:tabs>
          <w:tab w:val="left" w:pos="560"/>
        </w:tabs>
        <w:ind w:left="135" w:firstLine="0"/>
      </w:pPr>
      <w:rPr>
        <w:rFonts w:hint="default" w:ascii="Times New Roman" w:hAnsi="Times New Roman"/>
      </w:rPr>
    </w:lvl>
    <w:lvl w:ilvl="2" w:tentative="0">
      <w:start w:val="1"/>
      <w:numFmt w:val="decimal"/>
      <w:suff w:val="nothing"/>
      <w:lvlText w:val="%1.%2.%3"/>
      <w:lvlJc w:val="left"/>
      <w:pPr>
        <w:ind w:left="0" w:firstLine="0"/>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29487A91"/>
    <w:multiLevelType w:val="multilevel"/>
    <w:tmpl w:val="29487A91"/>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A1B1AE8"/>
    <w:multiLevelType w:val="multilevel"/>
    <w:tmpl w:val="2A1B1AE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20F13A2"/>
    <w:multiLevelType w:val="multilevel"/>
    <w:tmpl w:val="320F13A2"/>
    <w:lvl w:ilvl="0" w:tentative="0">
      <w:start w:val="1"/>
      <w:numFmt w:val="decimal"/>
      <w:pStyle w:val="1849"/>
      <w:lvlText w:val="(%1)"/>
      <w:lvlJc w:val="left"/>
      <w:pPr>
        <w:ind w:left="0" w:firstLine="426"/>
      </w:pPr>
      <w:rPr>
        <w:rFonts w:hint="default" w:ascii="Times New Roman" w:hAnsi="Times New Roman" w:eastAsia="宋体"/>
        <w:b/>
        <w:i w:val="0"/>
        <w:color w:val="auto"/>
        <w:sz w:val="24"/>
        <w:vertAlign w:val="baseline"/>
      </w:rPr>
    </w:lvl>
    <w:lvl w:ilvl="1" w:tentative="0">
      <w:start w:val="1"/>
      <w:numFmt w:val="lowerLetter"/>
      <w:lvlText w:val="%2)"/>
      <w:lvlJc w:val="left"/>
      <w:pPr>
        <w:ind w:left="1288" w:hanging="420"/>
      </w:pPr>
      <w:rPr>
        <w:rFonts w:hint="eastAsia"/>
      </w:rPr>
    </w:lvl>
    <w:lvl w:ilvl="2" w:tentative="0">
      <w:start w:val="1"/>
      <w:numFmt w:val="lowerRoman"/>
      <w:lvlText w:val="%3."/>
      <w:lvlJc w:val="right"/>
      <w:pPr>
        <w:ind w:left="1708" w:hanging="420"/>
      </w:pPr>
      <w:rPr>
        <w:rFonts w:hint="eastAsia"/>
      </w:rPr>
    </w:lvl>
    <w:lvl w:ilvl="3" w:tentative="0">
      <w:start w:val="1"/>
      <w:numFmt w:val="decimal"/>
      <w:lvlText w:val="%4."/>
      <w:lvlJc w:val="left"/>
      <w:pPr>
        <w:ind w:left="2128" w:hanging="420"/>
      </w:pPr>
      <w:rPr>
        <w:rFonts w:hint="eastAsia"/>
      </w:rPr>
    </w:lvl>
    <w:lvl w:ilvl="4" w:tentative="0">
      <w:start w:val="1"/>
      <w:numFmt w:val="lowerLetter"/>
      <w:lvlText w:val="%5)"/>
      <w:lvlJc w:val="left"/>
      <w:pPr>
        <w:ind w:left="2548" w:hanging="420"/>
      </w:pPr>
      <w:rPr>
        <w:rFonts w:hint="eastAsia"/>
      </w:rPr>
    </w:lvl>
    <w:lvl w:ilvl="5" w:tentative="0">
      <w:start w:val="1"/>
      <w:numFmt w:val="lowerRoman"/>
      <w:lvlText w:val="%6."/>
      <w:lvlJc w:val="right"/>
      <w:pPr>
        <w:ind w:left="2968" w:hanging="420"/>
      </w:pPr>
      <w:rPr>
        <w:rFonts w:hint="eastAsia"/>
      </w:rPr>
    </w:lvl>
    <w:lvl w:ilvl="6" w:tentative="0">
      <w:start w:val="1"/>
      <w:numFmt w:val="decimal"/>
      <w:lvlText w:val="%7."/>
      <w:lvlJc w:val="left"/>
      <w:pPr>
        <w:ind w:left="3388" w:hanging="420"/>
      </w:pPr>
      <w:rPr>
        <w:rFonts w:hint="eastAsia"/>
      </w:rPr>
    </w:lvl>
    <w:lvl w:ilvl="7" w:tentative="0">
      <w:start w:val="1"/>
      <w:numFmt w:val="lowerLetter"/>
      <w:lvlText w:val="%8)"/>
      <w:lvlJc w:val="left"/>
      <w:pPr>
        <w:ind w:left="3808" w:hanging="420"/>
      </w:pPr>
      <w:rPr>
        <w:rFonts w:hint="eastAsia"/>
      </w:rPr>
    </w:lvl>
    <w:lvl w:ilvl="8" w:tentative="0">
      <w:start w:val="1"/>
      <w:numFmt w:val="lowerRoman"/>
      <w:lvlText w:val="%9."/>
      <w:lvlJc w:val="right"/>
      <w:pPr>
        <w:ind w:left="4228" w:hanging="420"/>
      </w:pPr>
      <w:rPr>
        <w:rFonts w:hint="eastAsia"/>
      </w:rPr>
    </w:lvl>
  </w:abstractNum>
  <w:abstractNum w:abstractNumId="12">
    <w:nsid w:val="32E81CE7"/>
    <w:multiLevelType w:val="multilevel"/>
    <w:tmpl w:val="32E81CE7"/>
    <w:lvl w:ilvl="0" w:tentative="0">
      <w:start w:val="1"/>
      <w:numFmt w:val="decimal"/>
      <w:lvlText w:val="（%1）"/>
      <w:lvlJc w:val="left"/>
      <w:pPr>
        <w:tabs>
          <w:tab w:val="left" w:pos="1209"/>
        </w:tabs>
        <w:ind w:left="1209" w:hanging="720"/>
      </w:pPr>
      <w:rPr>
        <w:rFonts w:hint="default"/>
      </w:rPr>
    </w:lvl>
    <w:lvl w:ilvl="1" w:tentative="0">
      <w:start w:val="1"/>
      <w:numFmt w:val="lowerLetter"/>
      <w:lvlText w:val="%2)"/>
      <w:lvlJc w:val="left"/>
      <w:pPr>
        <w:tabs>
          <w:tab w:val="left" w:pos="1329"/>
        </w:tabs>
        <w:ind w:left="1329" w:hanging="420"/>
      </w:pPr>
    </w:lvl>
    <w:lvl w:ilvl="2" w:tentative="0">
      <w:start w:val="1"/>
      <w:numFmt w:val="lowerRoman"/>
      <w:lvlText w:val="%3."/>
      <w:lvlJc w:val="right"/>
      <w:pPr>
        <w:tabs>
          <w:tab w:val="left" w:pos="1749"/>
        </w:tabs>
        <w:ind w:left="1749" w:hanging="420"/>
      </w:pPr>
    </w:lvl>
    <w:lvl w:ilvl="3" w:tentative="0">
      <w:start w:val="1"/>
      <w:numFmt w:val="decimal"/>
      <w:pStyle w:val="829"/>
      <w:lvlText w:val="%4."/>
      <w:lvlJc w:val="left"/>
      <w:pPr>
        <w:tabs>
          <w:tab w:val="left" w:pos="2169"/>
        </w:tabs>
        <w:ind w:left="2169" w:hanging="420"/>
      </w:pPr>
    </w:lvl>
    <w:lvl w:ilvl="4" w:tentative="0">
      <w:start w:val="1"/>
      <w:numFmt w:val="lowerLetter"/>
      <w:lvlText w:val="%5)"/>
      <w:lvlJc w:val="left"/>
      <w:pPr>
        <w:tabs>
          <w:tab w:val="left" w:pos="2589"/>
        </w:tabs>
        <w:ind w:left="2589" w:hanging="420"/>
      </w:pPr>
    </w:lvl>
    <w:lvl w:ilvl="5" w:tentative="0">
      <w:start w:val="1"/>
      <w:numFmt w:val="lowerRoman"/>
      <w:lvlText w:val="%6."/>
      <w:lvlJc w:val="right"/>
      <w:pPr>
        <w:tabs>
          <w:tab w:val="left" w:pos="3009"/>
        </w:tabs>
        <w:ind w:left="3009" w:hanging="420"/>
      </w:pPr>
    </w:lvl>
    <w:lvl w:ilvl="6" w:tentative="0">
      <w:start w:val="1"/>
      <w:numFmt w:val="decimal"/>
      <w:lvlText w:val="%7."/>
      <w:lvlJc w:val="left"/>
      <w:pPr>
        <w:tabs>
          <w:tab w:val="left" w:pos="3429"/>
        </w:tabs>
        <w:ind w:left="3429" w:hanging="420"/>
      </w:pPr>
    </w:lvl>
    <w:lvl w:ilvl="7" w:tentative="0">
      <w:start w:val="1"/>
      <w:numFmt w:val="lowerLetter"/>
      <w:lvlText w:val="%8)"/>
      <w:lvlJc w:val="left"/>
      <w:pPr>
        <w:tabs>
          <w:tab w:val="left" w:pos="3849"/>
        </w:tabs>
        <w:ind w:left="3849" w:hanging="420"/>
      </w:pPr>
    </w:lvl>
    <w:lvl w:ilvl="8" w:tentative="0">
      <w:start w:val="1"/>
      <w:numFmt w:val="lowerRoman"/>
      <w:lvlText w:val="%9."/>
      <w:lvlJc w:val="right"/>
      <w:pPr>
        <w:tabs>
          <w:tab w:val="left" w:pos="4269"/>
        </w:tabs>
        <w:ind w:left="4269" w:hanging="420"/>
      </w:pPr>
    </w:lvl>
  </w:abstractNum>
  <w:abstractNum w:abstractNumId="13">
    <w:nsid w:val="3462465F"/>
    <w:multiLevelType w:val="multilevel"/>
    <w:tmpl w:val="3462465F"/>
    <w:lvl w:ilvl="0" w:tentative="0">
      <w:start w:val="1"/>
      <w:numFmt w:val="decimal"/>
      <w:pStyle w:val="1871"/>
      <w:lvlText w:val="(%1)"/>
      <w:lvlJc w:val="left"/>
      <w:pPr>
        <w:tabs>
          <w:tab w:val="left" w:pos="567"/>
        </w:tabs>
        <w:ind w:left="0" w:firstLine="0"/>
      </w:pPr>
      <w:rPr>
        <w:rFonts w:hint="default" w:ascii="Arial" w:hAnsi="Arial"/>
      </w:rPr>
    </w:lvl>
    <w:lvl w:ilvl="1" w:tentative="0">
      <w:start w:val="1"/>
      <w:numFmt w:val="decimal"/>
      <w:lvlText w:val="%1.%2"/>
      <w:lvlJc w:val="left"/>
      <w:pPr>
        <w:tabs>
          <w:tab w:val="left" w:pos="425"/>
        </w:tabs>
        <w:ind w:left="0" w:firstLine="0"/>
      </w:pPr>
      <w:rPr>
        <w:rFonts w:hint="default" w:ascii="Arial" w:hAnsi="Arial"/>
      </w:rPr>
    </w:lvl>
    <w:lvl w:ilvl="2" w:tentative="0">
      <w:start w:val="1"/>
      <w:numFmt w:val="decimal"/>
      <w:lvlText w:val="%1.%2.%3"/>
      <w:lvlJc w:val="left"/>
      <w:pPr>
        <w:tabs>
          <w:tab w:val="left" w:pos="425"/>
        </w:tabs>
        <w:ind w:left="0" w:firstLine="0"/>
      </w:pPr>
      <w:rPr>
        <w:rFonts w:hint="default" w:ascii="Arial" w:hAnsi="Arial"/>
      </w:rPr>
    </w:lvl>
    <w:lvl w:ilvl="3" w:tentative="0">
      <w:start w:val="1"/>
      <w:numFmt w:val="decimal"/>
      <w:suff w:val="nothing"/>
      <w:lvlText w:val="%1.%2.%3.%4"/>
      <w:lvlJc w:val="left"/>
      <w:pPr>
        <w:ind w:left="851" w:hanging="851"/>
      </w:pPr>
      <w:rPr>
        <w:rFonts w:hint="default"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4%1.%2.%3..%5.%6.%7.%8.%9."/>
      <w:lvlJc w:val="left"/>
      <w:pPr>
        <w:tabs>
          <w:tab w:val="left" w:pos="1559"/>
        </w:tabs>
        <w:ind w:left="1559" w:hanging="1559"/>
      </w:pPr>
      <w:rPr>
        <w:rFonts w:hint="eastAsia"/>
      </w:rPr>
    </w:lvl>
  </w:abstractNum>
  <w:abstractNum w:abstractNumId="14">
    <w:nsid w:val="413252C7"/>
    <w:multiLevelType w:val="multilevel"/>
    <w:tmpl w:val="413252C7"/>
    <w:lvl w:ilvl="0" w:tentative="0">
      <w:start w:val="1"/>
      <w:numFmt w:val="decimal"/>
      <w:lvlText w:val="%1"/>
      <w:lvlJc w:val="left"/>
      <w:pPr>
        <w:tabs>
          <w:tab w:val="left" w:pos="567"/>
        </w:tabs>
        <w:ind w:left="0" w:firstLine="0"/>
      </w:pPr>
      <w:rPr>
        <w:rFonts w:hint="eastAsia"/>
      </w:rPr>
    </w:lvl>
    <w:lvl w:ilvl="1" w:tentative="0">
      <w:start w:val="1"/>
      <w:numFmt w:val="decimal"/>
      <w:pStyle w:val="1865"/>
      <w:lvlText w:val="%1.%2"/>
      <w:lvlJc w:val="left"/>
      <w:pPr>
        <w:tabs>
          <w:tab w:val="left" w:pos="425"/>
        </w:tabs>
        <w:ind w:left="0" w:firstLine="0"/>
      </w:pPr>
      <w:rPr>
        <w:rFonts w:hint="default" w:ascii="Arial" w:hAnsi="Arial"/>
      </w:rPr>
    </w:lvl>
    <w:lvl w:ilvl="2" w:tentative="0">
      <w:start w:val="1"/>
      <w:numFmt w:val="decimal"/>
      <w:lvlText w:val="%1.%2.%3"/>
      <w:lvlJc w:val="left"/>
      <w:pPr>
        <w:tabs>
          <w:tab w:val="left" w:pos="425"/>
        </w:tabs>
        <w:ind w:left="0" w:firstLine="0"/>
      </w:pPr>
      <w:rPr>
        <w:rFonts w:hint="default" w:ascii="Arial" w:hAnsi="Arial"/>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47F67E54"/>
    <w:multiLevelType w:val="multilevel"/>
    <w:tmpl w:val="47F67E54"/>
    <w:lvl w:ilvl="0" w:tentative="0">
      <w:start w:val="1"/>
      <w:numFmt w:val="decimal"/>
      <w:lvlText w:val="%1"/>
      <w:lvlJc w:val="left"/>
      <w:pPr>
        <w:tabs>
          <w:tab w:val="left" w:pos="0"/>
        </w:tabs>
        <w:ind w:left="0" w:firstLine="0"/>
      </w:pPr>
      <w:rPr>
        <w:rFonts w:hint="eastAsia" w:eastAsia="仿宋"/>
      </w:rPr>
    </w:lvl>
    <w:lvl w:ilvl="1" w:tentative="0">
      <w:start w:val="1"/>
      <w:numFmt w:val="decimal"/>
      <w:lvlText w:val="表%1-%2 "/>
      <w:lvlJc w:val="left"/>
      <w:pPr>
        <w:tabs>
          <w:tab w:val="left" w:pos="729"/>
        </w:tabs>
        <w:ind w:left="729" w:hanging="567"/>
      </w:pPr>
      <w:rPr>
        <w:rFonts w:hint="eastAsia"/>
      </w:rPr>
    </w:lvl>
    <w:lvl w:ilvl="2" w:tentative="0">
      <w:start w:val="1"/>
      <w:numFmt w:val="decimal"/>
      <w:lvlText w:val="%1.%2.%3 "/>
      <w:lvlJc w:val="left"/>
      <w:pPr>
        <w:tabs>
          <w:tab w:val="left" w:pos="1287"/>
        </w:tabs>
        <w:ind w:left="916" w:hanging="709"/>
      </w:pPr>
      <w:rPr>
        <w:rFonts w:hint="eastAsia"/>
        <w:b/>
        <w:i w:val="0"/>
      </w:rPr>
    </w:lvl>
    <w:lvl w:ilvl="3" w:tentative="0">
      <w:start w:val="1"/>
      <w:numFmt w:val="decimal"/>
      <w:lvlRestart w:val="1"/>
      <w:pStyle w:val="1830"/>
      <w:lvlText w:val="表%1-%4"/>
      <w:lvlJc w:val="center"/>
      <w:pPr>
        <w:tabs>
          <w:tab w:val="left" w:pos="2918"/>
        </w:tabs>
        <w:ind w:left="2918" w:hanging="563"/>
      </w:pPr>
      <w:rPr>
        <w:rFonts w:hint="eastAsia" w:ascii="仿宋_GB2312" w:eastAsia="仿宋_GB2312"/>
        <w:b/>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4F3D2E64"/>
    <w:multiLevelType w:val="multilevel"/>
    <w:tmpl w:val="4F3D2E64"/>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856"/>
      <w:lvlText w:val="%1.%2.%3"/>
      <w:lvlJc w:val="left"/>
      <w:pPr>
        <w:tabs>
          <w:tab w:val="left" w:pos="0"/>
        </w:tabs>
        <w:ind w:left="0" w:firstLine="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514C0A7A"/>
    <w:multiLevelType w:val="multilevel"/>
    <w:tmpl w:val="514C0A7A"/>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620A5FD"/>
    <w:multiLevelType w:val="multilevel"/>
    <w:tmpl w:val="5620A5FD"/>
    <w:lvl w:ilvl="0" w:tentative="0">
      <w:start w:val="1"/>
      <w:numFmt w:val="decimal"/>
      <w:lvlText w:val="第%1章  "/>
      <w:lvlJc w:val="left"/>
      <w:pPr>
        <w:tabs>
          <w:tab w:val="left" w:pos="3450"/>
        </w:tabs>
        <w:ind w:left="2795" w:hanging="425"/>
      </w:pPr>
      <w:rPr>
        <w:rFonts w:hint="eastAsia"/>
      </w:rPr>
    </w:lvl>
    <w:lvl w:ilvl="1" w:tentative="0">
      <w:start w:val="1"/>
      <w:numFmt w:val="decimal"/>
      <w:lvlText w:val="%1.%2 "/>
      <w:lvlJc w:val="left"/>
      <w:pPr>
        <w:tabs>
          <w:tab w:val="left" w:pos="567"/>
        </w:tabs>
        <w:ind w:left="567" w:hanging="567"/>
      </w:pPr>
      <w:rPr>
        <w:rFonts w:hint="eastAsia"/>
        <w:b w:val="0"/>
      </w:rPr>
    </w:lvl>
    <w:lvl w:ilvl="2" w:tentative="0">
      <w:start w:val="1"/>
      <w:numFmt w:val="decimal"/>
      <w:lvlText w:val="%1.%2.%3 "/>
      <w:lvlJc w:val="left"/>
      <w:pPr>
        <w:tabs>
          <w:tab w:val="left" w:pos="1080"/>
        </w:tabs>
        <w:ind w:left="709" w:hanging="709"/>
      </w:pPr>
      <w:rPr>
        <w:rFonts w:hint="eastAsia" w:ascii="仿宋_GB2312" w:eastAsia="仿宋_GB2312"/>
        <w:b/>
        <w:i w:val="0"/>
      </w:rPr>
    </w:lvl>
    <w:lvl w:ilvl="3" w:tentative="0">
      <w:start w:val="1"/>
      <w:numFmt w:val="decimal"/>
      <w:lvlRestart w:val="1"/>
      <w:lvlText w:val="表%1-%4"/>
      <w:lvlJc w:val="center"/>
      <w:pPr>
        <w:tabs>
          <w:tab w:val="left" w:pos="2418"/>
        </w:tabs>
        <w:ind w:left="2418" w:hanging="563"/>
      </w:pPr>
      <w:rPr>
        <w:rFonts w:hint="eastAsia" w:ascii="仿宋_GB2312" w:eastAsia="仿宋_GB2312"/>
        <w:b/>
        <w:i w:val="0"/>
        <w:color w:val="auto"/>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5A6C3802"/>
    <w:multiLevelType w:val="multilevel"/>
    <w:tmpl w:val="5A6C3802"/>
    <w:lvl w:ilvl="0" w:tentative="0">
      <w:start w:val="13"/>
      <w:numFmt w:val="decimal"/>
      <w:pStyle w:val="1308"/>
      <w:lvlText w:val="%1."/>
      <w:lvlJc w:val="left"/>
      <w:pPr>
        <w:tabs>
          <w:tab w:val="left" w:pos="0"/>
        </w:tabs>
        <w:ind w:left="425" w:hanging="425"/>
      </w:pPr>
      <w:rPr>
        <w:rFonts w:hint="eastAsia" w:ascii="Times New Roman" w:hAnsi="Times New Roman" w:eastAsia="宋体" w:cs="Times New Roman"/>
      </w:rPr>
    </w:lvl>
    <w:lvl w:ilvl="1" w:tentative="0">
      <w:start w:val="1"/>
      <w:numFmt w:val="decimal"/>
      <w:pStyle w:val="1309"/>
      <w:lvlText w:val="%1.%2."/>
      <w:lvlJc w:val="left"/>
      <w:pPr>
        <w:tabs>
          <w:tab w:val="left" w:pos="0"/>
        </w:tabs>
        <w:ind w:left="567" w:hanging="567"/>
      </w:pPr>
      <w:rPr>
        <w:rFonts w:hint="eastAsia"/>
      </w:rPr>
    </w:lvl>
    <w:lvl w:ilvl="2" w:tentative="0">
      <w:start w:val="1"/>
      <w:numFmt w:val="decimal"/>
      <w:pStyle w:val="1310"/>
      <w:lvlText w:val="%1.%2.%3."/>
      <w:lvlJc w:val="left"/>
      <w:pPr>
        <w:tabs>
          <w:tab w:val="left" w:pos="0"/>
        </w:tabs>
        <w:ind w:left="709" w:hanging="709"/>
      </w:pPr>
      <w:rPr>
        <w:rFonts w:hint="eastAsia"/>
      </w:rPr>
    </w:lvl>
    <w:lvl w:ilvl="3" w:tentative="0">
      <w:start w:val="1"/>
      <w:numFmt w:val="decimal"/>
      <w:pStyle w:val="1311"/>
      <w:lvlText w:val="%1.%2.%3.%4."/>
      <w:lvlJc w:val="left"/>
      <w:pPr>
        <w:tabs>
          <w:tab w:val="left" w:pos="0"/>
        </w:tabs>
        <w:ind w:left="851" w:hanging="851"/>
      </w:pPr>
      <w:rPr>
        <w:rFonts w:hint="eastAsia"/>
      </w:rPr>
    </w:lvl>
    <w:lvl w:ilvl="4" w:tentative="0">
      <w:start w:val="1"/>
      <w:numFmt w:val="decimal"/>
      <w:lvlText w:val="%1.%2.%3.%4.%5."/>
      <w:lvlJc w:val="left"/>
      <w:pPr>
        <w:tabs>
          <w:tab w:val="left" w:pos="0"/>
        </w:tabs>
        <w:ind w:left="992" w:hanging="992"/>
      </w:pPr>
      <w:rPr>
        <w:rFonts w:hint="eastAsia"/>
      </w:rPr>
    </w:lvl>
    <w:lvl w:ilvl="5" w:tentative="0">
      <w:start w:val="1"/>
      <w:numFmt w:val="decimal"/>
      <w:lvlText w:val="%1.%2.%3.%4.%5.%6."/>
      <w:lvlJc w:val="left"/>
      <w:pPr>
        <w:tabs>
          <w:tab w:val="left" w:pos="0"/>
        </w:tabs>
        <w:ind w:left="1134" w:hanging="1134"/>
      </w:pPr>
      <w:rPr>
        <w:rFonts w:hint="eastAsia"/>
      </w:rPr>
    </w:lvl>
    <w:lvl w:ilvl="6" w:tentative="0">
      <w:start w:val="1"/>
      <w:numFmt w:val="decimal"/>
      <w:lvlText w:val="%1.%2.%3.%4.%5.%6.%7."/>
      <w:lvlJc w:val="left"/>
      <w:pPr>
        <w:tabs>
          <w:tab w:val="left" w:pos="0"/>
        </w:tabs>
        <w:ind w:left="1276" w:hanging="1276"/>
      </w:pPr>
      <w:rPr>
        <w:rFonts w:hint="eastAsia"/>
      </w:rPr>
    </w:lvl>
    <w:lvl w:ilvl="7" w:tentative="0">
      <w:start w:val="1"/>
      <w:numFmt w:val="decimal"/>
      <w:lvlText w:val="%1.%2.%3.%4.%5.%6.%7.%8."/>
      <w:lvlJc w:val="left"/>
      <w:pPr>
        <w:tabs>
          <w:tab w:val="left" w:pos="0"/>
        </w:tabs>
        <w:ind w:left="1418" w:hanging="1418"/>
      </w:pPr>
      <w:rPr>
        <w:rFonts w:hint="eastAsia"/>
      </w:rPr>
    </w:lvl>
    <w:lvl w:ilvl="8" w:tentative="0">
      <w:start w:val="1"/>
      <w:numFmt w:val="decimal"/>
      <w:lvlText w:val="%1.%2.%3.%4.%5.%6.%7.%8.%9."/>
      <w:lvlJc w:val="left"/>
      <w:pPr>
        <w:tabs>
          <w:tab w:val="left" w:pos="0"/>
        </w:tabs>
        <w:ind w:left="1559" w:hanging="1559"/>
      </w:pPr>
      <w:rPr>
        <w:rFonts w:hint="eastAsia"/>
      </w:rPr>
    </w:lvl>
  </w:abstractNum>
  <w:abstractNum w:abstractNumId="20">
    <w:nsid w:val="650F2A9E"/>
    <w:multiLevelType w:val="multilevel"/>
    <w:tmpl w:val="650F2A9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531458E"/>
    <w:multiLevelType w:val="multilevel"/>
    <w:tmpl w:val="6531458E"/>
    <w:lvl w:ilvl="0" w:tentative="0">
      <w:start w:val="1"/>
      <w:numFmt w:val="decimal"/>
      <w:lvlText w:val="第%1章  "/>
      <w:lvlJc w:val="left"/>
      <w:pPr>
        <w:tabs>
          <w:tab w:val="left" w:pos="1080"/>
        </w:tabs>
        <w:ind w:left="425" w:hanging="425"/>
      </w:pPr>
      <w:rPr>
        <w:rFonts w:hint="eastAsia"/>
      </w:rPr>
    </w:lvl>
    <w:lvl w:ilvl="1" w:tentative="0">
      <w:start w:val="1"/>
      <w:numFmt w:val="decimal"/>
      <w:pStyle w:val="3"/>
      <w:lvlText w:val="%1.%2 "/>
      <w:lvlJc w:val="left"/>
      <w:pPr>
        <w:tabs>
          <w:tab w:val="left" w:pos="567"/>
        </w:tabs>
        <w:ind w:left="567" w:hanging="567"/>
      </w:pPr>
      <w:rPr>
        <w:rFonts w:hint="eastAsia" w:ascii="黑体" w:eastAsia="黑体"/>
        <w:b w:val="0"/>
        <w:sz w:val="28"/>
        <w:szCs w:val="28"/>
      </w:rPr>
    </w:lvl>
    <w:lvl w:ilvl="2" w:tentative="0">
      <w:start w:val="1"/>
      <w:numFmt w:val="decimal"/>
      <w:pStyle w:val="5"/>
      <w:lvlText w:val="%1.%2.%3 "/>
      <w:lvlJc w:val="left"/>
      <w:pPr>
        <w:tabs>
          <w:tab w:val="left" w:pos="1080"/>
        </w:tabs>
        <w:ind w:left="709" w:hanging="709"/>
      </w:pPr>
      <w:rPr>
        <w:rFonts w:hint="eastAsia" w:ascii="仿宋_GB2312" w:eastAsia="仿宋_GB2312"/>
        <w:b/>
        <w:i w:val="0"/>
      </w:rPr>
    </w:lvl>
    <w:lvl w:ilvl="3" w:tentative="0">
      <w:start w:val="1"/>
      <w:numFmt w:val="decimal"/>
      <w:lvlRestart w:val="1"/>
      <w:pStyle w:val="6"/>
      <w:lvlText w:val="表%1-%4"/>
      <w:lvlJc w:val="center"/>
      <w:pPr>
        <w:tabs>
          <w:tab w:val="left" w:pos="1840"/>
        </w:tabs>
        <w:ind w:left="1840" w:hanging="563"/>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6E1B4249"/>
    <w:multiLevelType w:val="multilevel"/>
    <w:tmpl w:val="6E1B4249"/>
    <w:lvl w:ilvl="0" w:tentative="0">
      <w:start w:val="1"/>
      <w:numFmt w:val="decimal"/>
      <w:pStyle w:val="1246"/>
      <w:lvlText w:val="%1)"/>
      <w:lvlJc w:val="left"/>
      <w:pPr>
        <w:tabs>
          <w:tab w:val="left" w:pos="646"/>
        </w:tabs>
        <w:ind w:left="646" w:hanging="419"/>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00C3FDF"/>
    <w:multiLevelType w:val="multilevel"/>
    <w:tmpl w:val="700C3FDF"/>
    <w:lvl w:ilvl="0" w:tentative="0">
      <w:start w:val="1"/>
      <w:numFmt w:val="decimal"/>
      <w:suff w:val="space"/>
      <w:lvlText w:val="第%1章"/>
      <w:lvlJc w:val="left"/>
      <w:pPr>
        <w:ind w:left="0" w:firstLine="0"/>
      </w:pPr>
      <w:rPr>
        <w:rFonts w:hint="default" w:ascii="Times New Roman" w:hAnsi="Times New Roman"/>
      </w:rPr>
    </w:lvl>
    <w:lvl w:ilvl="1" w:tentative="0">
      <w:start w:val="1"/>
      <w:numFmt w:val="decimal"/>
      <w:lvlText w:val="%1.%2"/>
      <w:lvlJc w:val="left"/>
      <w:pPr>
        <w:tabs>
          <w:tab w:val="left" w:pos="425"/>
        </w:tabs>
        <w:ind w:left="0" w:firstLine="0"/>
      </w:pPr>
      <w:rPr>
        <w:rFonts w:hint="default" w:ascii="Times New Roman" w:hAnsi="Times New Roman"/>
      </w:rPr>
    </w:lvl>
    <w:lvl w:ilvl="2" w:tentative="0">
      <w:start w:val="1"/>
      <w:numFmt w:val="decimal"/>
      <w:suff w:val="nothing"/>
      <w:lvlText w:val="%1.%2.%3"/>
      <w:lvlJc w:val="left"/>
      <w:pPr>
        <w:ind w:left="0" w:firstLine="0"/>
      </w:pPr>
      <w:rPr>
        <w:rFonts w:hint="default" w:ascii="Times New Roman" w:hAnsi="Times New Roman"/>
      </w:rPr>
    </w:lvl>
    <w:lvl w:ilvl="3" w:tentative="0">
      <w:start w:val="1"/>
      <w:numFmt w:val="decimal"/>
      <w:pStyle w:val="1836"/>
      <w:suff w:val="nothing"/>
      <w:lvlText w:val="%1.%2.%3.%4"/>
      <w:lvlJc w:val="left"/>
      <w:pPr>
        <w:ind w:left="851" w:hanging="851"/>
      </w:pPr>
      <w:rPr>
        <w:rFonts w:hint="default" w:ascii="Times New Roman" w:hAnsi="Times New Roma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4">
    <w:nsid w:val="71575A67"/>
    <w:multiLevelType w:val="multilevel"/>
    <w:tmpl w:val="71575A6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4814A8A"/>
    <w:multiLevelType w:val="multilevel"/>
    <w:tmpl w:val="74814A8A"/>
    <w:lvl w:ilvl="0" w:tentative="0">
      <w:start w:val="1"/>
      <w:numFmt w:val="decimalEnclosedParen"/>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797724F0"/>
    <w:multiLevelType w:val="multilevel"/>
    <w:tmpl w:val="797724F0"/>
    <w:lvl w:ilvl="0" w:tentative="0">
      <w:start w:val="1"/>
      <w:numFmt w:val="decimal"/>
      <w:pStyle w:val="1936"/>
      <w:lvlText w:val="%1"/>
      <w:lvlJc w:val="center"/>
      <w:pPr>
        <w:ind w:left="420" w:hanging="250"/>
      </w:pPr>
      <w:rPr>
        <w:rFonts w:hint="eastAsia"/>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7">
    <w:nsid w:val="7DB02DB1"/>
    <w:multiLevelType w:val="multilevel"/>
    <w:tmpl w:val="7DB02DB1"/>
    <w:lvl w:ilvl="0" w:tentative="0">
      <w:start w:val="1"/>
      <w:numFmt w:val="decimal"/>
      <w:pStyle w:val="1834"/>
      <w:suff w:val="space"/>
      <w:lvlText w:val="第%1章"/>
      <w:lvlJc w:val="left"/>
      <w:pPr>
        <w:ind w:left="0" w:firstLine="0"/>
      </w:pPr>
      <w:rPr>
        <w:rFonts w:hint="default" w:ascii="Times New Roman" w:hAnsi="Times New Roman"/>
      </w:rPr>
    </w:lvl>
    <w:lvl w:ilvl="1" w:tentative="0">
      <w:start w:val="1"/>
      <w:numFmt w:val="decimal"/>
      <w:pStyle w:val="1829"/>
      <w:lvlText w:val="%1.%2"/>
      <w:lvlJc w:val="left"/>
      <w:pPr>
        <w:tabs>
          <w:tab w:val="left" w:pos="425"/>
        </w:tabs>
        <w:ind w:left="0" w:firstLine="0"/>
      </w:pPr>
      <w:rPr>
        <w:rFonts w:hint="default" w:ascii="Times New Roman" w:hAnsi="Times New Roman"/>
      </w:rPr>
    </w:lvl>
    <w:lvl w:ilvl="2" w:tentative="0">
      <w:start w:val="1"/>
      <w:numFmt w:val="decimal"/>
      <w:pStyle w:val="1835"/>
      <w:suff w:val="nothing"/>
      <w:lvlText w:val="%1.%2.%3"/>
      <w:lvlJc w:val="left"/>
      <w:pPr>
        <w:ind w:left="0" w:firstLine="0"/>
      </w:pPr>
      <w:rPr>
        <w:rFonts w:hint="default" w:ascii="Times New Roman" w:hAnsi="Times New Roman"/>
      </w:rPr>
    </w:lvl>
    <w:lvl w:ilvl="3" w:tentative="0">
      <w:start w:val="1"/>
      <w:numFmt w:val="decimal"/>
      <w:pStyle w:val="1831"/>
      <w:isLgl/>
      <w:suff w:val="nothing"/>
      <w:lvlText w:val="%3.%1.%2.%4"/>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1"/>
  </w:num>
  <w:num w:numId="2">
    <w:abstractNumId w:val="1"/>
  </w:num>
  <w:num w:numId="3">
    <w:abstractNumId w:val="0"/>
  </w:num>
  <w:num w:numId="4">
    <w:abstractNumId w:val="12"/>
  </w:num>
  <w:num w:numId="5">
    <w:abstractNumId w:val="16"/>
  </w:num>
  <w:num w:numId="6">
    <w:abstractNumId w:val="22"/>
  </w:num>
  <w:num w:numId="7">
    <w:abstractNumId w:val="19"/>
  </w:num>
  <w:num w:numId="8">
    <w:abstractNumId w:val="4"/>
  </w:num>
  <w:num w:numId="9">
    <w:abstractNumId w:val="27"/>
  </w:num>
  <w:num w:numId="10">
    <w:abstractNumId w:val="15"/>
  </w:num>
  <w:num w:numId="11">
    <w:abstractNumId w:val="23"/>
  </w:num>
  <w:num w:numId="12">
    <w:abstractNumId w:val="8"/>
  </w:num>
  <w:num w:numId="13">
    <w:abstractNumId w:val="11"/>
  </w:num>
  <w:num w:numId="14">
    <w:abstractNumId w:val="14"/>
  </w:num>
  <w:num w:numId="15">
    <w:abstractNumId w:val="6"/>
  </w:num>
  <w:num w:numId="16">
    <w:abstractNumId w:val="13"/>
  </w:num>
  <w:num w:numId="17">
    <w:abstractNumId w:val="7"/>
  </w:num>
  <w:num w:numId="18">
    <w:abstractNumId w:val="26"/>
  </w:num>
  <w:num w:numId="19">
    <w:abstractNumId w:val="2"/>
  </w:num>
  <w:num w:numId="20">
    <w:abstractNumId w:val="3"/>
  </w:num>
  <w:num w:numId="21">
    <w:abstractNumId w:val="18"/>
  </w:num>
  <w:num w:numId="22">
    <w:abstractNumId w:val="10"/>
  </w:num>
  <w:num w:numId="23">
    <w:abstractNumId w:val="24"/>
  </w:num>
  <w:num w:numId="24">
    <w:abstractNumId w:val="21"/>
    <w:lvlOverride w:ilvl="0">
      <w:lvl w:ilvl="0" w:tentative="1">
        <w:start w:val="1"/>
        <w:numFmt w:val="decimal"/>
        <w:lvlText w:val="第%1章  "/>
        <w:lvlJc w:val="left"/>
        <w:pPr>
          <w:tabs>
            <w:tab w:val="left" w:pos="3450"/>
          </w:tabs>
          <w:ind w:left="2795" w:hanging="425"/>
        </w:pPr>
        <w:rPr>
          <w:rFonts w:hint="eastAsia"/>
        </w:rPr>
      </w:lvl>
    </w:lvlOverride>
    <w:lvlOverride w:ilvl="1">
      <w:lvl w:ilvl="1" w:tentative="1">
        <w:start w:val="1"/>
        <w:numFmt w:val="decimal"/>
        <w:lvlText w:val="%1.%2 "/>
        <w:lvlJc w:val="left"/>
        <w:pPr>
          <w:tabs>
            <w:tab w:val="left" w:pos="567"/>
          </w:tabs>
          <w:ind w:left="567" w:hanging="567"/>
        </w:pPr>
        <w:rPr>
          <w:rFonts w:hint="eastAsia"/>
          <w:b w:val="0"/>
        </w:rPr>
      </w:lvl>
    </w:lvlOverride>
    <w:lvlOverride w:ilvl="2">
      <w:lvl w:ilvl="2" w:tentative="1">
        <w:start w:val="1"/>
        <w:numFmt w:val="decimal"/>
        <w:lvlText w:val="%1.%2.%3 "/>
        <w:lvlJc w:val="left"/>
        <w:pPr>
          <w:tabs>
            <w:tab w:val="left" w:pos="1080"/>
          </w:tabs>
          <w:ind w:left="709" w:hanging="709"/>
        </w:pPr>
        <w:rPr>
          <w:rFonts w:hint="eastAsia" w:ascii="仿宋_GB2312" w:eastAsia="仿宋_GB2312"/>
          <w:b/>
          <w:i w:val="0"/>
        </w:rPr>
      </w:lvl>
    </w:lvlOverride>
    <w:lvlOverride w:ilvl="3">
      <w:lvl w:ilvl="3" w:tentative="1">
        <w:start w:val="1"/>
        <w:numFmt w:val="decimal"/>
        <w:lvlRestart w:val="1"/>
        <w:lvlText w:val="表%1-%4"/>
        <w:lvlJc w:val="center"/>
        <w:pPr>
          <w:tabs>
            <w:tab w:val="left" w:pos="2418"/>
          </w:tabs>
          <w:ind w:left="2418" w:hanging="563"/>
        </w:pPr>
        <w:rPr>
          <w:rFonts w:hint="eastAsia" w:ascii="仿宋_GB2312" w:eastAsia="仿宋_GB2312"/>
          <w:b/>
          <w:i w:val="0"/>
          <w:sz w:val="28"/>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5">
    <w:abstractNumId w:val="21"/>
    <w:lvlOverride w:ilvl="0">
      <w:lvl w:ilvl="0" w:tentative="1">
        <w:start w:val="1"/>
        <w:numFmt w:val="decimal"/>
        <w:lvlText w:val="第%1章  "/>
        <w:lvlJc w:val="left"/>
        <w:pPr>
          <w:tabs>
            <w:tab w:val="left" w:pos="3450"/>
          </w:tabs>
          <w:ind w:left="2795" w:hanging="425"/>
        </w:pPr>
        <w:rPr>
          <w:rFonts w:hint="eastAsia"/>
        </w:rPr>
      </w:lvl>
    </w:lvlOverride>
    <w:lvlOverride w:ilvl="1">
      <w:lvl w:ilvl="1" w:tentative="1">
        <w:start w:val="1"/>
        <w:numFmt w:val="decimal"/>
        <w:lvlText w:val="%1.%2 "/>
        <w:lvlJc w:val="left"/>
        <w:pPr>
          <w:tabs>
            <w:tab w:val="left" w:pos="567"/>
          </w:tabs>
          <w:ind w:left="567" w:hanging="567"/>
        </w:pPr>
        <w:rPr>
          <w:rFonts w:hint="eastAsia"/>
          <w:b w:val="0"/>
        </w:rPr>
      </w:lvl>
    </w:lvlOverride>
    <w:lvlOverride w:ilvl="2">
      <w:lvl w:ilvl="2" w:tentative="1">
        <w:start w:val="1"/>
        <w:numFmt w:val="decimal"/>
        <w:lvlText w:val="%1.%2.%3 "/>
        <w:lvlJc w:val="left"/>
        <w:pPr>
          <w:tabs>
            <w:tab w:val="left" w:pos="1080"/>
          </w:tabs>
          <w:ind w:left="709" w:hanging="709"/>
        </w:pPr>
        <w:rPr>
          <w:rFonts w:hint="default" w:ascii="Times New Roman" w:hAnsi="Times New Roman" w:eastAsia="仿宋_GB2312" w:cs="Times New Roman"/>
          <w:b/>
          <w:i w:val="0"/>
        </w:rPr>
      </w:lvl>
    </w:lvlOverride>
    <w:lvlOverride w:ilvl="3">
      <w:lvl w:ilvl="3" w:tentative="1">
        <w:start w:val="1"/>
        <w:numFmt w:val="decimal"/>
        <w:lvlRestart w:val="1"/>
        <w:lvlText w:val="表%1-%4"/>
        <w:lvlJc w:val="center"/>
        <w:pPr>
          <w:tabs>
            <w:tab w:val="left" w:pos="2418"/>
          </w:tabs>
          <w:ind w:left="2418" w:hanging="563"/>
        </w:pPr>
        <w:rPr>
          <w:rFonts w:hint="eastAsia" w:ascii="仿宋_GB2312" w:eastAsia="仿宋_GB2312"/>
          <w:b/>
          <w:i w:val="0"/>
          <w:sz w:val="28"/>
        </w:rPr>
      </w:lvl>
    </w:lvlOverride>
    <w:lvlOverride w:ilvl="4">
      <w:lvl w:ilvl="4" w:tentative="1">
        <w:start w:val="1"/>
        <w:numFmt w:val="decimal"/>
        <w:lvlText w:val="%1.%2.%3.%4.%5."/>
        <w:lvlJc w:val="left"/>
        <w:pPr>
          <w:tabs>
            <w:tab w:val="left" w:pos="992"/>
          </w:tabs>
          <w:ind w:left="992" w:hanging="992"/>
        </w:pPr>
        <w:rPr>
          <w:rFonts w:hint="eastAsia"/>
        </w:rPr>
      </w:lvl>
    </w:lvlOverride>
    <w:lvlOverride w:ilvl="5">
      <w:lvl w:ilvl="5" w:tentative="1">
        <w:start w:val="1"/>
        <w:numFmt w:val="decimal"/>
        <w:lvlText w:val="%1.%2.%3.%4.%5.%6."/>
        <w:lvlJc w:val="left"/>
        <w:pPr>
          <w:tabs>
            <w:tab w:val="left" w:pos="1134"/>
          </w:tabs>
          <w:ind w:left="1134" w:hanging="1134"/>
        </w:pPr>
        <w:rPr>
          <w:rFonts w:hint="eastAsia"/>
        </w:rPr>
      </w:lvl>
    </w:lvlOverride>
    <w:lvlOverride w:ilvl="6">
      <w:lvl w:ilvl="6" w:tentative="1">
        <w:start w:val="1"/>
        <w:numFmt w:val="decimal"/>
        <w:lvlText w:val="%1.%2.%3.%4.%5.%6.%7."/>
        <w:lvlJc w:val="left"/>
        <w:pPr>
          <w:tabs>
            <w:tab w:val="left" w:pos="1276"/>
          </w:tabs>
          <w:ind w:left="1276" w:hanging="1276"/>
        </w:pPr>
        <w:rPr>
          <w:rFonts w:hint="eastAsia"/>
        </w:rPr>
      </w:lvl>
    </w:lvlOverride>
    <w:lvlOverride w:ilvl="7">
      <w:lvl w:ilvl="7" w:tentative="1">
        <w:start w:val="1"/>
        <w:numFmt w:val="decimal"/>
        <w:lvlText w:val="%1.%2.%3.%4.%5.%6.%7.%8."/>
        <w:lvlJc w:val="left"/>
        <w:pPr>
          <w:tabs>
            <w:tab w:val="left" w:pos="1418"/>
          </w:tabs>
          <w:ind w:left="1418" w:hanging="1418"/>
        </w:pPr>
        <w:rPr>
          <w:rFonts w:hint="eastAsia"/>
        </w:rPr>
      </w:lvl>
    </w:lvlOverride>
    <w:lvlOverride w:ilvl="8">
      <w:lvl w:ilvl="8" w:tentative="1">
        <w:start w:val="1"/>
        <w:numFmt w:val="decimal"/>
        <w:lvlText w:val="%1.%2.%3.%4.%5.%6.%7.%8.%9."/>
        <w:lvlJc w:val="left"/>
        <w:pPr>
          <w:tabs>
            <w:tab w:val="left" w:pos="1559"/>
          </w:tabs>
          <w:ind w:left="1559" w:hanging="1559"/>
        </w:pPr>
        <w:rPr>
          <w:rFonts w:hint="eastAsia"/>
        </w:rPr>
      </w:lvl>
    </w:lvlOverride>
  </w:num>
  <w:num w:numId="26">
    <w:abstractNumId w:val="17"/>
  </w:num>
  <w:num w:numId="27">
    <w:abstractNumId w:val="9"/>
  </w:num>
  <w:num w:numId="28">
    <w:abstractNumId w:val="5"/>
  </w:num>
  <w:num w:numId="29">
    <w:abstractNumId w:val="2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19"/>
  <w:drawingGridHorizontalSpacing w:val="283"/>
  <w:drawingGridVerticalSpacing w:val="42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615"/>
    <w:rsid w:val="0000000F"/>
    <w:rsid w:val="0000011C"/>
    <w:rsid w:val="000001BF"/>
    <w:rsid w:val="00000217"/>
    <w:rsid w:val="000003E4"/>
    <w:rsid w:val="00000745"/>
    <w:rsid w:val="00000792"/>
    <w:rsid w:val="0000097D"/>
    <w:rsid w:val="00000BB0"/>
    <w:rsid w:val="00000C22"/>
    <w:rsid w:val="00000CB0"/>
    <w:rsid w:val="00000CDE"/>
    <w:rsid w:val="00000DB6"/>
    <w:rsid w:val="00000E38"/>
    <w:rsid w:val="00001053"/>
    <w:rsid w:val="00001092"/>
    <w:rsid w:val="00001132"/>
    <w:rsid w:val="000012C4"/>
    <w:rsid w:val="000012E2"/>
    <w:rsid w:val="0000136E"/>
    <w:rsid w:val="000015A8"/>
    <w:rsid w:val="00001923"/>
    <w:rsid w:val="00001984"/>
    <w:rsid w:val="00001AD9"/>
    <w:rsid w:val="00001E8A"/>
    <w:rsid w:val="00001FF8"/>
    <w:rsid w:val="000021EC"/>
    <w:rsid w:val="0000223A"/>
    <w:rsid w:val="00002245"/>
    <w:rsid w:val="0000244B"/>
    <w:rsid w:val="000026CE"/>
    <w:rsid w:val="0000271A"/>
    <w:rsid w:val="00002750"/>
    <w:rsid w:val="00002B4F"/>
    <w:rsid w:val="00002C3F"/>
    <w:rsid w:val="000030C6"/>
    <w:rsid w:val="000030DF"/>
    <w:rsid w:val="00003272"/>
    <w:rsid w:val="0000348C"/>
    <w:rsid w:val="00003561"/>
    <w:rsid w:val="00003791"/>
    <w:rsid w:val="000038D4"/>
    <w:rsid w:val="00003A3E"/>
    <w:rsid w:val="00003C11"/>
    <w:rsid w:val="00003DA8"/>
    <w:rsid w:val="00004200"/>
    <w:rsid w:val="000042EA"/>
    <w:rsid w:val="00004306"/>
    <w:rsid w:val="00004718"/>
    <w:rsid w:val="00004746"/>
    <w:rsid w:val="00004799"/>
    <w:rsid w:val="000047C5"/>
    <w:rsid w:val="000047CA"/>
    <w:rsid w:val="000048B2"/>
    <w:rsid w:val="0000490F"/>
    <w:rsid w:val="00004A92"/>
    <w:rsid w:val="00004EB0"/>
    <w:rsid w:val="00004ED3"/>
    <w:rsid w:val="00004FC3"/>
    <w:rsid w:val="00005331"/>
    <w:rsid w:val="000055CA"/>
    <w:rsid w:val="000055F2"/>
    <w:rsid w:val="00005677"/>
    <w:rsid w:val="00005921"/>
    <w:rsid w:val="00005C67"/>
    <w:rsid w:val="00005FE6"/>
    <w:rsid w:val="000060A0"/>
    <w:rsid w:val="000061F5"/>
    <w:rsid w:val="00006238"/>
    <w:rsid w:val="00006276"/>
    <w:rsid w:val="00006293"/>
    <w:rsid w:val="000062DC"/>
    <w:rsid w:val="00006392"/>
    <w:rsid w:val="000063DF"/>
    <w:rsid w:val="00006555"/>
    <w:rsid w:val="00006BCA"/>
    <w:rsid w:val="00006FBA"/>
    <w:rsid w:val="00007093"/>
    <w:rsid w:val="0000710D"/>
    <w:rsid w:val="0000731D"/>
    <w:rsid w:val="00007676"/>
    <w:rsid w:val="000078B2"/>
    <w:rsid w:val="00007A69"/>
    <w:rsid w:val="00007AAE"/>
    <w:rsid w:val="00007AF8"/>
    <w:rsid w:val="00007BD4"/>
    <w:rsid w:val="00007E69"/>
    <w:rsid w:val="00007EB2"/>
    <w:rsid w:val="00007F29"/>
    <w:rsid w:val="00007F8B"/>
    <w:rsid w:val="00010336"/>
    <w:rsid w:val="000103BE"/>
    <w:rsid w:val="0001056D"/>
    <w:rsid w:val="00010704"/>
    <w:rsid w:val="00010826"/>
    <w:rsid w:val="000108A3"/>
    <w:rsid w:val="000108F8"/>
    <w:rsid w:val="00010D29"/>
    <w:rsid w:val="00010F04"/>
    <w:rsid w:val="00010FDD"/>
    <w:rsid w:val="00011356"/>
    <w:rsid w:val="00011389"/>
    <w:rsid w:val="00011579"/>
    <w:rsid w:val="0001160F"/>
    <w:rsid w:val="000118F6"/>
    <w:rsid w:val="0001195D"/>
    <w:rsid w:val="00011B1D"/>
    <w:rsid w:val="00011C10"/>
    <w:rsid w:val="00011E06"/>
    <w:rsid w:val="00011E66"/>
    <w:rsid w:val="0001216D"/>
    <w:rsid w:val="000121B2"/>
    <w:rsid w:val="0001227C"/>
    <w:rsid w:val="0001237D"/>
    <w:rsid w:val="0001238F"/>
    <w:rsid w:val="000123FA"/>
    <w:rsid w:val="00012738"/>
    <w:rsid w:val="0001293A"/>
    <w:rsid w:val="00012AD2"/>
    <w:rsid w:val="000131F1"/>
    <w:rsid w:val="00013212"/>
    <w:rsid w:val="0001372A"/>
    <w:rsid w:val="00013ED7"/>
    <w:rsid w:val="00014250"/>
    <w:rsid w:val="0001433C"/>
    <w:rsid w:val="000144F7"/>
    <w:rsid w:val="000146F7"/>
    <w:rsid w:val="000149E0"/>
    <w:rsid w:val="00014ADB"/>
    <w:rsid w:val="00014B80"/>
    <w:rsid w:val="00014E69"/>
    <w:rsid w:val="00014F63"/>
    <w:rsid w:val="0001524A"/>
    <w:rsid w:val="00015495"/>
    <w:rsid w:val="00015678"/>
    <w:rsid w:val="0001588D"/>
    <w:rsid w:val="00015C25"/>
    <w:rsid w:val="00015C6F"/>
    <w:rsid w:val="00015D03"/>
    <w:rsid w:val="00015DF4"/>
    <w:rsid w:val="00015E4A"/>
    <w:rsid w:val="00015EC1"/>
    <w:rsid w:val="00015F13"/>
    <w:rsid w:val="00015F99"/>
    <w:rsid w:val="00016007"/>
    <w:rsid w:val="0001602A"/>
    <w:rsid w:val="000162EB"/>
    <w:rsid w:val="00016349"/>
    <w:rsid w:val="00016362"/>
    <w:rsid w:val="0001653B"/>
    <w:rsid w:val="000166D4"/>
    <w:rsid w:val="000167F5"/>
    <w:rsid w:val="000169F7"/>
    <w:rsid w:val="00016F3D"/>
    <w:rsid w:val="00016F5F"/>
    <w:rsid w:val="00017078"/>
    <w:rsid w:val="00017187"/>
    <w:rsid w:val="00017328"/>
    <w:rsid w:val="0001735A"/>
    <w:rsid w:val="00017379"/>
    <w:rsid w:val="0001754C"/>
    <w:rsid w:val="000177B2"/>
    <w:rsid w:val="00017978"/>
    <w:rsid w:val="00017988"/>
    <w:rsid w:val="00017DCA"/>
    <w:rsid w:val="00017F94"/>
    <w:rsid w:val="00020057"/>
    <w:rsid w:val="00020143"/>
    <w:rsid w:val="0002019B"/>
    <w:rsid w:val="000202C4"/>
    <w:rsid w:val="000204FC"/>
    <w:rsid w:val="000204FF"/>
    <w:rsid w:val="00020514"/>
    <w:rsid w:val="00020783"/>
    <w:rsid w:val="00020ADA"/>
    <w:rsid w:val="00020B60"/>
    <w:rsid w:val="00020C5C"/>
    <w:rsid w:val="00020E74"/>
    <w:rsid w:val="00020EBA"/>
    <w:rsid w:val="00020EEE"/>
    <w:rsid w:val="00020F14"/>
    <w:rsid w:val="00021196"/>
    <w:rsid w:val="000211E1"/>
    <w:rsid w:val="000214E0"/>
    <w:rsid w:val="000217C5"/>
    <w:rsid w:val="000217E0"/>
    <w:rsid w:val="000218C2"/>
    <w:rsid w:val="00021C8C"/>
    <w:rsid w:val="00021CEB"/>
    <w:rsid w:val="00021E48"/>
    <w:rsid w:val="00021E96"/>
    <w:rsid w:val="00021F0B"/>
    <w:rsid w:val="00021F52"/>
    <w:rsid w:val="00022056"/>
    <w:rsid w:val="00022127"/>
    <w:rsid w:val="00022466"/>
    <w:rsid w:val="000224A8"/>
    <w:rsid w:val="00022591"/>
    <w:rsid w:val="0002264E"/>
    <w:rsid w:val="0002266B"/>
    <w:rsid w:val="00022773"/>
    <w:rsid w:val="000227AD"/>
    <w:rsid w:val="00022884"/>
    <w:rsid w:val="000228C8"/>
    <w:rsid w:val="00022906"/>
    <w:rsid w:val="00022BA9"/>
    <w:rsid w:val="00022C26"/>
    <w:rsid w:val="00022CEF"/>
    <w:rsid w:val="00022D3C"/>
    <w:rsid w:val="00022DBA"/>
    <w:rsid w:val="00022E68"/>
    <w:rsid w:val="00022E75"/>
    <w:rsid w:val="00022FB3"/>
    <w:rsid w:val="00023048"/>
    <w:rsid w:val="00023210"/>
    <w:rsid w:val="00023380"/>
    <w:rsid w:val="0002338A"/>
    <w:rsid w:val="0002372F"/>
    <w:rsid w:val="00023781"/>
    <w:rsid w:val="000237BB"/>
    <w:rsid w:val="00023B82"/>
    <w:rsid w:val="00023C2B"/>
    <w:rsid w:val="00023E07"/>
    <w:rsid w:val="000240E1"/>
    <w:rsid w:val="00024107"/>
    <w:rsid w:val="00024202"/>
    <w:rsid w:val="000242E0"/>
    <w:rsid w:val="0002444E"/>
    <w:rsid w:val="000244D7"/>
    <w:rsid w:val="000244DB"/>
    <w:rsid w:val="0002459B"/>
    <w:rsid w:val="000245A2"/>
    <w:rsid w:val="000246C4"/>
    <w:rsid w:val="00024819"/>
    <w:rsid w:val="000249C7"/>
    <w:rsid w:val="000249DB"/>
    <w:rsid w:val="00024A52"/>
    <w:rsid w:val="00024B4D"/>
    <w:rsid w:val="00024C6F"/>
    <w:rsid w:val="00024C99"/>
    <w:rsid w:val="00024DA6"/>
    <w:rsid w:val="00024E3C"/>
    <w:rsid w:val="00025156"/>
    <w:rsid w:val="000251BD"/>
    <w:rsid w:val="000251EA"/>
    <w:rsid w:val="000252BC"/>
    <w:rsid w:val="00025341"/>
    <w:rsid w:val="00025364"/>
    <w:rsid w:val="0002536F"/>
    <w:rsid w:val="000253AB"/>
    <w:rsid w:val="00025526"/>
    <w:rsid w:val="00025748"/>
    <w:rsid w:val="00025A4A"/>
    <w:rsid w:val="00025AF8"/>
    <w:rsid w:val="00025E10"/>
    <w:rsid w:val="00025E87"/>
    <w:rsid w:val="00025ECB"/>
    <w:rsid w:val="0002606A"/>
    <w:rsid w:val="00026376"/>
    <w:rsid w:val="000263FD"/>
    <w:rsid w:val="00026405"/>
    <w:rsid w:val="000269A6"/>
    <w:rsid w:val="00026A52"/>
    <w:rsid w:val="00026A96"/>
    <w:rsid w:val="00027188"/>
    <w:rsid w:val="000272F6"/>
    <w:rsid w:val="000276B8"/>
    <w:rsid w:val="000277B8"/>
    <w:rsid w:val="000278A6"/>
    <w:rsid w:val="00027B2F"/>
    <w:rsid w:val="00027BC9"/>
    <w:rsid w:val="00027D0D"/>
    <w:rsid w:val="00027DDB"/>
    <w:rsid w:val="00030025"/>
    <w:rsid w:val="000301D1"/>
    <w:rsid w:val="00030430"/>
    <w:rsid w:val="000305F9"/>
    <w:rsid w:val="00030970"/>
    <w:rsid w:val="00030A10"/>
    <w:rsid w:val="00030BF4"/>
    <w:rsid w:val="00030D65"/>
    <w:rsid w:val="00030DE1"/>
    <w:rsid w:val="00030DFC"/>
    <w:rsid w:val="000310F9"/>
    <w:rsid w:val="00031216"/>
    <w:rsid w:val="00031345"/>
    <w:rsid w:val="000313B5"/>
    <w:rsid w:val="00031658"/>
    <w:rsid w:val="0003182F"/>
    <w:rsid w:val="0003195E"/>
    <w:rsid w:val="00031AC7"/>
    <w:rsid w:val="00031B41"/>
    <w:rsid w:val="00031C4A"/>
    <w:rsid w:val="00031CAD"/>
    <w:rsid w:val="00031D26"/>
    <w:rsid w:val="00031F29"/>
    <w:rsid w:val="00032019"/>
    <w:rsid w:val="0003204E"/>
    <w:rsid w:val="0003226C"/>
    <w:rsid w:val="00032333"/>
    <w:rsid w:val="0003279D"/>
    <w:rsid w:val="000327F7"/>
    <w:rsid w:val="000328C8"/>
    <w:rsid w:val="0003290A"/>
    <w:rsid w:val="00032B81"/>
    <w:rsid w:val="00033024"/>
    <w:rsid w:val="0003327C"/>
    <w:rsid w:val="000332AE"/>
    <w:rsid w:val="000332E4"/>
    <w:rsid w:val="0003335A"/>
    <w:rsid w:val="000333CA"/>
    <w:rsid w:val="0003343B"/>
    <w:rsid w:val="00033471"/>
    <w:rsid w:val="0003366F"/>
    <w:rsid w:val="0003385C"/>
    <w:rsid w:val="00033D5B"/>
    <w:rsid w:val="00033DCD"/>
    <w:rsid w:val="00033ED0"/>
    <w:rsid w:val="000340F3"/>
    <w:rsid w:val="000341D0"/>
    <w:rsid w:val="00034288"/>
    <w:rsid w:val="000342F7"/>
    <w:rsid w:val="00034A93"/>
    <w:rsid w:val="00034B7B"/>
    <w:rsid w:val="00034DB8"/>
    <w:rsid w:val="000350E9"/>
    <w:rsid w:val="0003558C"/>
    <w:rsid w:val="000355BE"/>
    <w:rsid w:val="0003572D"/>
    <w:rsid w:val="00035772"/>
    <w:rsid w:val="00035850"/>
    <w:rsid w:val="0003589C"/>
    <w:rsid w:val="00035B3E"/>
    <w:rsid w:val="00035B3F"/>
    <w:rsid w:val="00035CAA"/>
    <w:rsid w:val="00035CD9"/>
    <w:rsid w:val="00035D0C"/>
    <w:rsid w:val="00036071"/>
    <w:rsid w:val="000361B5"/>
    <w:rsid w:val="00036247"/>
    <w:rsid w:val="0003666A"/>
    <w:rsid w:val="000366C9"/>
    <w:rsid w:val="00036965"/>
    <w:rsid w:val="00036982"/>
    <w:rsid w:val="00036A03"/>
    <w:rsid w:val="00036A9C"/>
    <w:rsid w:val="00036B95"/>
    <w:rsid w:val="00036C12"/>
    <w:rsid w:val="00036C46"/>
    <w:rsid w:val="00036CDE"/>
    <w:rsid w:val="00036D3D"/>
    <w:rsid w:val="00036E96"/>
    <w:rsid w:val="00036F55"/>
    <w:rsid w:val="0003702A"/>
    <w:rsid w:val="00037045"/>
    <w:rsid w:val="00037147"/>
    <w:rsid w:val="00037167"/>
    <w:rsid w:val="000371CF"/>
    <w:rsid w:val="000372AE"/>
    <w:rsid w:val="00037413"/>
    <w:rsid w:val="000374C3"/>
    <w:rsid w:val="00037513"/>
    <w:rsid w:val="00037591"/>
    <w:rsid w:val="000377FC"/>
    <w:rsid w:val="000378B9"/>
    <w:rsid w:val="00037AB2"/>
    <w:rsid w:val="00037B57"/>
    <w:rsid w:val="00037EBA"/>
    <w:rsid w:val="00037EDE"/>
    <w:rsid w:val="00037FB3"/>
    <w:rsid w:val="00037FEB"/>
    <w:rsid w:val="00037FF1"/>
    <w:rsid w:val="000400D8"/>
    <w:rsid w:val="000400FE"/>
    <w:rsid w:val="0004030C"/>
    <w:rsid w:val="000404B3"/>
    <w:rsid w:val="000404FF"/>
    <w:rsid w:val="000405DA"/>
    <w:rsid w:val="00040690"/>
    <w:rsid w:val="000406CA"/>
    <w:rsid w:val="0004073C"/>
    <w:rsid w:val="000408CD"/>
    <w:rsid w:val="000409A5"/>
    <w:rsid w:val="000409C3"/>
    <w:rsid w:val="00040D05"/>
    <w:rsid w:val="00040E2B"/>
    <w:rsid w:val="00040EBD"/>
    <w:rsid w:val="00041404"/>
    <w:rsid w:val="00041563"/>
    <w:rsid w:val="00041894"/>
    <w:rsid w:val="000418AA"/>
    <w:rsid w:val="00041B06"/>
    <w:rsid w:val="00041CD4"/>
    <w:rsid w:val="0004205B"/>
    <w:rsid w:val="000420FA"/>
    <w:rsid w:val="0004239F"/>
    <w:rsid w:val="000425AA"/>
    <w:rsid w:val="000425F5"/>
    <w:rsid w:val="0004260F"/>
    <w:rsid w:val="0004262A"/>
    <w:rsid w:val="000426F0"/>
    <w:rsid w:val="00042C4C"/>
    <w:rsid w:val="00042CD7"/>
    <w:rsid w:val="00042F43"/>
    <w:rsid w:val="00042FFA"/>
    <w:rsid w:val="000431B1"/>
    <w:rsid w:val="00043385"/>
    <w:rsid w:val="00043801"/>
    <w:rsid w:val="00043A55"/>
    <w:rsid w:val="00043B50"/>
    <w:rsid w:val="00043B6D"/>
    <w:rsid w:val="00043D16"/>
    <w:rsid w:val="00043FA8"/>
    <w:rsid w:val="00043FE1"/>
    <w:rsid w:val="000441D7"/>
    <w:rsid w:val="0004444A"/>
    <w:rsid w:val="00044841"/>
    <w:rsid w:val="00044969"/>
    <w:rsid w:val="00044CD6"/>
    <w:rsid w:val="00044E4F"/>
    <w:rsid w:val="00044EFB"/>
    <w:rsid w:val="00045015"/>
    <w:rsid w:val="00045044"/>
    <w:rsid w:val="000450DF"/>
    <w:rsid w:val="0004515B"/>
    <w:rsid w:val="0004521D"/>
    <w:rsid w:val="000452A0"/>
    <w:rsid w:val="000452EE"/>
    <w:rsid w:val="000454F3"/>
    <w:rsid w:val="000455D6"/>
    <w:rsid w:val="00045646"/>
    <w:rsid w:val="000459D5"/>
    <w:rsid w:val="000459F5"/>
    <w:rsid w:val="00045EF5"/>
    <w:rsid w:val="00045F20"/>
    <w:rsid w:val="0004606A"/>
    <w:rsid w:val="00046129"/>
    <w:rsid w:val="0004612E"/>
    <w:rsid w:val="00046162"/>
    <w:rsid w:val="0004637E"/>
    <w:rsid w:val="0004639C"/>
    <w:rsid w:val="000463BD"/>
    <w:rsid w:val="00046407"/>
    <w:rsid w:val="000464AC"/>
    <w:rsid w:val="000467B7"/>
    <w:rsid w:val="000468C7"/>
    <w:rsid w:val="000468F6"/>
    <w:rsid w:val="00046926"/>
    <w:rsid w:val="0004693C"/>
    <w:rsid w:val="00046A83"/>
    <w:rsid w:val="00046AA1"/>
    <w:rsid w:val="00046C84"/>
    <w:rsid w:val="00046CBA"/>
    <w:rsid w:val="00046E3E"/>
    <w:rsid w:val="00046EB8"/>
    <w:rsid w:val="00046EBB"/>
    <w:rsid w:val="000472D5"/>
    <w:rsid w:val="00047368"/>
    <w:rsid w:val="000473A9"/>
    <w:rsid w:val="00047412"/>
    <w:rsid w:val="0004741E"/>
    <w:rsid w:val="000475A8"/>
    <w:rsid w:val="00047964"/>
    <w:rsid w:val="00047A62"/>
    <w:rsid w:val="00047AD2"/>
    <w:rsid w:val="00047B48"/>
    <w:rsid w:val="00047BDF"/>
    <w:rsid w:val="00047BF4"/>
    <w:rsid w:val="00047C4D"/>
    <w:rsid w:val="00047D6E"/>
    <w:rsid w:val="00047EB2"/>
    <w:rsid w:val="0005004C"/>
    <w:rsid w:val="0005006C"/>
    <w:rsid w:val="000500B6"/>
    <w:rsid w:val="000501AC"/>
    <w:rsid w:val="0005027D"/>
    <w:rsid w:val="000502B7"/>
    <w:rsid w:val="0005031A"/>
    <w:rsid w:val="00050449"/>
    <w:rsid w:val="000504E6"/>
    <w:rsid w:val="00050604"/>
    <w:rsid w:val="000506E1"/>
    <w:rsid w:val="000507A1"/>
    <w:rsid w:val="00050830"/>
    <w:rsid w:val="00050867"/>
    <w:rsid w:val="00050B99"/>
    <w:rsid w:val="00050CF4"/>
    <w:rsid w:val="00050EEF"/>
    <w:rsid w:val="00050FC5"/>
    <w:rsid w:val="000510A6"/>
    <w:rsid w:val="00051172"/>
    <w:rsid w:val="000512F4"/>
    <w:rsid w:val="000515DB"/>
    <w:rsid w:val="000516F8"/>
    <w:rsid w:val="000518E2"/>
    <w:rsid w:val="000519C0"/>
    <w:rsid w:val="00051EA5"/>
    <w:rsid w:val="00051ED3"/>
    <w:rsid w:val="00052582"/>
    <w:rsid w:val="000526CC"/>
    <w:rsid w:val="00052A9F"/>
    <w:rsid w:val="00052B6F"/>
    <w:rsid w:val="00052C72"/>
    <w:rsid w:val="00052EC6"/>
    <w:rsid w:val="000532B4"/>
    <w:rsid w:val="00053453"/>
    <w:rsid w:val="000537D4"/>
    <w:rsid w:val="00053840"/>
    <w:rsid w:val="00053861"/>
    <w:rsid w:val="00053BC4"/>
    <w:rsid w:val="00053C12"/>
    <w:rsid w:val="00053E67"/>
    <w:rsid w:val="00053E70"/>
    <w:rsid w:val="00054244"/>
    <w:rsid w:val="0005446D"/>
    <w:rsid w:val="00054498"/>
    <w:rsid w:val="000544D4"/>
    <w:rsid w:val="00054510"/>
    <w:rsid w:val="000549CD"/>
    <w:rsid w:val="000549F9"/>
    <w:rsid w:val="00054A02"/>
    <w:rsid w:val="00054E0D"/>
    <w:rsid w:val="00054FE3"/>
    <w:rsid w:val="00055207"/>
    <w:rsid w:val="000552AB"/>
    <w:rsid w:val="00055366"/>
    <w:rsid w:val="0005550D"/>
    <w:rsid w:val="00055566"/>
    <w:rsid w:val="00055618"/>
    <w:rsid w:val="000556EF"/>
    <w:rsid w:val="00055D40"/>
    <w:rsid w:val="00055E13"/>
    <w:rsid w:val="00056037"/>
    <w:rsid w:val="000562C6"/>
    <w:rsid w:val="000562D2"/>
    <w:rsid w:val="0005650A"/>
    <w:rsid w:val="000567E4"/>
    <w:rsid w:val="0005692C"/>
    <w:rsid w:val="00056983"/>
    <w:rsid w:val="000569A3"/>
    <w:rsid w:val="00056B11"/>
    <w:rsid w:val="00056CC0"/>
    <w:rsid w:val="00056CD0"/>
    <w:rsid w:val="00056D40"/>
    <w:rsid w:val="00056EB6"/>
    <w:rsid w:val="00056F67"/>
    <w:rsid w:val="000570BA"/>
    <w:rsid w:val="000570BC"/>
    <w:rsid w:val="00057280"/>
    <w:rsid w:val="000573EF"/>
    <w:rsid w:val="00057447"/>
    <w:rsid w:val="00057492"/>
    <w:rsid w:val="000576B8"/>
    <w:rsid w:val="00057761"/>
    <w:rsid w:val="00057764"/>
    <w:rsid w:val="000577D1"/>
    <w:rsid w:val="00057857"/>
    <w:rsid w:val="0005789E"/>
    <w:rsid w:val="0005798C"/>
    <w:rsid w:val="000579D6"/>
    <w:rsid w:val="00057A05"/>
    <w:rsid w:val="00057BAB"/>
    <w:rsid w:val="00057C49"/>
    <w:rsid w:val="00057D0C"/>
    <w:rsid w:val="00057E37"/>
    <w:rsid w:val="00060349"/>
    <w:rsid w:val="000604FF"/>
    <w:rsid w:val="00060551"/>
    <w:rsid w:val="0006079B"/>
    <w:rsid w:val="00060801"/>
    <w:rsid w:val="0006099F"/>
    <w:rsid w:val="00060CEF"/>
    <w:rsid w:val="00060D18"/>
    <w:rsid w:val="000610EF"/>
    <w:rsid w:val="000611FB"/>
    <w:rsid w:val="00061208"/>
    <w:rsid w:val="00061302"/>
    <w:rsid w:val="0006179A"/>
    <w:rsid w:val="00061886"/>
    <w:rsid w:val="00061997"/>
    <w:rsid w:val="00061F5B"/>
    <w:rsid w:val="00061FF0"/>
    <w:rsid w:val="000620FB"/>
    <w:rsid w:val="00062115"/>
    <w:rsid w:val="00062268"/>
    <w:rsid w:val="0006232B"/>
    <w:rsid w:val="000623A0"/>
    <w:rsid w:val="000626F4"/>
    <w:rsid w:val="0006280B"/>
    <w:rsid w:val="0006281C"/>
    <w:rsid w:val="00062C9F"/>
    <w:rsid w:val="00062FDB"/>
    <w:rsid w:val="00063077"/>
    <w:rsid w:val="000632A0"/>
    <w:rsid w:val="0006357E"/>
    <w:rsid w:val="000636CE"/>
    <w:rsid w:val="000637A5"/>
    <w:rsid w:val="00063807"/>
    <w:rsid w:val="0006388E"/>
    <w:rsid w:val="000638AF"/>
    <w:rsid w:val="000639EF"/>
    <w:rsid w:val="00063A0F"/>
    <w:rsid w:val="00063C8D"/>
    <w:rsid w:val="00063E1A"/>
    <w:rsid w:val="00063F1E"/>
    <w:rsid w:val="00063F49"/>
    <w:rsid w:val="00063FB5"/>
    <w:rsid w:val="0006402A"/>
    <w:rsid w:val="00064032"/>
    <w:rsid w:val="0006437A"/>
    <w:rsid w:val="000643AA"/>
    <w:rsid w:val="000644D0"/>
    <w:rsid w:val="00064583"/>
    <w:rsid w:val="00064701"/>
    <w:rsid w:val="00064CE3"/>
    <w:rsid w:val="00065072"/>
    <w:rsid w:val="00065135"/>
    <w:rsid w:val="00065431"/>
    <w:rsid w:val="00065518"/>
    <w:rsid w:val="00065521"/>
    <w:rsid w:val="00065C4D"/>
    <w:rsid w:val="00065F27"/>
    <w:rsid w:val="00065FE3"/>
    <w:rsid w:val="0006613B"/>
    <w:rsid w:val="0006619A"/>
    <w:rsid w:val="00066481"/>
    <w:rsid w:val="000664A4"/>
    <w:rsid w:val="000666EA"/>
    <w:rsid w:val="00066719"/>
    <w:rsid w:val="00066884"/>
    <w:rsid w:val="00066A23"/>
    <w:rsid w:val="00066BA2"/>
    <w:rsid w:val="000671CE"/>
    <w:rsid w:val="0006736C"/>
    <w:rsid w:val="000673D8"/>
    <w:rsid w:val="00067558"/>
    <w:rsid w:val="00067698"/>
    <w:rsid w:val="0006776F"/>
    <w:rsid w:val="000677DA"/>
    <w:rsid w:val="00067819"/>
    <w:rsid w:val="000678CF"/>
    <w:rsid w:val="000678E9"/>
    <w:rsid w:val="0006793C"/>
    <w:rsid w:val="000679FF"/>
    <w:rsid w:val="00067F35"/>
    <w:rsid w:val="00067FC4"/>
    <w:rsid w:val="00070008"/>
    <w:rsid w:val="00070025"/>
    <w:rsid w:val="00070078"/>
    <w:rsid w:val="00070190"/>
    <w:rsid w:val="000702CB"/>
    <w:rsid w:val="000704EA"/>
    <w:rsid w:val="00070619"/>
    <w:rsid w:val="000706C9"/>
    <w:rsid w:val="0007089A"/>
    <w:rsid w:val="00070E77"/>
    <w:rsid w:val="00070F5E"/>
    <w:rsid w:val="00071063"/>
    <w:rsid w:val="000716F3"/>
    <w:rsid w:val="0007193C"/>
    <w:rsid w:val="0007198B"/>
    <w:rsid w:val="00071A39"/>
    <w:rsid w:val="00071C7E"/>
    <w:rsid w:val="00071D65"/>
    <w:rsid w:val="00071DF9"/>
    <w:rsid w:val="0007211A"/>
    <w:rsid w:val="000723F1"/>
    <w:rsid w:val="000723F7"/>
    <w:rsid w:val="00072466"/>
    <w:rsid w:val="000728DA"/>
    <w:rsid w:val="00072A6D"/>
    <w:rsid w:val="00072BCC"/>
    <w:rsid w:val="00072CB0"/>
    <w:rsid w:val="00072FD4"/>
    <w:rsid w:val="00073124"/>
    <w:rsid w:val="00073133"/>
    <w:rsid w:val="0007326B"/>
    <w:rsid w:val="0007341C"/>
    <w:rsid w:val="00073617"/>
    <w:rsid w:val="000736F7"/>
    <w:rsid w:val="00073AD0"/>
    <w:rsid w:val="00073B00"/>
    <w:rsid w:val="00073D73"/>
    <w:rsid w:val="00073FD8"/>
    <w:rsid w:val="000740DB"/>
    <w:rsid w:val="00074216"/>
    <w:rsid w:val="000743B8"/>
    <w:rsid w:val="000744C5"/>
    <w:rsid w:val="000747CB"/>
    <w:rsid w:val="0007492A"/>
    <w:rsid w:val="00074A30"/>
    <w:rsid w:val="00074C32"/>
    <w:rsid w:val="00074C7F"/>
    <w:rsid w:val="00074DD6"/>
    <w:rsid w:val="00074F25"/>
    <w:rsid w:val="00074F99"/>
    <w:rsid w:val="00074FF0"/>
    <w:rsid w:val="0007515A"/>
    <w:rsid w:val="00075180"/>
    <w:rsid w:val="00075334"/>
    <w:rsid w:val="000753DF"/>
    <w:rsid w:val="00075450"/>
    <w:rsid w:val="00075530"/>
    <w:rsid w:val="00075616"/>
    <w:rsid w:val="00075804"/>
    <w:rsid w:val="0007587F"/>
    <w:rsid w:val="00075D64"/>
    <w:rsid w:val="00075DA3"/>
    <w:rsid w:val="00075E13"/>
    <w:rsid w:val="00075E64"/>
    <w:rsid w:val="000760D7"/>
    <w:rsid w:val="00076218"/>
    <w:rsid w:val="000764C5"/>
    <w:rsid w:val="00076639"/>
    <w:rsid w:val="000766AB"/>
    <w:rsid w:val="0007673A"/>
    <w:rsid w:val="0007692B"/>
    <w:rsid w:val="00076E23"/>
    <w:rsid w:val="000771D7"/>
    <w:rsid w:val="000773F4"/>
    <w:rsid w:val="000773FA"/>
    <w:rsid w:val="00077472"/>
    <w:rsid w:val="000776BD"/>
    <w:rsid w:val="0007799D"/>
    <w:rsid w:val="000779D7"/>
    <w:rsid w:val="000779E7"/>
    <w:rsid w:val="00077F46"/>
    <w:rsid w:val="00077F59"/>
    <w:rsid w:val="0008006C"/>
    <w:rsid w:val="0008019B"/>
    <w:rsid w:val="0008058C"/>
    <w:rsid w:val="00080621"/>
    <w:rsid w:val="00080877"/>
    <w:rsid w:val="00080A00"/>
    <w:rsid w:val="00080B83"/>
    <w:rsid w:val="00080BC6"/>
    <w:rsid w:val="00080BFE"/>
    <w:rsid w:val="00080D30"/>
    <w:rsid w:val="00080D8C"/>
    <w:rsid w:val="00080DA1"/>
    <w:rsid w:val="00080EEB"/>
    <w:rsid w:val="00080F1F"/>
    <w:rsid w:val="00081162"/>
    <w:rsid w:val="000812B2"/>
    <w:rsid w:val="00081603"/>
    <w:rsid w:val="00081866"/>
    <w:rsid w:val="00081947"/>
    <w:rsid w:val="00081A2B"/>
    <w:rsid w:val="00081AE6"/>
    <w:rsid w:val="00081B61"/>
    <w:rsid w:val="00081E1F"/>
    <w:rsid w:val="00081ECF"/>
    <w:rsid w:val="00081EE7"/>
    <w:rsid w:val="00082170"/>
    <w:rsid w:val="000821C1"/>
    <w:rsid w:val="0008234D"/>
    <w:rsid w:val="00082357"/>
    <w:rsid w:val="00082531"/>
    <w:rsid w:val="000825FF"/>
    <w:rsid w:val="00082605"/>
    <w:rsid w:val="0008261D"/>
    <w:rsid w:val="00082764"/>
    <w:rsid w:val="00082804"/>
    <w:rsid w:val="00082858"/>
    <w:rsid w:val="00082AF4"/>
    <w:rsid w:val="00082B9A"/>
    <w:rsid w:val="00082D2B"/>
    <w:rsid w:val="00082F29"/>
    <w:rsid w:val="00082F7E"/>
    <w:rsid w:val="0008311A"/>
    <w:rsid w:val="000831C2"/>
    <w:rsid w:val="000833FF"/>
    <w:rsid w:val="00083491"/>
    <w:rsid w:val="000834F3"/>
    <w:rsid w:val="00083515"/>
    <w:rsid w:val="000836D8"/>
    <w:rsid w:val="00083835"/>
    <w:rsid w:val="000838EA"/>
    <w:rsid w:val="00083B39"/>
    <w:rsid w:val="00083C47"/>
    <w:rsid w:val="00083E8F"/>
    <w:rsid w:val="000841A6"/>
    <w:rsid w:val="000841FC"/>
    <w:rsid w:val="0008455B"/>
    <w:rsid w:val="000847AC"/>
    <w:rsid w:val="000847D6"/>
    <w:rsid w:val="00084BAF"/>
    <w:rsid w:val="00084D4A"/>
    <w:rsid w:val="0008514A"/>
    <w:rsid w:val="00085393"/>
    <w:rsid w:val="000856F9"/>
    <w:rsid w:val="000858F3"/>
    <w:rsid w:val="00085AAE"/>
    <w:rsid w:val="000862E9"/>
    <w:rsid w:val="000863E1"/>
    <w:rsid w:val="0008649C"/>
    <w:rsid w:val="0008658E"/>
    <w:rsid w:val="000865C4"/>
    <w:rsid w:val="000866D5"/>
    <w:rsid w:val="000869E4"/>
    <w:rsid w:val="00086BBE"/>
    <w:rsid w:val="00086BFE"/>
    <w:rsid w:val="00086CFD"/>
    <w:rsid w:val="00086D99"/>
    <w:rsid w:val="00086DB7"/>
    <w:rsid w:val="00086FAB"/>
    <w:rsid w:val="00087111"/>
    <w:rsid w:val="000871D0"/>
    <w:rsid w:val="00087467"/>
    <w:rsid w:val="0008746B"/>
    <w:rsid w:val="000874B0"/>
    <w:rsid w:val="000876C7"/>
    <w:rsid w:val="000877B4"/>
    <w:rsid w:val="00087AEF"/>
    <w:rsid w:val="00087BEA"/>
    <w:rsid w:val="00087C72"/>
    <w:rsid w:val="00087D99"/>
    <w:rsid w:val="00087FB5"/>
    <w:rsid w:val="00087FD8"/>
    <w:rsid w:val="000901EC"/>
    <w:rsid w:val="0009058A"/>
    <w:rsid w:val="000905DB"/>
    <w:rsid w:val="00090732"/>
    <w:rsid w:val="00090803"/>
    <w:rsid w:val="00090B86"/>
    <w:rsid w:val="00090B9F"/>
    <w:rsid w:val="00090C34"/>
    <w:rsid w:val="00090D9D"/>
    <w:rsid w:val="00090F09"/>
    <w:rsid w:val="00090FDD"/>
    <w:rsid w:val="00091075"/>
    <w:rsid w:val="0009119F"/>
    <w:rsid w:val="0009129D"/>
    <w:rsid w:val="00091350"/>
    <w:rsid w:val="00091368"/>
    <w:rsid w:val="000916F5"/>
    <w:rsid w:val="000916FA"/>
    <w:rsid w:val="0009174B"/>
    <w:rsid w:val="00091774"/>
    <w:rsid w:val="000917A9"/>
    <w:rsid w:val="000918D3"/>
    <w:rsid w:val="00091952"/>
    <w:rsid w:val="00091A3C"/>
    <w:rsid w:val="00091B5C"/>
    <w:rsid w:val="00091EB6"/>
    <w:rsid w:val="00091ED2"/>
    <w:rsid w:val="000920AF"/>
    <w:rsid w:val="00092338"/>
    <w:rsid w:val="00092450"/>
    <w:rsid w:val="000924B5"/>
    <w:rsid w:val="0009284B"/>
    <w:rsid w:val="0009285C"/>
    <w:rsid w:val="000928DF"/>
    <w:rsid w:val="000929AF"/>
    <w:rsid w:val="00092C61"/>
    <w:rsid w:val="00092CB5"/>
    <w:rsid w:val="00092CBA"/>
    <w:rsid w:val="00092DDF"/>
    <w:rsid w:val="00092E3A"/>
    <w:rsid w:val="00092EA1"/>
    <w:rsid w:val="00093074"/>
    <w:rsid w:val="0009309F"/>
    <w:rsid w:val="00093119"/>
    <w:rsid w:val="000933BC"/>
    <w:rsid w:val="00093573"/>
    <w:rsid w:val="00093E21"/>
    <w:rsid w:val="00093F21"/>
    <w:rsid w:val="00094037"/>
    <w:rsid w:val="00094AC0"/>
    <w:rsid w:val="00094DA9"/>
    <w:rsid w:val="00094E61"/>
    <w:rsid w:val="00094F78"/>
    <w:rsid w:val="00094FF4"/>
    <w:rsid w:val="00095104"/>
    <w:rsid w:val="000952FD"/>
    <w:rsid w:val="0009533F"/>
    <w:rsid w:val="0009546D"/>
    <w:rsid w:val="0009555E"/>
    <w:rsid w:val="0009581A"/>
    <w:rsid w:val="00095AED"/>
    <w:rsid w:val="00095B1C"/>
    <w:rsid w:val="00095B38"/>
    <w:rsid w:val="00095C7F"/>
    <w:rsid w:val="00095EFF"/>
    <w:rsid w:val="00095F32"/>
    <w:rsid w:val="000961F0"/>
    <w:rsid w:val="00096285"/>
    <w:rsid w:val="00096561"/>
    <w:rsid w:val="0009674C"/>
    <w:rsid w:val="00096A3C"/>
    <w:rsid w:val="00096A51"/>
    <w:rsid w:val="00096D3D"/>
    <w:rsid w:val="00096D8A"/>
    <w:rsid w:val="00096FFA"/>
    <w:rsid w:val="0009705D"/>
    <w:rsid w:val="00097172"/>
    <w:rsid w:val="0009724B"/>
    <w:rsid w:val="000972F3"/>
    <w:rsid w:val="00097317"/>
    <w:rsid w:val="000976A4"/>
    <w:rsid w:val="00097713"/>
    <w:rsid w:val="00097718"/>
    <w:rsid w:val="00097B66"/>
    <w:rsid w:val="00097CA8"/>
    <w:rsid w:val="00097E90"/>
    <w:rsid w:val="00097F43"/>
    <w:rsid w:val="000A008E"/>
    <w:rsid w:val="000A01A0"/>
    <w:rsid w:val="000A0296"/>
    <w:rsid w:val="000A0818"/>
    <w:rsid w:val="000A097E"/>
    <w:rsid w:val="000A0A68"/>
    <w:rsid w:val="000A0B69"/>
    <w:rsid w:val="000A0E2B"/>
    <w:rsid w:val="000A128A"/>
    <w:rsid w:val="000A1384"/>
    <w:rsid w:val="000A13E3"/>
    <w:rsid w:val="000A147E"/>
    <w:rsid w:val="000A187D"/>
    <w:rsid w:val="000A1BE3"/>
    <w:rsid w:val="000A1C67"/>
    <w:rsid w:val="000A1D91"/>
    <w:rsid w:val="000A1F58"/>
    <w:rsid w:val="000A1FD6"/>
    <w:rsid w:val="000A2109"/>
    <w:rsid w:val="000A22FB"/>
    <w:rsid w:val="000A23BE"/>
    <w:rsid w:val="000A247B"/>
    <w:rsid w:val="000A2534"/>
    <w:rsid w:val="000A2557"/>
    <w:rsid w:val="000A2617"/>
    <w:rsid w:val="000A2765"/>
    <w:rsid w:val="000A2775"/>
    <w:rsid w:val="000A28E4"/>
    <w:rsid w:val="000A2973"/>
    <w:rsid w:val="000A2978"/>
    <w:rsid w:val="000A2BA1"/>
    <w:rsid w:val="000A2C04"/>
    <w:rsid w:val="000A2D15"/>
    <w:rsid w:val="000A2D38"/>
    <w:rsid w:val="000A2F17"/>
    <w:rsid w:val="000A311C"/>
    <w:rsid w:val="000A3336"/>
    <w:rsid w:val="000A36D9"/>
    <w:rsid w:val="000A3737"/>
    <w:rsid w:val="000A3B94"/>
    <w:rsid w:val="000A3C36"/>
    <w:rsid w:val="000A3C80"/>
    <w:rsid w:val="000A3D85"/>
    <w:rsid w:val="000A3E50"/>
    <w:rsid w:val="000A3EF2"/>
    <w:rsid w:val="000A412F"/>
    <w:rsid w:val="000A41A6"/>
    <w:rsid w:val="000A4948"/>
    <w:rsid w:val="000A4A0D"/>
    <w:rsid w:val="000A4B1C"/>
    <w:rsid w:val="000A4B3C"/>
    <w:rsid w:val="000A4B70"/>
    <w:rsid w:val="000A4D62"/>
    <w:rsid w:val="000A4DE5"/>
    <w:rsid w:val="000A4E81"/>
    <w:rsid w:val="000A500E"/>
    <w:rsid w:val="000A50C8"/>
    <w:rsid w:val="000A51A6"/>
    <w:rsid w:val="000A5333"/>
    <w:rsid w:val="000A539E"/>
    <w:rsid w:val="000A53AA"/>
    <w:rsid w:val="000A53AC"/>
    <w:rsid w:val="000A58B5"/>
    <w:rsid w:val="000A5B14"/>
    <w:rsid w:val="000A5BD4"/>
    <w:rsid w:val="000A5C58"/>
    <w:rsid w:val="000A5C97"/>
    <w:rsid w:val="000A5D0D"/>
    <w:rsid w:val="000A5D20"/>
    <w:rsid w:val="000A5D57"/>
    <w:rsid w:val="000A5EEC"/>
    <w:rsid w:val="000A60FD"/>
    <w:rsid w:val="000A6163"/>
    <w:rsid w:val="000A62F3"/>
    <w:rsid w:val="000A6390"/>
    <w:rsid w:val="000A63F6"/>
    <w:rsid w:val="000A664E"/>
    <w:rsid w:val="000A6C4E"/>
    <w:rsid w:val="000A6C5C"/>
    <w:rsid w:val="000A6F80"/>
    <w:rsid w:val="000A6F9F"/>
    <w:rsid w:val="000A70AC"/>
    <w:rsid w:val="000A70BD"/>
    <w:rsid w:val="000A719E"/>
    <w:rsid w:val="000A7205"/>
    <w:rsid w:val="000A7276"/>
    <w:rsid w:val="000A730E"/>
    <w:rsid w:val="000A74B5"/>
    <w:rsid w:val="000A7823"/>
    <w:rsid w:val="000A79A9"/>
    <w:rsid w:val="000A7BE0"/>
    <w:rsid w:val="000A7C1A"/>
    <w:rsid w:val="000A7F29"/>
    <w:rsid w:val="000B00A2"/>
    <w:rsid w:val="000B0352"/>
    <w:rsid w:val="000B0819"/>
    <w:rsid w:val="000B0A71"/>
    <w:rsid w:val="000B0F80"/>
    <w:rsid w:val="000B0FEE"/>
    <w:rsid w:val="000B117E"/>
    <w:rsid w:val="000B124E"/>
    <w:rsid w:val="000B1295"/>
    <w:rsid w:val="000B1487"/>
    <w:rsid w:val="000B14CF"/>
    <w:rsid w:val="000B1509"/>
    <w:rsid w:val="000B1548"/>
    <w:rsid w:val="000B16B7"/>
    <w:rsid w:val="000B1701"/>
    <w:rsid w:val="000B1ADE"/>
    <w:rsid w:val="000B1D64"/>
    <w:rsid w:val="000B1DB6"/>
    <w:rsid w:val="000B1F05"/>
    <w:rsid w:val="000B2096"/>
    <w:rsid w:val="000B21FE"/>
    <w:rsid w:val="000B232C"/>
    <w:rsid w:val="000B256C"/>
    <w:rsid w:val="000B266E"/>
    <w:rsid w:val="000B2A44"/>
    <w:rsid w:val="000B2BB5"/>
    <w:rsid w:val="000B2C73"/>
    <w:rsid w:val="000B2CD7"/>
    <w:rsid w:val="000B3034"/>
    <w:rsid w:val="000B3082"/>
    <w:rsid w:val="000B30AD"/>
    <w:rsid w:val="000B315C"/>
    <w:rsid w:val="000B323E"/>
    <w:rsid w:val="000B32B4"/>
    <w:rsid w:val="000B32C3"/>
    <w:rsid w:val="000B333B"/>
    <w:rsid w:val="000B34E6"/>
    <w:rsid w:val="000B366C"/>
    <w:rsid w:val="000B37B6"/>
    <w:rsid w:val="000B398D"/>
    <w:rsid w:val="000B3A0D"/>
    <w:rsid w:val="000B3BBE"/>
    <w:rsid w:val="000B3BDA"/>
    <w:rsid w:val="000B3EA1"/>
    <w:rsid w:val="000B461D"/>
    <w:rsid w:val="000B4A18"/>
    <w:rsid w:val="000B4A5A"/>
    <w:rsid w:val="000B4C87"/>
    <w:rsid w:val="000B4CF4"/>
    <w:rsid w:val="000B4DF3"/>
    <w:rsid w:val="000B4E67"/>
    <w:rsid w:val="000B50C3"/>
    <w:rsid w:val="000B5151"/>
    <w:rsid w:val="000B5246"/>
    <w:rsid w:val="000B52D1"/>
    <w:rsid w:val="000B557B"/>
    <w:rsid w:val="000B55DB"/>
    <w:rsid w:val="000B56B2"/>
    <w:rsid w:val="000B5952"/>
    <w:rsid w:val="000B5BFF"/>
    <w:rsid w:val="000B5CA2"/>
    <w:rsid w:val="000B5DAA"/>
    <w:rsid w:val="000B5F87"/>
    <w:rsid w:val="000B605A"/>
    <w:rsid w:val="000B640B"/>
    <w:rsid w:val="000B6423"/>
    <w:rsid w:val="000B642F"/>
    <w:rsid w:val="000B6731"/>
    <w:rsid w:val="000B6747"/>
    <w:rsid w:val="000B6896"/>
    <w:rsid w:val="000B69CA"/>
    <w:rsid w:val="000B6A63"/>
    <w:rsid w:val="000B6C32"/>
    <w:rsid w:val="000B6EAA"/>
    <w:rsid w:val="000B6F16"/>
    <w:rsid w:val="000B6F6A"/>
    <w:rsid w:val="000B6FC4"/>
    <w:rsid w:val="000B7266"/>
    <w:rsid w:val="000B73AD"/>
    <w:rsid w:val="000B73D3"/>
    <w:rsid w:val="000B79AF"/>
    <w:rsid w:val="000B7AC7"/>
    <w:rsid w:val="000B7B39"/>
    <w:rsid w:val="000B7D33"/>
    <w:rsid w:val="000B7F0B"/>
    <w:rsid w:val="000C023A"/>
    <w:rsid w:val="000C03A2"/>
    <w:rsid w:val="000C04E0"/>
    <w:rsid w:val="000C07FB"/>
    <w:rsid w:val="000C0D59"/>
    <w:rsid w:val="000C0FF0"/>
    <w:rsid w:val="000C1105"/>
    <w:rsid w:val="000C11E6"/>
    <w:rsid w:val="000C1347"/>
    <w:rsid w:val="000C150E"/>
    <w:rsid w:val="000C1848"/>
    <w:rsid w:val="000C1982"/>
    <w:rsid w:val="000C1C34"/>
    <w:rsid w:val="000C2148"/>
    <w:rsid w:val="000C2385"/>
    <w:rsid w:val="000C288B"/>
    <w:rsid w:val="000C2A9C"/>
    <w:rsid w:val="000C2C22"/>
    <w:rsid w:val="000C2C23"/>
    <w:rsid w:val="000C2C70"/>
    <w:rsid w:val="000C2DF1"/>
    <w:rsid w:val="000C2E65"/>
    <w:rsid w:val="000C3403"/>
    <w:rsid w:val="000C3446"/>
    <w:rsid w:val="000C3722"/>
    <w:rsid w:val="000C3755"/>
    <w:rsid w:val="000C38F2"/>
    <w:rsid w:val="000C3996"/>
    <w:rsid w:val="000C3A35"/>
    <w:rsid w:val="000C3A47"/>
    <w:rsid w:val="000C40BC"/>
    <w:rsid w:val="000C435E"/>
    <w:rsid w:val="000C4498"/>
    <w:rsid w:val="000C48CA"/>
    <w:rsid w:val="000C4CB9"/>
    <w:rsid w:val="000C5155"/>
    <w:rsid w:val="000C520E"/>
    <w:rsid w:val="000C5274"/>
    <w:rsid w:val="000C54A8"/>
    <w:rsid w:val="000C54E0"/>
    <w:rsid w:val="000C552D"/>
    <w:rsid w:val="000C5540"/>
    <w:rsid w:val="000C5690"/>
    <w:rsid w:val="000C5731"/>
    <w:rsid w:val="000C5829"/>
    <w:rsid w:val="000C5B4D"/>
    <w:rsid w:val="000C5B5A"/>
    <w:rsid w:val="000C5C33"/>
    <w:rsid w:val="000C5C68"/>
    <w:rsid w:val="000C5C71"/>
    <w:rsid w:val="000C5C7F"/>
    <w:rsid w:val="000C5CC1"/>
    <w:rsid w:val="000C5E82"/>
    <w:rsid w:val="000C5F0D"/>
    <w:rsid w:val="000C5F6E"/>
    <w:rsid w:val="000C5F80"/>
    <w:rsid w:val="000C621D"/>
    <w:rsid w:val="000C669D"/>
    <w:rsid w:val="000C6737"/>
    <w:rsid w:val="000C67C4"/>
    <w:rsid w:val="000C687D"/>
    <w:rsid w:val="000C6AC8"/>
    <w:rsid w:val="000C6BA9"/>
    <w:rsid w:val="000C6BC7"/>
    <w:rsid w:val="000C6BE0"/>
    <w:rsid w:val="000C7439"/>
    <w:rsid w:val="000C757D"/>
    <w:rsid w:val="000C7679"/>
    <w:rsid w:val="000C7687"/>
    <w:rsid w:val="000C78FD"/>
    <w:rsid w:val="000C7979"/>
    <w:rsid w:val="000C7D33"/>
    <w:rsid w:val="000C7E5D"/>
    <w:rsid w:val="000D0090"/>
    <w:rsid w:val="000D015B"/>
    <w:rsid w:val="000D0272"/>
    <w:rsid w:val="000D0332"/>
    <w:rsid w:val="000D03E8"/>
    <w:rsid w:val="000D04A0"/>
    <w:rsid w:val="000D0C9B"/>
    <w:rsid w:val="000D0CCB"/>
    <w:rsid w:val="000D1313"/>
    <w:rsid w:val="000D137E"/>
    <w:rsid w:val="000D14B7"/>
    <w:rsid w:val="000D16BF"/>
    <w:rsid w:val="000D1925"/>
    <w:rsid w:val="000D1D49"/>
    <w:rsid w:val="000D1F20"/>
    <w:rsid w:val="000D2026"/>
    <w:rsid w:val="000D21F3"/>
    <w:rsid w:val="000D2399"/>
    <w:rsid w:val="000D25E7"/>
    <w:rsid w:val="000D2740"/>
    <w:rsid w:val="000D297D"/>
    <w:rsid w:val="000D2B59"/>
    <w:rsid w:val="000D2BFA"/>
    <w:rsid w:val="000D2C9B"/>
    <w:rsid w:val="000D2D6C"/>
    <w:rsid w:val="000D2F58"/>
    <w:rsid w:val="000D2F66"/>
    <w:rsid w:val="000D3053"/>
    <w:rsid w:val="000D3063"/>
    <w:rsid w:val="000D3132"/>
    <w:rsid w:val="000D3182"/>
    <w:rsid w:val="000D3233"/>
    <w:rsid w:val="000D32F4"/>
    <w:rsid w:val="000D333A"/>
    <w:rsid w:val="000D33F1"/>
    <w:rsid w:val="000D38E1"/>
    <w:rsid w:val="000D3B3E"/>
    <w:rsid w:val="000D3C90"/>
    <w:rsid w:val="000D3E0C"/>
    <w:rsid w:val="000D4106"/>
    <w:rsid w:val="000D4160"/>
    <w:rsid w:val="000D42C4"/>
    <w:rsid w:val="000D51A3"/>
    <w:rsid w:val="000D537D"/>
    <w:rsid w:val="000D56BF"/>
    <w:rsid w:val="000D571D"/>
    <w:rsid w:val="000D5B00"/>
    <w:rsid w:val="000D5B53"/>
    <w:rsid w:val="000D5BD9"/>
    <w:rsid w:val="000D5D32"/>
    <w:rsid w:val="000D5DFC"/>
    <w:rsid w:val="000D5E17"/>
    <w:rsid w:val="000D5EB5"/>
    <w:rsid w:val="000D5F87"/>
    <w:rsid w:val="000D5FC0"/>
    <w:rsid w:val="000D6163"/>
    <w:rsid w:val="000D6226"/>
    <w:rsid w:val="000D625E"/>
    <w:rsid w:val="000D6477"/>
    <w:rsid w:val="000D6737"/>
    <w:rsid w:val="000D678C"/>
    <w:rsid w:val="000D69B6"/>
    <w:rsid w:val="000D6A0B"/>
    <w:rsid w:val="000D6B9A"/>
    <w:rsid w:val="000D6CB6"/>
    <w:rsid w:val="000D7103"/>
    <w:rsid w:val="000D714C"/>
    <w:rsid w:val="000D7210"/>
    <w:rsid w:val="000D7779"/>
    <w:rsid w:val="000D77A9"/>
    <w:rsid w:val="000D789B"/>
    <w:rsid w:val="000D78AB"/>
    <w:rsid w:val="000D7AC4"/>
    <w:rsid w:val="000D7BF7"/>
    <w:rsid w:val="000D7C73"/>
    <w:rsid w:val="000D7E6A"/>
    <w:rsid w:val="000D7FD5"/>
    <w:rsid w:val="000D7FEB"/>
    <w:rsid w:val="000E019F"/>
    <w:rsid w:val="000E0269"/>
    <w:rsid w:val="000E04A1"/>
    <w:rsid w:val="000E0546"/>
    <w:rsid w:val="000E09A1"/>
    <w:rsid w:val="000E0E52"/>
    <w:rsid w:val="000E0EED"/>
    <w:rsid w:val="000E11D1"/>
    <w:rsid w:val="000E11DC"/>
    <w:rsid w:val="000E1273"/>
    <w:rsid w:val="000E16BD"/>
    <w:rsid w:val="000E16F9"/>
    <w:rsid w:val="000E1835"/>
    <w:rsid w:val="000E1992"/>
    <w:rsid w:val="000E1B81"/>
    <w:rsid w:val="000E1FF9"/>
    <w:rsid w:val="000E20D5"/>
    <w:rsid w:val="000E2204"/>
    <w:rsid w:val="000E2752"/>
    <w:rsid w:val="000E2943"/>
    <w:rsid w:val="000E2995"/>
    <w:rsid w:val="000E29C7"/>
    <w:rsid w:val="000E2AF7"/>
    <w:rsid w:val="000E2B1A"/>
    <w:rsid w:val="000E2D4E"/>
    <w:rsid w:val="000E2DC1"/>
    <w:rsid w:val="000E2E16"/>
    <w:rsid w:val="000E2EB7"/>
    <w:rsid w:val="000E31D6"/>
    <w:rsid w:val="000E323B"/>
    <w:rsid w:val="000E3264"/>
    <w:rsid w:val="000E3412"/>
    <w:rsid w:val="000E34E8"/>
    <w:rsid w:val="000E35B8"/>
    <w:rsid w:val="000E3650"/>
    <w:rsid w:val="000E3A97"/>
    <w:rsid w:val="000E3BF9"/>
    <w:rsid w:val="000E3D05"/>
    <w:rsid w:val="000E3DA2"/>
    <w:rsid w:val="000E3E6B"/>
    <w:rsid w:val="000E3EFB"/>
    <w:rsid w:val="000E3FB4"/>
    <w:rsid w:val="000E3FB8"/>
    <w:rsid w:val="000E3FF3"/>
    <w:rsid w:val="000E4009"/>
    <w:rsid w:val="000E4125"/>
    <w:rsid w:val="000E41E0"/>
    <w:rsid w:val="000E42A2"/>
    <w:rsid w:val="000E43E8"/>
    <w:rsid w:val="000E45DD"/>
    <w:rsid w:val="000E45E3"/>
    <w:rsid w:val="000E4B01"/>
    <w:rsid w:val="000E4B65"/>
    <w:rsid w:val="000E4BAC"/>
    <w:rsid w:val="000E4C9B"/>
    <w:rsid w:val="000E4C9C"/>
    <w:rsid w:val="000E4DE1"/>
    <w:rsid w:val="000E4DEB"/>
    <w:rsid w:val="000E503C"/>
    <w:rsid w:val="000E506A"/>
    <w:rsid w:val="000E53E0"/>
    <w:rsid w:val="000E555E"/>
    <w:rsid w:val="000E573C"/>
    <w:rsid w:val="000E5959"/>
    <w:rsid w:val="000E5A42"/>
    <w:rsid w:val="000E5C23"/>
    <w:rsid w:val="000E6108"/>
    <w:rsid w:val="000E6127"/>
    <w:rsid w:val="000E64A3"/>
    <w:rsid w:val="000E64FF"/>
    <w:rsid w:val="000E6605"/>
    <w:rsid w:val="000E6643"/>
    <w:rsid w:val="000E665C"/>
    <w:rsid w:val="000E6A05"/>
    <w:rsid w:val="000E6FA5"/>
    <w:rsid w:val="000E73BF"/>
    <w:rsid w:val="000E771B"/>
    <w:rsid w:val="000E790E"/>
    <w:rsid w:val="000E7AA1"/>
    <w:rsid w:val="000E7B77"/>
    <w:rsid w:val="000E7C1F"/>
    <w:rsid w:val="000E7C4A"/>
    <w:rsid w:val="000E7F9B"/>
    <w:rsid w:val="000F027A"/>
    <w:rsid w:val="000F0433"/>
    <w:rsid w:val="000F04FF"/>
    <w:rsid w:val="000F055F"/>
    <w:rsid w:val="000F0916"/>
    <w:rsid w:val="000F0927"/>
    <w:rsid w:val="000F09B7"/>
    <w:rsid w:val="000F0A08"/>
    <w:rsid w:val="000F0C63"/>
    <w:rsid w:val="000F0D4D"/>
    <w:rsid w:val="000F0F1D"/>
    <w:rsid w:val="000F0F76"/>
    <w:rsid w:val="000F0FFC"/>
    <w:rsid w:val="000F1003"/>
    <w:rsid w:val="000F1065"/>
    <w:rsid w:val="000F1535"/>
    <w:rsid w:val="000F1620"/>
    <w:rsid w:val="000F1776"/>
    <w:rsid w:val="000F19E9"/>
    <w:rsid w:val="000F1A03"/>
    <w:rsid w:val="000F1C5F"/>
    <w:rsid w:val="000F1D76"/>
    <w:rsid w:val="000F1EC0"/>
    <w:rsid w:val="000F1F0C"/>
    <w:rsid w:val="000F1FAA"/>
    <w:rsid w:val="000F1FB0"/>
    <w:rsid w:val="000F275E"/>
    <w:rsid w:val="000F277B"/>
    <w:rsid w:val="000F27EB"/>
    <w:rsid w:val="000F28AD"/>
    <w:rsid w:val="000F2AF5"/>
    <w:rsid w:val="000F2C66"/>
    <w:rsid w:val="000F2EDC"/>
    <w:rsid w:val="000F2F2D"/>
    <w:rsid w:val="000F31AD"/>
    <w:rsid w:val="000F31B3"/>
    <w:rsid w:val="000F31E8"/>
    <w:rsid w:val="000F336C"/>
    <w:rsid w:val="000F34F7"/>
    <w:rsid w:val="000F353F"/>
    <w:rsid w:val="000F3629"/>
    <w:rsid w:val="000F3673"/>
    <w:rsid w:val="000F368F"/>
    <w:rsid w:val="000F36AA"/>
    <w:rsid w:val="000F385F"/>
    <w:rsid w:val="000F3892"/>
    <w:rsid w:val="000F3B69"/>
    <w:rsid w:val="000F3C1F"/>
    <w:rsid w:val="000F4276"/>
    <w:rsid w:val="000F4331"/>
    <w:rsid w:val="000F4440"/>
    <w:rsid w:val="000F44A2"/>
    <w:rsid w:val="000F44B0"/>
    <w:rsid w:val="000F472A"/>
    <w:rsid w:val="000F4A9C"/>
    <w:rsid w:val="000F4AA4"/>
    <w:rsid w:val="000F4C40"/>
    <w:rsid w:val="000F4F16"/>
    <w:rsid w:val="000F5433"/>
    <w:rsid w:val="000F5B98"/>
    <w:rsid w:val="000F5BD5"/>
    <w:rsid w:val="000F609E"/>
    <w:rsid w:val="000F60FC"/>
    <w:rsid w:val="000F61E2"/>
    <w:rsid w:val="000F6363"/>
    <w:rsid w:val="000F64EF"/>
    <w:rsid w:val="000F6B67"/>
    <w:rsid w:val="000F6BDD"/>
    <w:rsid w:val="000F6DCA"/>
    <w:rsid w:val="000F6E9F"/>
    <w:rsid w:val="000F6FA2"/>
    <w:rsid w:val="000F721E"/>
    <w:rsid w:val="000F725F"/>
    <w:rsid w:val="000F72B1"/>
    <w:rsid w:val="000F72F7"/>
    <w:rsid w:val="000F741D"/>
    <w:rsid w:val="000F74B3"/>
    <w:rsid w:val="000F7597"/>
    <w:rsid w:val="000F75D8"/>
    <w:rsid w:val="000F75DB"/>
    <w:rsid w:val="000F7764"/>
    <w:rsid w:val="000F79F1"/>
    <w:rsid w:val="000F7BA1"/>
    <w:rsid w:val="000F7C25"/>
    <w:rsid w:val="000F7D28"/>
    <w:rsid w:val="000F7E3D"/>
    <w:rsid w:val="000F7E55"/>
    <w:rsid w:val="000F7E9F"/>
    <w:rsid w:val="001001F8"/>
    <w:rsid w:val="00100471"/>
    <w:rsid w:val="0010047E"/>
    <w:rsid w:val="00100508"/>
    <w:rsid w:val="0010095A"/>
    <w:rsid w:val="001009E5"/>
    <w:rsid w:val="00100AAF"/>
    <w:rsid w:val="00100BBC"/>
    <w:rsid w:val="00100BD9"/>
    <w:rsid w:val="00100C05"/>
    <w:rsid w:val="00100CA5"/>
    <w:rsid w:val="00100DC1"/>
    <w:rsid w:val="001012C7"/>
    <w:rsid w:val="00101451"/>
    <w:rsid w:val="0010157F"/>
    <w:rsid w:val="0010183E"/>
    <w:rsid w:val="00101860"/>
    <w:rsid w:val="001018A1"/>
    <w:rsid w:val="00101A01"/>
    <w:rsid w:val="00101A46"/>
    <w:rsid w:val="00101C9C"/>
    <w:rsid w:val="00101DDD"/>
    <w:rsid w:val="00101E4F"/>
    <w:rsid w:val="00101EA8"/>
    <w:rsid w:val="00101FC0"/>
    <w:rsid w:val="00102044"/>
    <w:rsid w:val="00102153"/>
    <w:rsid w:val="00102263"/>
    <w:rsid w:val="001022A7"/>
    <w:rsid w:val="00102388"/>
    <w:rsid w:val="00102466"/>
    <w:rsid w:val="001027BA"/>
    <w:rsid w:val="00102AA7"/>
    <w:rsid w:val="0010324C"/>
    <w:rsid w:val="001033C5"/>
    <w:rsid w:val="0010342E"/>
    <w:rsid w:val="00103669"/>
    <w:rsid w:val="00103693"/>
    <w:rsid w:val="001038A1"/>
    <w:rsid w:val="00103912"/>
    <w:rsid w:val="00103CEB"/>
    <w:rsid w:val="00103EA1"/>
    <w:rsid w:val="00104037"/>
    <w:rsid w:val="00104237"/>
    <w:rsid w:val="00104565"/>
    <w:rsid w:val="0010478C"/>
    <w:rsid w:val="0010482C"/>
    <w:rsid w:val="00104A5A"/>
    <w:rsid w:val="00104B0F"/>
    <w:rsid w:val="00104D45"/>
    <w:rsid w:val="00104FAE"/>
    <w:rsid w:val="00105136"/>
    <w:rsid w:val="001051AA"/>
    <w:rsid w:val="00105291"/>
    <w:rsid w:val="001053D6"/>
    <w:rsid w:val="00105532"/>
    <w:rsid w:val="0010560F"/>
    <w:rsid w:val="001056C9"/>
    <w:rsid w:val="001056E2"/>
    <w:rsid w:val="0010587B"/>
    <w:rsid w:val="001059AE"/>
    <w:rsid w:val="00105B82"/>
    <w:rsid w:val="00105C75"/>
    <w:rsid w:val="00105E63"/>
    <w:rsid w:val="00105E65"/>
    <w:rsid w:val="0010623C"/>
    <w:rsid w:val="00106296"/>
    <w:rsid w:val="00106409"/>
    <w:rsid w:val="00106A88"/>
    <w:rsid w:val="00106CDE"/>
    <w:rsid w:val="001070A7"/>
    <w:rsid w:val="001070CF"/>
    <w:rsid w:val="0010718C"/>
    <w:rsid w:val="001071E9"/>
    <w:rsid w:val="00107296"/>
    <w:rsid w:val="001072D7"/>
    <w:rsid w:val="001073B7"/>
    <w:rsid w:val="00107783"/>
    <w:rsid w:val="001078B5"/>
    <w:rsid w:val="00107C86"/>
    <w:rsid w:val="00107DCF"/>
    <w:rsid w:val="001101E8"/>
    <w:rsid w:val="00110274"/>
    <w:rsid w:val="00110398"/>
    <w:rsid w:val="001105C1"/>
    <w:rsid w:val="001105FC"/>
    <w:rsid w:val="00110938"/>
    <w:rsid w:val="001109FD"/>
    <w:rsid w:val="00110ACF"/>
    <w:rsid w:val="00110C2E"/>
    <w:rsid w:val="00110C7A"/>
    <w:rsid w:val="00110E78"/>
    <w:rsid w:val="00110F58"/>
    <w:rsid w:val="00110F68"/>
    <w:rsid w:val="001111D7"/>
    <w:rsid w:val="001111D8"/>
    <w:rsid w:val="00111252"/>
    <w:rsid w:val="0011125A"/>
    <w:rsid w:val="0011134F"/>
    <w:rsid w:val="001115E3"/>
    <w:rsid w:val="001117DE"/>
    <w:rsid w:val="001118E0"/>
    <w:rsid w:val="00111B17"/>
    <w:rsid w:val="00111C34"/>
    <w:rsid w:val="00111C8A"/>
    <w:rsid w:val="00111D96"/>
    <w:rsid w:val="00111D9E"/>
    <w:rsid w:val="00111DE7"/>
    <w:rsid w:val="00111E5A"/>
    <w:rsid w:val="00111F73"/>
    <w:rsid w:val="001121FC"/>
    <w:rsid w:val="00112266"/>
    <w:rsid w:val="001122AB"/>
    <w:rsid w:val="00112429"/>
    <w:rsid w:val="001124EA"/>
    <w:rsid w:val="00112558"/>
    <w:rsid w:val="001125D3"/>
    <w:rsid w:val="00112B22"/>
    <w:rsid w:val="00112E8F"/>
    <w:rsid w:val="00112F0C"/>
    <w:rsid w:val="0011311A"/>
    <w:rsid w:val="001132BD"/>
    <w:rsid w:val="00113310"/>
    <w:rsid w:val="001135B9"/>
    <w:rsid w:val="0011368E"/>
    <w:rsid w:val="001137A6"/>
    <w:rsid w:val="00113AC8"/>
    <w:rsid w:val="00113D2A"/>
    <w:rsid w:val="00113F9B"/>
    <w:rsid w:val="001143C8"/>
    <w:rsid w:val="00114656"/>
    <w:rsid w:val="00114665"/>
    <w:rsid w:val="00114681"/>
    <w:rsid w:val="001149A0"/>
    <w:rsid w:val="00114DAE"/>
    <w:rsid w:val="00114F4B"/>
    <w:rsid w:val="00115067"/>
    <w:rsid w:val="00115360"/>
    <w:rsid w:val="001154BF"/>
    <w:rsid w:val="0011579A"/>
    <w:rsid w:val="00115C2A"/>
    <w:rsid w:val="00115D6E"/>
    <w:rsid w:val="00115E8C"/>
    <w:rsid w:val="00115F1B"/>
    <w:rsid w:val="00115FD6"/>
    <w:rsid w:val="00116011"/>
    <w:rsid w:val="00116167"/>
    <w:rsid w:val="001161D9"/>
    <w:rsid w:val="00116230"/>
    <w:rsid w:val="001162E7"/>
    <w:rsid w:val="0011645F"/>
    <w:rsid w:val="001164CF"/>
    <w:rsid w:val="00116512"/>
    <w:rsid w:val="001165BE"/>
    <w:rsid w:val="0011671C"/>
    <w:rsid w:val="00116B65"/>
    <w:rsid w:val="00116BB0"/>
    <w:rsid w:val="00116CBD"/>
    <w:rsid w:val="00116DD3"/>
    <w:rsid w:val="00116E3E"/>
    <w:rsid w:val="00116E4D"/>
    <w:rsid w:val="00116FB0"/>
    <w:rsid w:val="00117280"/>
    <w:rsid w:val="001172BA"/>
    <w:rsid w:val="001172F6"/>
    <w:rsid w:val="001174B9"/>
    <w:rsid w:val="001176B4"/>
    <w:rsid w:val="0011790D"/>
    <w:rsid w:val="00117C98"/>
    <w:rsid w:val="00117E8A"/>
    <w:rsid w:val="00117FB0"/>
    <w:rsid w:val="00120188"/>
    <w:rsid w:val="00120363"/>
    <w:rsid w:val="001204D5"/>
    <w:rsid w:val="0012081D"/>
    <w:rsid w:val="00120910"/>
    <w:rsid w:val="00120A96"/>
    <w:rsid w:val="00120E85"/>
    <w:rsid w:val="00121096"/>
    <w:rsid w:val="00121561"/>
    <w:rsid w:val="001217C9"/>
    <w:rsid w:val="001217F9"/>
    <w:rsid w:val="001219B3"/>
    <w:rsid w:val="00121AFB"/>
    <w:rsid w:val="00121CD1"/>
    <w:rsid w:val="00121DB8"/>
    <w:rsid w:val="0012206D"/>
    <w:rsid w:val="00122267"/>
    <w:rsid w:val="001222B2"/>
    <w:rsid w:val="001223E0"/>
    <w:rsid w:val="00122564"/>
    <w:rsid w:val="00122C1F"/>
    <w:rsid w:val="00122DE3"/>
    <w:rsid w:val="00122E41"/>
    <w:rsid w:val="00122F3A"/>
    <w:rsid w:val="001233CE"/>
    <w:rsid w:val="00123437"/>
    <w:rsid w:val="001234BF"/>
    <w:rsid w:val="001237BC"/>
    <w:rsid w:val="00123958"/>
    <w:rsid w:val="00123BBD"/>
    <w:rsid w:val="00123CE1"/>
    <w:rsid w:val="00123D35"/>
    <w:rsid w:val="00123DE6"/>
    <w:rsid w:val="00123DFE"/>
    <w:rsid w:val="00124113"/>
    <w:rsid w:val="0012415B"/>
    <w:rsid w:val="00124214"/>
    <w:rsid w:val="001243A4"/>
    <w:rsid w:val="00124634"/>
    <w:rsid w:val="0012473E"/>
    <w:rsid w:val="001247A8"/>
    <w:rsid w:val="001248AF"/>
    <w:rsid w:val="00124A71"/>
    <w:rsid w:val="00124B28"/>
    <w:rsid w:val="00124DF6"/>
    <w:rsid w:val="00124E2E"/>
    <w:rsid w:val="00124E8A"/>
    <w:rsid w:val="00124F77"/>
    <w:rsid w:val="0012520D"/>
    <w:rsid w:val="0012528F"/>
    <w:rsid w:val="001253B5"/>
    <w:rsid w:val="001253F7"/>
    <w:rsid w:val="00125407"/>
    <w:rsid w:val="0012557C"/>
    <w:rsid w:val="00125761"/>
    <w:rsid w:val="001258F7"/>
    <w:rsid w:val="00125A22"/>
    <w:rsid w:val="00125A96"/>
    <w:rsid w:val="00125B56"/>
    <w:rsid w:val="00125BBA"/>
    <w:rsid w:val="00125D6D"/>
    <w:rsid w:val="00125F84"/>
    <w:rsid w:val="00125F85"/>
    <w:rsid w:val="00125FCD"/>
    <w:rsid w:val="001261DD"/>
    <w:rsid w:val="00126CB8"/>
    <w:rsid w:val="00126DE1"/>
    <w:rsid w:val="00126E32"/>
    <w:rsid w:val="00126FAD"/>
    <w:rsid w:val="00127011"/>
    <w:rsid w:val="0012703B"/>
    <w:rsid w:val="001270BE"/>
    <w:rsid w:val="0012726A"/>
    <w:rsid w:val="00127381"/>
    <w:rsid w:val="00127485"/>
    <w:rsid w:val="00127692"/>
    <w:rsid w:val="001276A0"/>
    <w:rsid w:val="00127784"/>
    <w:rsid w:val="001279B3"/>
    <w:rsid w:val="00127A64"/>
    <w:rsid w:val="00127DF6"/>
    <w:rsid w:val="00127EFF"/>
    <w:rsid w:val="00130074"/>
    <w:rsid w:val="0013007E"/>
    <w:rsid w:val="00130221"/>
    <w:rsid w:val="00130ACB"/>
    <w:rsid w:val="00130BF2"/>
    <w:rsid w:val="00130C7C"/>
    <w:rsid w:val="00130E55"/>
    <w:rsid w:val="001310DF"/>
    <w:rsid w:val="0013123F"/>
    <w:rsid w:val="00131256"/>
    <w:rsid w:val="00131432"/>
    <w:rsid w:val="001315A6"/>
    <w:rsid w:val="001315DB"/>
    <w:rsid w:val="00131659"/>
    <w:rsid w:val="00131847"/>
    <w:rsid w:val="001318BD"/>
    <w:rsid w:val="00131B0F"/>
    <w:rsid w:val="00131B20"/>
    <w:rsid w:val="00131E8E"/>
    <w:rsid w:val="00131F1B"/>
    <w:rsid w:val="00132089"/>
    <w:rsid w:val="001322CD"/>
    <w:rsid w:val="00132371"/>
    <w:rsid w:val="001325DD"/>
    <w:rsid w:val="00132610"/>
    <w:rsid w:val="0013263C"/>
    <w:rsid w:val="00132679"/>
    <w:rsid w:val="001327E3"/>
    <w:rsid w:val="0013299A"/>
    <w:rsid w:val="00132CBE"/>
    <w:rsid w:val="00132D6B"/>
    <w:rsid w:val="00132DB2"/>
    <w:rsid w:val="00132E5C"/>
    <w:rsid w:val="00132F2C"/>
    <w:rsid w:val="001334BC"/>
    <w:rsid w:val="0013356F"/>
    <w:rsid w:val="00133926"/>
    <w:rsid w:val="00133AC8"/>
    <w:rsid w:val="00133BF3"/>
    <w:rsid w:val="00133D72"/>
    <w:rsid w:val="00133FC8"/>
    <w:rsid w:val="00133FFF"/>
    <w:rsid w:val="0013410C"/>
    <w:rsid w:val="00134259"/>
    <w:rsid w:val="001345DF"/>
    <w:rsid w:val="0013464F"/>
    <w:rsid w:val="00134655"/>
    <w:rsid w:val="00134B9C"/>
    <w:rsid w:val="00134C78"/>
    <w:rsid w:val="00134D24"/>
    <w:rsid w:val="00134DC7"/>
    <w:rsid w:val="00134F82"/>
    <w:rsid w:val="001355F6"/>
    <w:rsid w:val="0013564E"/>
    <w:rsid w:val="00135683"/>
    <w:rsid w:val="00135849"/>
    <w:rsid w:val="0013595B"/>
    <w:rsid w:val="001359AD"/>
    <w:rsid w:val="00135A97"/>
    <w:rsid w:val="00135D6C"/>
    <w:rsid w:val="00135E8D"/>
    <w:rsid w:val="00135F16"/>
    <w:rsid w:val="001361F0"/>
    <w:rsid w:val="0013632F"/>
    <w:rsid w:val="00136433"/>
    <w:rsid w:val="0013645E"/>
    <w:rsid w:val="00136827"/>
    <w:rsid w:val="00136894"/>
    <w:rsid w:val="00136A85"/>
    <w:rsid w:val="00136C47"/>
    <w:rsid w:val="00136D05"/>
    <w:rsid w:val="00136D82"/>
    <w:rsid w:val="00136E34"/>
    <w:rsid w:val="00136E61"/>
    <w:rsid w:val="00136E69"/>
    <w:rsid w:val="0013719C"/>
    <w:rsid w:val="001371B9"/>
    <w:rsid w:val="0013727F"/>
    <w:rsid w:val="00137337"/>
    <w:rsid w:val="00137535"/>
    <w:rsid w:val="001375D4"/>
    <w:rsid w:val="0013768E"/>
    <w:rsid w:val="001376BC"/>
    <w:rsid w:val="00137856"/>
    <w:rsid w:val="0013790E"/>
    <w:rsid w:val="001379B7"/>
    <w:rsid w:val="001379BD"/>
    <w:rsid w:val="00137CA2"/>
    <w:rsid w:val="00137D0D"/>
    <w:rsid w:val="00137DA2"/>
    <w:rsid w:val="00137E8E"/>
    <w:rsid w:val="00137E91"/>
    <w:rsid w:val="0014014D"/>
    <w:rsid w:val="001401D3"/>
    <w:rsid w:val="00140208"/>
    <w:rsid w:val="0014031A"/>
    <w:rsid w:val="001403EC"/>
    <w:rsid w:val="0014051E"/>
    <w:rsid w:val="0014059B"/>
    <w:rsid w:val="0014067A"/>
    <w:rsid w:val="00140864"/>
    <w:rsid w:val="00140BA3"/>
    <w:rsid w:val="00140C4D"/>
    <w:rsid w:val="001410E5"/>
    <w:rsid w:val="001410FE"/>
    <w:rsid w:val="001411CD"/>
    <w:rsid w:val="00141392"/>
    <w:rsid w:val="001413CB"/>
    <w:rsid w:val="001416FF"/>
    <w:rsid w:val="00141BC1"/>
    <w:rsid w:val="00141BE4"/>
    <w:rsid w:val="00141BF8"/>
    <w:rsid w:val="00141CBF"/>
    <w:rsid w:val="00141CF7"/>
    <w:rsid w:val="00141E61"/>
    <w:rsid w:val="001423BC"/>
    <w:rsid w:val="001423CB"/>
    <w:rsid w:val="00142505"/>
    <w:rsid w:val="00142A7F"/>
    <w:rsid w:val="00142C40"/>
    <w:rsid w:val="00142CA9"/>
    <w:rsid w:val="00142CD1"/>
    <w:rsid w:val="00142DAF"/>
    <w:rsid w:val="001433B2"/>
    <w:rsid w:val="0014357A"/>
    <w:rsid w:val="001439C3"/>
    <w:rsid w:val="00143C59"/>
    <w:rsid w:val="00143CC2"/>
    <w:rsid w:val="00143D28"/>
    <w:rsid w:val="0014404D"/>
    <w:rsid w:val="0014424E"/>
    <w:rsid w:val="00144750"/>
    <w:rsid w:val="00144804"/>
    <w:rsid w:val="0014486A"/>
    <w:rsid w:val="00144871"/>
    <w:rsid w:val="00144A1B"/>
    <w:rsid w:val="00144B4F"/>
    <w:rsid w:val="00144BED"/>
    <w:rsid w:val="00144C55"/>
    <w:rsid w:val="00144DF9"/>
    <w:rsid w:val="00144ED6"/>
    <w:rsid w:val="001451B6"/>
    <w:rsid w:val="0014521E"/>
    <w:rsid w:val="0014527A"/>
    <w:rsid w:val="0014532E"/>
    <w:rsid w:val="00145425"/>
    <w:rsid w:val="00145439"/>
    <w:rsid w:val="0014544D"/>
    <w:rsid w:val="0014553C"/>
    <w:rsid w:val="00145634"/>
    <w:rsid w:val="001456CF"/>
    <w:rsid w:val="00145788"/>
    <w:rsid w:val="001458B0"/>
    <w:rsid w:val="0014593A"/>
    <w:rsid w:val="00145D38"/>
    <w:rsid w:val="00145F63"/>
    <w:rsid w:val="00145F6E"/>
    <w:rsid w:val="0014626C"/>
    <w:rsid w:val="001469B4"/>
    <w:rsid w:val="00146BF8"/>
    <w:rsid w:val="00146D41"/>
    <w:rsid w:val="00146DF9"/>
    <w:rsid w:val="00146E0C"/>
    <w:rsid w:val="00146EBE"/>
    <w:rsid w:val="00146EFF"/>
    <w:rsid w:val="00146F12"/>
    <w:rsid w:val="00147188"/>
    <w:rsid w:val="00147850"/>
    <w:rsid w:val="001478BB"/>
    <w:rsid w:val="00147906"/>
    <w:rsid w:val="001479FA"/>
    <w:rsid w:val="00147BA9"/>
    <w:rsid w:val="00147EB3"/>
    <w:rsid w:val="001500EE"/>
    <w:rsid w:val="00150107"/>
    <w:rsid w:val="001502EB"/>
    <w:rsid w:val="001503CF"/>
    <w:rsid w:val="00150559"/>
    <w:rsid w:val="001505AE"/>
    <w:rsid w:val="0015071D"/>
    <w:rsid w:val="00150728"/>
    <w:rsid w:val="00150769"/>
    <w:rsid w:val="001507B0"/>
    <w:rsid w:val="0015089F"/>
    <w:rsid w:val="00150CE9"/>
    <w:rsid w:val="001511B2"/>
    <w:rsid w:val="001511DD"/>
    <w:rsid w:val="001514A9"/>
    <w:rsid w:val="0015155A"/>
    <w:rsid w:val="0015157B"/>
    <w:rsid w:val="001515F2"/>
    <w:rsid w:val="00151626"/>
    <w:rsid w:val="0015193D"/>
    <w:rsid w:val="00151D91"/>
    <w:rsid w:val="00151EF9"/>
    <w:rsid w:val="00151FCA"/>
    <w:rsid w:val="00152035"/>
    <w:rsid w:val="0015210A"/>
    <w:rsid w:val="001521E6"/>
    <w:rsid w:val="001523A5"/>
    <w:rsid w:val="00152805"/>
    <w:rsid w:val="00152816"/>
    <w:rsid w:val="00152C9D"/>
    <w:rsid w:val="00152D10"/>
    <w:rsid w:val="001532E6"/>
    <w:rsid w:val="001532ED"/>
    <w:rsid w:val="001534B4"/>
    <w:rsid w:val="00153583"/>
    <w:rsid w:val="001536A3"/>
    <w:rsid w:val="001537C1"/>
    <w:rsid w:val="00153849"/>
    <w:rsid w:val="0015396E"/>
    <w:rsid w:val="00153979"/>
    <w:rsid w:val="00153A32"/>
    <w:rsid w:val="00153A85"/>
    <w:rsid w:val="00153B6E"/>
    <w:rsid w:val="00153B89"/>
    <w:rsid w:val="00153BF5"/>
    <w:rsid w:val="00153C10"/>
    <w:rsid w:val="00153C19"/>
    <w:rsid w:val="00153D36"/>
    <w:rsid w:val="00153D7C"/>
    <w:rsid w:val="00153E8C"/>
    <w:rsid w:val="0015410E"/>
    <w:rsid w:val="00154134"/>
    <w:rsid w:val="0015419F"/>
    <w:rsid w:val="001541AD"/>
    <w:rsid w:val="001544FC"/>
    <w:rsid w:val="001547BC"/>
    <w:rsid w:val="00154890"/>
    <w:rsid w:val="001549D8"/>
    <w:rsid w:val="00154A40"/>
    <w:rsid w:val="00154B35"/>
    <w:rsid w:val="00154C66"/>
    <w:rsid w:val="00154CF4"/>
    <w:rsid w:val="00154D6F"/>
    <w:rsid w:val="00154DCA"/>
    <w:rsid w:val="0015517E"/>
    <w:rsid w:val="001551D6"/>
    <w:rsid w:val="0015538A"/>
    <w:rsid w:val="0015552B"/>
    <w:rsid w:val="001555E4"/>
    <w:rsid w:val="0015561D"/>
    <w:rsid w:val="001556A0"/>
    <w:rsid w:val="001556BF"/>
    <w:rsid w:val="0015586A"/>
    <w:rsid w:val="001558A3"/>
    <w:rsid w:val="0015592C"/>
    <w:rsid w:val="00155A5F"/>
    <w:rsid w:val="00155ADF"/>
    <w:rsid w:val="00155D94"/>
    <w:rsid w:val="001560C8"/>
    <w:rsid w:val="0015618D"/>
    <w:rsid w:val="00156390"/>
    <w:rsid w:val="00156464"/>
    <w:rsid w:val="001564A9"/>
    <w:rsid w:val="0015673E"/>
    <w:rsid w:val="0015682E"/>
    <w:rsid w:val="00156898"/>
    <w:rsid w:val="001568EA"/>
    <w:rsid w:val="0015696E"/>
    <w:rsid w:val="00156AEB"/>
    <w:rsid w:val="00156B48"/>
    <w:rsid w:val="00156CD5"/>
    <w:rsid w:val="001570A3"/>
    <w:rsid w:val="001571A4"/>
    <w:rsid w:val="00157348"/>
    <w:rsid w:val="00157440"/>
    <w:rsid w:val="00157628"/>
    <w:rsid w:val="0015766A"/>
    <w:rsid w:val="00157672"/>
    <w:rsid w:val="00157828"/>
    <w:rsid w:val="00157952"/>
    <w:rsid w:val="00157A2E"/>
    <w:rsid w:val="00157A34"/>
    <w:rsid w:val="00157A6E"/>
    <w:rsid w:val="00157B5F"/>
    <w:rsid w:val="00157DDD"/>
    <w:rsid w:val="00157F03"/>
    <w:rsid w:val="0016041D"/>
    <w:rsid w:val="00160667"/>
    <w:rsid w:val="001606C0"/>
    <w:rsid w:val="00160C7A"/>
    <w:rsid w:val="00160C82"/>
    <w:rsid w:val="00160CC4"/>
    <w:rsid w:val="0016143D"/>
    <w:rsid w:val="0016150E"/>
    <w:rsid w:val="00161653"/>
    <w:rsid w:val="0016166C"/>
    <w:rsid w:val="0016209B"/>
    <w:rsid w:val="001621F1"/>
    <w:rsid w:val="001621F4"/>
    <w:rsid w:val="001628CA"/>
    <w:rsid w:val="001629E0"/>
    <w:rsid w:val="001629F7"/>
    <w:rsid w:val="00162A07"/>
    <w:rsid w:val="00162A5C"/>
    <w:rsid w:val="00162AB5"/>
    <w:rsid w:val="00162ECD"/>
    <w:rsid w:val="00162FA2"/>
    <w:rsid w:val="00163124"/>
    <w:rsid w:val="001631A4"/>
    <w:rsid w:val="001633A6"/>
    <w:rsid w:val="001633D8"/>
    <w:rsid w:val="00163642"/>
    <w:rsid w:val="00163700"/>
    <w:rsid w:val="001639D9"/>
    <w:rsid w:val="00163D2F"/>
    <w:rsid w:val="00163E23"/>
    <w:rsid w:val="00163E57"/>
    <w:rsid w:val="0016418D"/>
    <w:rsid w:val="0016421A"/>
    <w:rsid w:val="00164579"/>
    <w:rsid w:val="0016460F"/>
    <w:rsid w:val="00164627"/>
    <w:rsid w:val="001647E8"/>
    <w:rsid w:val="001647F3"/>
    <w:rsid w:val="0016499B"/>
    <w:rsid w:val="00164B0F"/>
    <w:rsid w:val="001650E3"/>
    <w:rsid w:val="001651FD"/>
    <w:rsid w:val="00165318"/>
    <w:rsid w:val="001653D8"/>
    <w:rsid w:val="0016568F"/>
    <w:rsid w:val="0016583B"/>
    <w:rsid w:val="001659A8"/>
    <w:rsid w:val="00165BB6"/>
    <w:rsid w:val="00165C13"/>
    <w:rsid w:val="00165C9A"/>
    <w:rsid w:val="00165D0F"/>
    <w:rsid w:val="00165DE8"/>
    <w:rsid w:val="00165E5E"/>
    <w:rsid w:val="00165E9A"/>
    <w:rsid w:val="00165F9A"/>
    <w:rsid w:val="001661A8"/>
    <w:rsid w:val="001661B4"/>
    <w:rsid w:val="00166266"/>
    <w:rsid w:val="001662B0"/>
    <w:rsid w:val="001667EC"/>
    <w:rsid w:val="001667F0"/>
    <w:rsid w:val="00166859"/>
    <w:rsid w:val="001668DB"/>
    <w:rsid w:val="0016695B"/>
    <w:rsid w:val="00166C72"/>
    <w:rsid w:val="00166CB3"/>
    <w:rsid w:val="00166DEC"/>
    <w:rsid w:val="00166EB4"/>
    <w:rsid w:val="00166EBE"/>
    <w:rsid w:val="001671E7"/>
    <w:rsid w:val="0016752C"/>
    <w:rsid w:val="001676D7"/>
    <w:rsid w:val="00167814"/>
    <w:rsid w:val="001678FF"/>
    <w:rsid w:val="00167A52"/>
    <w:rsid w:val="00167B55"/>
    <w:rsid w:val="00167C3E"/>
    <w:rsid w:val="00167C43"/>
    <w:rsid w:val="00167E68"/>
    <w:rsid w:val="00167EF7"/>
    <w:rsid w:val="00167F08"/>
    <w:rsid w:val="001700EA"/>
    <w:rsid w:val="001701C2"/>
    <w:rsid w:val="00170AB8"/>
    <w:rsid w:val="00170C0B"/>
    <w:rsid w:val="00170D30"/>
    <w:rsid w:val="00170D56"/>
    <w:rsid w:val="00170DD9"/>
    <w:rsid w:val="001711ED"/>
    <w:rsid w:val="00171223"/>
    <w:rsid w:val="0017126E"/>
    <w:rsid w:val="00171410"/>
    <w:rsid w:val="0017153D"/>
    <w:rsid w:val="0017159C"/>
    <w:rsid w:val="00171612"/>
    <w:rsid w:val="00171942"/>
    <w:rsid w:val="001719B7"/>
    <w:rsid w:val="00171A56"/>
    <w:rsid w:val="00171D39"/>
    <w:rsid w:val="00171FDE"/>
    <w:rsid w:val="0017224C"/>
    <w:rsid w:val="00172256"/>
    <w:rsid w:val="00172403"/>
    <w:rsid w:val="001724D0"/>
    <w:rsid w:val="00172653"/>
    <w:rsid w:val="00172821"/>
    <w:rsid w:val="00172B5A"/>
    <w:rsid w:val="00172D94"/>
    <w:rsid w:val="00172D98"/>
    <w:rsid w:val="00172DA7"/>
    <w:rsid w:val="00172DC5"/>
    <w:rsid w:val="00172DDC"/>
    <w:rsid w:val="00172EEF"/>
    <w:rsid w:val="0017324B"/>
    <w:rsid w:val="001732C3"/>
    <w:rsid w:val="00173558"/>
    <w:rsid w:val="0017356D"/>
    <w:rsid w:val="00173663"/>
    <w:rsid w:val="0017376E"/>
    <w:rsid w:val="001737A6"/>
    <w:rsid w:val="001737AD"/>
    <w:rsid w:val="00173B7B"/>
    <w:rsid w:val="00173BB6"/>
    <w:rsid w:val="00173D5D"/>
    <w:rsid w:val="00173D83"/>
    <w:rsid w:val="00173E7E"/>
    <w:rsid w:val="00174046"/>
    <w:rsid w:val="001745A8"/>
    <w:rsid w:val="00174666"/>
    <w:rsid w:val="0017467E"/>
    <w:rsid w:val="001746DD"/>
    <w:rsid w:val="001747CA"/>
    <w:rsid w:val="00174A19"/>
    <w:rsid w:val="00174A58"/>
    <w:rsid w:val="00174AF9"/>
    <w:rsid w:val="00174B68"/>
    <w:rsid w:val="00174CC2"/>
    <w:rsid w:val="00174CC3"/>
    <w:rsid w:val="00174F83"/>
    <w:rsid w:val="00175046"/>
    <w:rsid w:val="001752D1"/>
    <w:rsid w:val="001753FD"/>
    <w:rsid w:val="00175611"/>
    <w:rsid w:val="0017594D"/>
    <w:rsid w:val="00175A1A"/>
    <w:rsid w:val="00175BF4"/>
    <w:rsid w:val="00175E7F"/>
    <w:rsid w:val="0017634C"/>
    <w:rsid w:val="001765A6"/>
    <w:rsid w:val="0017681B"/>
    <w:rsid w:val="001768AC"/>
    <w:rsid w:val="001768C7"/>
    <w:rsid w:val="00176CB7"/>
    <w:rsid w:val="00176E64"/>
    <w:rsid w:val="00177174"/>
    <w:rsid w:val="001772EF"/>
    <w:rsid w:val="0017752C"/>
    <w:rsid w:val="00177730"/>
    <w:rsid w:val="00177776"/>
    <w:rsid w:val="001778E2"/>
    <w:rsid w:val="00177916"/>
    <w:rsid w:val="00177A42"/>
    <w:rsid w:val="00177DD3"/>
    <w:rsid w:val="00177DD8"/>
    <w:rsid w:val="00177E61"/>
    <w:rsid w:val="00177F27"/>
    <w:rsid w:val="00180290"/>
    <w:rsid w:val="001802BB"/>
    <w:rsid w:val="001802FA"/>
    <w:rsid w:val="00180387"/>
    <w:rsid w:val="0018044B"/>
    <w:rsid w:val="001804AD"/>
    <w:rsid w:val="00180923"/>
    <w:rsid w:val="00180CF0"/>
    <w:rsid w:val="00180D21"/>
    <w:rsid w:val="00180DAB"/>
    <w:rsid w:val="00180DF2"/>
    <w:rsid w:val="00180EEF"/>
    <w:rsid w:val="0018104A"/>
    <w:rsid w:val="00181067"/>
    <w:rsid w:val="001812AF"/>
    <w:rsid w:val="00181431"/>
    <w:rsid w:val="001815C3"/>
    <w:rsid w:val="00181616"/>
    <w:rsid w:val="0018177D"/>
    <w:rsid w:val="00181795"/>
    <w:rsid w:val="00181907"/>
    <w:rsid w:val="00181E3B"/>
    <w:rsid w:val="0018203F"/>
    <w:rsid w:val="00182430"/>
    <w:rsid w:val="00182699"/>
    <w:rsid w:val="001827E3"/>
    <w:rsid w:val="0018284D"/>
    <w:rsid w:val="0018289A"/>
    <w:rsid w:val="00182922"/>
    <w:rsid w:val="00182A6F"/>
    <w:rsid w:val="00182D3E"/>
    <w:rsid w:val="00182E80"/>
    <w:rsid w:val="0018323C"/>
    <w:rsid w:val="0018326B"/>
    <w:rsid w:val="001832AB"/>
    <w:rsid w:val="00183591"/>
    <w:rsid w:val="001837AB"/>
    <w:rsid w:val="001837FF"/>
    <w:rsid w:val="00183803"/>
    <w:rsid w:val="001838A6"/>
    <w:rsid w:val="00183E9D"/>
    <w:rsid w:val="00183F26"/>
    <w:rsid w:val="00183F94"/>
    <w:rsid w:val="001842A7"/>
    <w:rsid w:val="0018441D"/>
    <w:rsid w:val="001847DD"/>
    <w:rsid w:val="0018484E"/>
    <w:rsid w:val="0018486B"/>
    <w:rsid w:val="0018496A"/>
    <w:rsid w:val="00184A84"/>
    <w:rsid w:val="00184C57"/>
    <w:rsid w:val="00184DB0"/>
    <w:rsid w:val="00184E4E"/>
    <w:rsid w:val="00184F50"/>
    <w:rsid w:val="0018501C"/>
    <w:rsid w:val="001851E2"/>
    <w:rsid w:val="001852E4"/>
    <w:rsid w:val="00185380"/>
    <w:rsid w:val="001856C2"/>
    <w:rsid w:val="001857DF"/>
    <w:rsid w:val="001857E0"/>
    <w:rsid w:val="0018587D"/>
    <w:rsid w:val="0018592A"/>
    <w:rsid w:val="001864D9"/>
    <w:rsid w:val="001865BC"/>
    <w:rsid w:val="0018667C"/>
    <w:rsid w:val="00186700"/>
    <w:rsid w:val="001868BD"/>
    <w:rsid w:val="0018690C"/>
    <w:rsid w:val="00186C1A"/>
    <w:rsid w:val="00186E23"/>
    <w:rsid w:val="00187569"/>
    <w:rsid w:val="001875D6"/>
    <w:rsid w:val="0018762F"/>
    <w:rsid w:val="0018777B"/>
    <w:rsid w:val="00187869"/>
    <w:rsid w:val="001878F2"/>
    <w:rsid w:val="001879B8"/>
    <w:rsid w:val="00187A62"/>
    <w:rsid w:val="00187D72"/>
    <w:rsid w:val="00187E6E"/>
    <w:rsid w:val="00190083"/>
    <w:rsid w:val="001901C2"/>
    <w:rsid w:val="00190279"/>
    <w:rsid w:val="001902C3"/>
    <w:rsid w:val="00190314"/>
    <w:rsid w:val="00190520"/>
    <w:rsid w:val="001905E8"/>
    <w:rsid w:val="0019071D"/>
    <w:rsid w:val="00190C31"/>
    <w:rsid w:val="00190C59"/>
    <w:rsid w:val="00190D1C"/>
    <w:rsid w:val="00190E7B"/>
    <w:rsid w:val="00190FC3"/>
    <w:rsid w:val="001910EA"/>
    <w:rsid w:val="0019126F"/>
    <w:rsid w:val="001912A4"/>
    <w:rsid w:val="001913C1"/>
    <w:rsid w:val="001916B4"/>
    <w:rsid w:val="001916FD"/>
    <w:rsid w:val="00191741"/>
    <w:rsid w:val="00191776"/>
    <w:rsid w:val="001917A0"/>
    <w:rsid w:val="00191818"/>
    <w:rsid w:val="001919DE"/>
    <w:rsid w:val="00191AED"/>
    <w:rsid w:val="00191B0A"/>
    <w:rsid w:val="00192006"/>
    <w:rsid w:val="0019216E"/>
    <w:rsid w:val="00192175"/>
    <w:rsid w:val="001922C4"/>
    <w:rsid w:val="00192483"/>
    <w:rsid w:val="001924BA"/>
    <w:rsid w:val="001925C8"/>
    <w:rsid w:val="001925DE"/>
    <w:rsid w:val="001927D6"/>
    <w:rsid w:val="0019289A"/>
    <w:rsid w:val="00192AD2"/>
    <w:rsid w:val="00192DB2"/>
    <w:rsid w:val="00192E2C"/>
    <w:rsid w:val="0019312A"/>
    <w:rsid w:val="001931E3"/>
    <w:rsid w:val="00193211"/>
    <w:rsid w:val="00193892"/>
    <w:rsid w:val="001939F0"/>
    <w:rsid w:val="00193BCF"/>
    <w:rsid w:val="00193CD9"/>
    <w:rsid w:val="00193ED1"/>
    <w:rsid w:val="0019401B"/>
    <w:rsid w:val="00194189"/>
    <w:rsid w:val="001945E0"/>
    <w:rsid w:val="00194710"/>
    <w:rsid w:val="0019471E"/>
    <w:rsid w:val="00194834"/>
    <w:rsid w:val="001949B7"/>
    <w:rsid w:val="00194B01"/>
    <w:rsid w:val="00194C96"/>
    <w:rsid w:val="00194D71"/>
    <w:rsid w:val="00194DFD"/>
    <w:rsid w:val="00195086"/>
    <w:rsid w:val="001950D9"/>
    <w:rsid w:val="001951DE"/>
    <w:rsid w:val="00195241"/>
    <w:rsid w:val="00195266"/>
    <w:rsid w:val="001952AE"/>
    <w:rsid w:val="00195310"/>
    <w:rsid w:val="0019540F"/>
    <w:rsid w:val="00195810"/>
    <w:rsid w:val="00195816"/>
    <w:rsid w:val="001958B1"/>
    <w:rsid w:val="00195D36"/>
    <w:rsid w:val="00195FAB"/>
    <w:rsid w:val="0019678F"/>
    <w:rsid w:val="00196BA5"/>
    <w:rsid w:val="00196C0E"/>
    <w:rsid w:val="001974A4"/>
    <w:rsid w:val="001974E3"/>
    <w:rsid w:val="00197648"/>
    <w:rsid w:val="00197BF0"/>
    <w:rsid w:val="00197CC9"/>
    <w:rsid w:val="00197DCC"/>
    <w:rsid w:val="00197E6E"/>
    <w:rsid w:val="001A000F"/>
    <w:rsid w:val="001A0052"/>
    <w:rsid w:val="001A024C"/>
    <w:rsid w:val="001A03EC"/>
    <w:rsid w:val="001A0466"/>
    <w:rsid w:val="001A046D"/>
    <w:rsid w:val="001A0828"/>
    <w:rsid w:val="001A082A"/>
    <w:rsid w:val="001A08C2"/>
    <w:rsid w:val="001A0948"/>
    <w:rsid w:val="001A0B2D"/>
    <w:rsid w:val="001A0B3A"/>
    <w:rsid w:val="001A0CEA"/>
    <w:rsid w:val="001A0DBA"/>
    <w:rsid w:val="001A0E00"/>
    <w:rsid w:val="001A0EEF"/>
    <w:rsid w:val="001A0EF5"/>
    <w:rsid w:val="001A0F0E"/>
    <w:rsid w:val="001A0FE1"/>
    <w:rsid w:val="001A1001"/>
    <w:rsid w:val="001A10C5"/>
    <w:rsid w:val="001A11EC"/>
    <w:rsid w:val="001A12AF"/>
    <w:rsid w:val="001A13E2"/>
    <w:rsid w:val="001A1490"/>
    <w:rsid w:val="001A175D"/>
    <w:rsid w:val="001A17E4"/>
    <w:rsid w:val="001A1904"/>
    <w:rsid w:val="001A19A4"/>
    <w:rsid w:val="001A1BCF"/>
    <w:rsid w:val="001A1C21"/>
    <w:rsid w:val="001A1C9F"/>
    <w:rsid w:val="001A1D58"/>
    <w:rsid w:val="001A1E79"/>
    <w:rsid w:val="001A1E7D"/>
    <w:rsid w:val="001A2051"/>
    <w:rsid w:val="001A2119"/>
    <w:rsid w:val="001A21C0"/>
    <w:rsid w:val="001A22B4"/>
    <w:rsid w:val="001A2303"/>
    <w:rsid w:val="001A24AD"/>
    <w:rsid w:val="001A24F0"/>
    <w:rsid w:val="001A2537"/>
    <w:rsid w:val="001A2568"/>
    <w:rsid w:val="001A2630"/>
    <w:rsid w:val="001A2637"/>
    <w:rsid w:val="001A27A8"/>
    <w:rsid w:val="001A2E71"/>
    <w:rsid w:val="001A30D5"/>
    <w:rsid w:val="001A317B"/>
    <w:rsid w:val="001A3555"/>
    <w:rsid w:val="001A35C9"/>
    <w:rsid w:val="001A372D"/>
    <w:rsid w:val="001A3994"/>
    <w:rsid w:val="001A3ACA"/>
    <w:rsid w:val="001A3E4C"/>
    <w:rsid w:val="001A3EF8"/>
    <w:rsid w:val="001A41A5"/>
    <w:rsid w:val="001A4297"/>
    <w:rsid w:val="001A452A"/>
    <w:rsid w:val="001A463D"/>
    <w:rsid w:val="001A4758"/>
    <w:rsid w:val="001A496C"/>
    <w:rsid w:val="001A4B03"/>
    <w:rsid w:val="001A4D85"/>
    <w:rsid w:val="001A5009"/>
    <w:rsid w:val="001A5035"/>
    <w:rsid w:val="001A5220"/>
    <w:rsid w:val="001A537A"/>
    <w:rsid w:val="001A5657"/>
    <w:rsid w:val="001A575C"/>
    <w:rsid w:val="001A5918"/>
    <w:rsid w:val="001A5EF1"/>
    <w:rsid w:val="001A5F1D"/>
    <w:rsid w:val="001A6008"/>
    <w:rsid w:val="001A600B"/>
    <w:rsid w:val="001A60B0"/>
    <w:rsid w:val="001A64DE"/>
    <w:rsid w:val="001A66D1"/>
    <w:rsid w:val="001A673E"/>
    <w:rsid w:val="001A678F"/>
    <w:rsid w:val="001A68F0"/>
    <w:rsid w:val="001A6BD6"/>
    <w:rsid w:val="001A6C4A"/>
    <w:rsid w:val="001A6D14"/>
    <w:rsid w:val="001A6F4A"/>
    <w:rsid w:val="001A6F8B"/>
    <w:rsid w:val="001A700C"/>
    <w:rsid w:val="001A7013"/>
    <w:rsid w:val="001A710C"/>
    <w:rsid w:val="001A7201"/>
    <w:rsid w:val="001A73E4"/>
    <w:rsid w:val="001A75BD"/>
    <w:rsid w:val="001A75E7"/>
    <w:rsid w:val="001A788A"/>
    <w:rsid w:val="001A788D"/>
    <w:rsid w:val="001A7CEC"/>
    <w:rsid w:val="001A7DE5"/>
    <w:rsid w:val="001A7E4B"/>
    <w:rsid w:val="001B0135"/>
    <w:rsid w:val="001B01C4"/>
    <w:rsid w:val="001B0481"/>
    <w:rsid w:val="001B0533"/>
    <w:rsid w:val="001B0738"/>
    <w:rsid w:val="001B0909"/>
    <w:rsid w:val="001B09B8"/>
    <w:rsid w:val="001B0AC2"/>
    <w:rsid w:val="001B0B22"/>
    <w:rsid w:val="001B0BF9"/>
    <w:rsid w:val="001B0D5E"/>
    <w:rsid w:val="001B1154"/>
    <w:rsid w:val="001B1192"/>
    <w:rsid w:val="001B1363"/>
    <w:rsid w:val="001B1563"/>
    <w:rsid w:val="001B197D"/>
    <w:rsid w:val="001B1CC7"/>
    <w:rsid w:val="001B1D1E"/>
    <w:rsid w:val="001B1F18"/>
    <w:rsid w:val="001B1FDB"/>
    <w:rsid w:val="001B20F7"/>
    <w:rsid w:val="001B2123"/>
    <w:rsid w:val="001B264D"/>
    <w:rsid w:val="001B28C4"/>
    <w:rsid w:val="001B2900"/>
    <w:rsid w:val="001B2A95"/>
    <w:rsid w:val="001B2C80"/>
    <w:rsid w:val="001B2EDB"/>
    <w:rsid w:val="001B3217"/>
    <w:rsid w:val="001B3BDD"/>
    <w:rsid w:val="001B3C62"/>
    <w:rsid w:val="001B3C63"/>
    <w:rsid w:val="001B3D08"/>
    <w:rsid w:val="001B3E43"/>
    <w:rsid w:val="001B3E55"/>
    <w:rsid w:val="001B3E6A"/>
    <w:rsid w:val="001B3FAC"/>
    <w:rsid w:val="001B401B"/>
    <w:rsid w:val="001B4067"/>
    <w:rsid w:val="001B40DA"/>
    <w:rsid w:val="001B41D4"/>
    <w:rsid w:val="001B41D6"/>
    <w:rsid w:val="001B42E6"/>
    <w:rsid w:val="001B4702"/>
    <w:rsid w:val="001B4830"/>
    <w:rsid w:val="001B49CE"/>
    <w:rsid w:val="001B4CF1"/>
    <w:rsid w:val="001B4E21"/>
    <w:rsid w:val="001B4E45"/>
    <w:rsid w:val="001B5055"/>
    <w:rsid w:val="001B56E5"/>
    <w:rsid w:val="001B570B"/>
    <w:rsid w:val="001B5F96"/>
    <w:rsid w:val="001B6011"/>
    <w:rsid w:val="001B6096"/>
    <w:rsid w:val="001B6244"/>
    <w:rsid w:val="001B6255"/>
    <w:rsid w:val="001B62EF"/>
    <w:rsid w:val="001B6508"/>
    <w:rsid w:val="001B654D"/>
    <w:rsid w:val="001B65AA"/>
    <w:rsid w:val="001B6648"/>
    <w:rsid w:val="001B67DE"/>
    <w:rsid w:val="001B6823"/>
    <w:rsid w:val="001B6B29"/>
    <w:rsid w:val="001B6CDF"/>
    <w:rsid w:val="001B6DB7"/>
    <w:rsid w:val="001B6EE7"/>
    <w:rsid w:val="001B719B"/>
    <w:rsid w:val="001B71E3"/>
    <w:rsid w:val="001B77B6"/>
    <w:rsid w:val="001B7839"/>
    <w:rsid w:val="001B78C4"/>
    <w:rsid w:val="001B78CA"/>
    <w:rsid w:val="001B78E1"/>
    <w:rsid w:val="001B796B"/>
    <w:rsid w:val="001B79DC"/>
    <w:rsid w:val="001B7A6E"/>
    <w:rsid w:val="001B7AFB"/>
    <w:rsid w:val="001B7B18"/>
    <w:rsid w:val="001B7B8C"/>
    <w:rsid w:val="001B7BDF"/>
    <w:rsid w:val="001B7EBA"/>
    <w:rsid w:val="001B7F17"/>
    <w:rsid w:val="001B7F22"/>
    <w:rsid w:val="001C0051"/>
    <w:rsid w:val="001C013B"/>
    <w:rsid w:val="001C0297"/>
    <w:rsid w:val="001C039D"/>
    <w:rsid w:val="001C04BC"/>
    <w:rsid w:val="001C0516"/>
    <w:rsid w:val="001C056D"/>
    <w:rsid w:val="001C05F3"/>
    <w:rsid w:val="001C068B"/>
    <w:rsid w:val="001C06E2"/>
    <w:rsid w:val="001C0768"/>
    <w:rsid w:val="001C08AA"/>
    <w:rsid w:val="001C0B61"/>
    <w:rsid w:val="001C0C6F"/>
    <w:rsid w:val="001C0C9F"/>
    <w:rsid w:val="001C0CB5"/>
    <w:rsid w:val="001C0E99"/>
    <w:rsid w:val="001C0ECA"/>
    <w:rsid w:val="001C1002"/>
    <w:rsid w:val="001C1147"/>
    <w:rsid w:val="001C12A0"/>
    <w:rsid w:val="001C1306"/>
    <w:rsid w:val="001C13C5"/>
    <w:rsid w:val="001C179A"/>
    <w:rsid w:val="001C19CB"/>
    <w:rsid w:val="001C1A22"/>
    <w:rsid w:val="001C243C"/>
    <w:rsid w:val="001C2492"/>
    <w:rsid w:val="001C2688"/>
    <w:rsid w:val="001C2A10"/>
    <w:rsid w:val="001C2A6A"/>
    <w:rsid w:val="001C2E82"/>
    <w:rsid w:val="001C3113"/>
    <w:rsid w:val="001C33E3"/>
    <w:rsid w:val="001C340F"/>
    <w:rsid w:val="001C366F"/>
    <w:rsid w:val="001C36E8"/>
    <w:rsid w:val="001C37E6"/>
    <w:rsid w:val="001C38A6"/>
    <w:rsid w:val="001C38D8"/>
    <w:rsid w:val="001C3A1A"/>
    <w:rsid w:val="001C3A49"/>
    <w:rsid w:val="001C3E1A"/>
    <w:rsid w:val="001C3F3F"/>
    <w:rsid w:val="001C421F"/>
    <w:rsid w:val="001C42BB"/>
    <w:rsid w:val="001C43C7"/>
    <w:rsid w:val="001C4454"/>
    <w:rsid w:val="001C4532"/>
    <w:rsid w:val="001C4B67"/>
    <w:rsid w:val="001C4B74"/>
    <w:rsid w:val="001C4CC3"/>
    <w:rsid w:val="001C4D9C"/>
    <w:rsid w:val="001C4E5F"/>
    <w:rsid w:val="001C4FF4"/>
    <w:rsid w:val="001C504B"/>
    <w:rsid w:val="001C50A0"/>
    <w:rsid w:val="001C50BA"/>
    <w:rsid w:val="001C5239"/>
    <w:rsid w:val="001C539D"/>
    <w:rsid w:val="001C54A8"/>
    <w:rsid w:val="001C57A6"/>
    <w:rsid w:val="001C5895"/>
    <w:rsid w:val="001C59D0"/>
    <w:rsid w:val="001C5BA4"/>
    <w:rsid w:val="001C5C76"/>
    <w:rsid w:val="001C5F6E"/>
    <w:rsid w:val="001C5F7F"/>
    <w:rsid w:val="001C64E5"/>
    <w:rsid w:val="001C65F1"/>
    <w:rsid w:val="001C6744"/>
    <w:rsid w:val="001C6CD5"/>
    <w:rsid w:val="001C708E"/>
    <w:rsid w:val="001C71B0"/>
    <w:rsid w:val="001C736C"/>
    <w:rsid w:val="001C73B9"/>
    <w:rsid w:val="001C7472"/>
    <w:rsid w:val="001C7691"/>
    <w:rsid w:val="001C792C"/>
    <w:rsid w:val="001C7B0F"/>
    <w:rsid w:val="001C7C2B"/>
    <w:rsid w:val="001C7EB7"/>
    <w:rsid w:val="001C7F2C"/>
    <w:rsid w:val="001C7FE6"/>
    <w:rsid w:val="001D0161"/>
    <w:rsid w:val="001D0173"/>
    <w:rsid w:val="001D0552"/>
    <w:rsid w:val="001D05F1"/>
    <w:rsid w:val="001D0843"/>
    <w:rsid w:val="001D08EC"/>
    <w:rsid w:val="001D08EF"/>
    <w:rsid w:val="001D0917"/>
    <w:rsid w:val="001D0AA1"/>
    <w:rsid w:val="001D0B8F"/>
    <w:rsid w:val="001D0CAE"/>
    <w:rsid w:val="001D0DBC"/>
    <w:rsid w:val="001D1253"/>
    <w:rsid w:val="001D161D"/>
    <w:rsid w:val="001D17F0"/>
    <w:rsid w:val="001D18BF"/>
    <w:rsid w:val="001D1AFA"/>
    <w:rsid w:val="001D1F2C"/>
    <w:rsid w:val="001D1FA6"/>
    <w:rsid w:val="001D2161"/>
    <w:rsid w:val="001D23CB"/>
    <w:rsid w:val="001D2589"/>
    <w:rsid w:val="001D260E"/>
    <w:rsid w:val="001D26EC"/>
    <w:rsid w:val="001D277C"/>
    <w:rsid w:val="001D2971"/>
    <w:rsid w:val="001D297E"/>
    <w:rsid w:val="001D2BDC"/>
    <w:rsid w:val="001D2C7A"/>
    <w:rsid w:val="001D2FDB"/>
    <w:rsid w:val="001D32F7"/>
    <w:rsid w:val="001D33BA"/>
    <w:rsid w:val="001D34CC"/>
    <w:rsid w:val="001D35CF"/>
    <w:rsid w:val="001D3744"/>
    <w:rsid w:val="001D3830"/>
    <w:rsid w:val="001D3836"/>
    <w:rsid w:val="001D39BB"/>
    <w:rsid w:val="001D3A4F"/>
    <w:rsid w:val="001D3CC0"/>
    <w:rsid w:val="001D3D65"/>
    <w:rsid w:val="001D3D94"/>
    <w:rsid w:val="001D3DAD"/>
    <w:rsid w:val="001D3DB6"/>
    <w:rsid w:val="001D3EBC"/>
    <w:rsid w:val="001D3FD6"/>
    <w:rsid w:val="001D429B"/>
    <w:rsid w:val="001D42BA"/>
    <w:rsid w:val="001D4317"/>
    <w:rsid w:val="001D4446"/>
    <w:rsid w:val="001D44D0"/>
    <w:rsid w:val="001D4541"/>
    <w:rsid w:val="001D497D"/>
    <w:rsid w:val="001D4A10"/>
    <w:rsid w:val="001D4A76"/>
    <w:rsid w:val="001D4B35"/>
    <w:rsid w:val="001D4BA8"/>
    <w:rsid w:val="001D4BB8"/>
    <w:rsid w:val="001D4D93"/>
    <w:rsid w:val="001D4E73"/>
    <w:rsid w:val="001D4F59"/>
    <w:rsid w:val="001D51AF"/>
    <w:rsid w:val="001D51C5"/>
    <w:rsid w:val="001D55B5"/>
    <w:rsid w:val="001D5638"/>
    <w:rsid w:val="001D594B"/>
    <w:rsid w:val="001D5BB1"/>
    <w:rsid w:val="001D5DE6"/>
    <w:rsid w:val="001D5E52"/>
    <w:rsid w:val="001D6013"/>
    <w:rsid w:val="001D66B9"/>
    <w:rsid w:val="001D68AA"/>
    <w:rsid w:val="001D68B4"/>
    <w:rsid w:val="001D6920"/>
    <w:rsid w:val="001D6C2B"/>
    <w:rsid w:val="001D6D6F"/>
    <w:rsid w:val="001D6E5C"/>
    <w:rsid w:val="001D6F91"/>
    <w:rsid w:val="001D7077"/>
    <w:rsid w:val="001D70B1"/>
    <w:rsid w:val="001D71CA"/>
    <w:rsid w:val="001D7285"/>
    <w:rsid w:val="001D75C0"/>
    <w:rsid w:val="001D778C"/>
    <w:rsid w:val="001D7ABC"/>
    <w:rsid w:val="001E018D"/>
    <w:rsid w:val="001E0271"/>
    <w:rsid w:val="001E0312"/>
    <w:rsid w:val="001E087A"/>
    <w:rsid w:val="001E0AF7"/>
    <w:rsid w:val="001E0D4B"/>
    <w:rsid w:val="001E0DF4"/>
    <w:rsid w:val="001E1090"/>
    <w:rsid w:val="001E11FA"/>
    <w:rsid w:val="001E15DD"/>
    <w:rsid w:val="001E1676"/>
    <w:rsid w:val="001E19CD"/>
    <w:rsid w:val="001E1C58"/>
    <w:rsid w:val="001E1D19"/>
    <w:rsid w:val="001E1DE2"/>
    <w:rsid w:val="001E1DE7"/>
    <w:rsid w:val="001E2595"/>
    <w:rsid w:val="001E25ED"/>
    <w:rsid w:val="001E2658"/>
    <w:rsid w:val="001E265A"/>
    <w:rsid w:val="001E2679"/>
    <w:rsid w:val="001E268B"/>
    <w:rsid w:val="001E272A"/>
    <w:rsid w:val="001E272B"/>
    <w:rsid w:val="001E277E"/>
    <w:rsid w:val="001E29ED"/>
    <w:rsid w:val="001E2AED"/>
    <w:rsid w:val="001E2B2A"/>
    <w:rsid w:val="001E2B5B"/>
    <w:rsid w:val="001E2BCF"/>
    <w:rsid w:val="001E2DC1"/>
    <w:rsid w:val="001E2DFA"/>
    <w:rsid w:val="001E316C"/>
    <w:rsid w:val="001E32DE"/>
    <w:rsid w:val="001E34A7"/>
    <w:rsid w:val="001E3B20"/>
    <w:rsid w:val="001E3C56"/>
    <w:rsid w:val="001E3EA5"/>
    <w:rsid w:val="001E40D0"/>
    <w:rsid w:val="001E4958"/>
    <w:rsid w:val="001E51BF"/>
    <w:rsid w:val="001E51E2"/>
    <w:rsid w:val="001E5277"/>
    <w:rsid w:val="001E52CE"/>
    <w:rsid w:val="001E56D2"/>
    <w:rsid w:val="001E59EE"/>
    <w:rsid w:val="001E65F1"/>
    <w:rsid w:val="001E6A94"/>
    <w:rsid w:val="001E6AB4"/>
    <w:rsid w:val="001E6B16"/>
    <w:rsid w:val="001E6DD9"/>
    <w:rsid w:val="001E6F42"/>
    <w:rsid w:val="001E7212"/>
    <w:rsid w:val="001E73C8"/>
    <w:rsid w:val="001E756C"/>
    <w:rsid w:val="001E75CF"/>
    <w:rsid w:val="001E760D"/>
    <w:rsid w:val="001E76BD"/>
    <w:rsid w:val="001E76D7"/>
    <w:rsid w:val="001E7B3E"/>
    <w:rsid w:val="001E7DD9"/>
    <w:rsid w:val="001E7E9F"/>
    <w:rsid w:val="001F0218"/>
    <w:rsid w:val="001F029D"/>
    <w:rsid w:val="001F049B"/>
    <w:rsid w:val="001F04AF"/>
    <w:rsid w:val="001F06F1"/>
    <w:rsid w:val="001F0710"/>
    <w:rsid w:val="001F082A"/>
    <w:rsid w:val="001F0837"/>
    <w:rsid w:val="001F08E1"/>
    <w:rsid w:val="001F0988"/>
    <w:rsid w:val="001F09CC"/>
    <w:rsid w:val="001F0A83"/>
    <w:rsid w:val="001F0AED"/>
    <w:rsid w:val="001F0BCD"/>
    <w:rsid w:val="001F0CA7"/>
    <w:rsid w:val="001F1090"/>
    <w:rsid w:val="001F11E8"/>
    <w:rsid w:val="001F122C"/>
    <w:rsid w:val="001F12A2"/>
    <w:rsid w:val="001F134A"/>
    <w:rsid w:val="001F13FE"/>
    <w:rsid w:val="001F1449"/>
    <w:rsid w:val="001F154C"/>
    <w:rsid w:val="001F15B6"/>
    <w:rsid w:val="001F18A9"/>
    <w:rsid w:val="001F1983"/>
    <w:rsid w:val="001F1A2E"/>
    <w:rsid w:val="001F1B0E"/>
    <w:rsid w:val="001F1B76"/>
    <w:rsid w:val="001F1C4D"/>
    <w:rsid w:val="001F1E1D"/>
    <w:rsid w:val="001F1EF3"/>
    <w:rsid w:val="001F1F7D"/>
    <w:rsid w:val="001F2086"/>
    <w:rsid w:val="001F2149"/>
    <w:rsid w:val="001F232D"/>
    <w:rsid w:val="001F237F"/>
    <w:rsid w:val="001F2A09"/>
    <w:rsid w:val="001F2B22"/>
    <w:rsid w:val="001F2D35"/>
    <w:rsid w:val="001F2DFB"/>
    <w:rsid w:val="001F2FBF"/>
    <w:rsid w:val="001F306B"/>
    <w:rsid w:val="001F30C4"/>
    <w:rsid w:val="001F30F4"/>
    <w:rsid w:val="001F33A7"/>
    <w:rsid w:val="001F3890"/>
    <w:rsid w:val="001F39D9"/>
    <w:rsid w:val="001F3C5B"/>
    <w:rsid w:val="001F3D6D"/>
    <w:rsid w:val="001F3DAF"/>
    <w:rsid w:val="001F40B2"/>
    <w:rsid w:val="001F426F"/>
    <w:rsid w:val="001F435B"/>
    <w:rsid w:val="001F4413"/>
    <w:rsid w:val="001F4538"/>
    <w:rsid w:val="001F46CC"/>
    <w:rsid w:val="001F4721"/>
    <w:rsid w:val="001F475B"/>
    <w:rsid w:val="001F4E1D"/>
    <w:rsid w:val="001F4E72"/>
    <w:rsid w:val="001F520F"/>
    <w:rsid w:val="001F57D2"/>
    <w:rsid w:val="001F580F"/>
    <w:rsid w:val="001F584F"/>
    <w:rsid w:val="001F5868"/>
    <w:rsid w:val="001F5909"/>
    <w:rsid w:val="001F5A28"/>
    <w:rsid w:val="001F5AFB"/>
    <w:rsid w:val="001F5B37"/>
    <w:rsid w:val="001F5BA1"/>
    <w:rsid w:val="001F5C97"/>
    <w:rsid w:val="001F5DE9"/>
    <w:rsid w:val="001F5EC2"/>
    <w:rsid w:val="001F5F7E"/>
    <w:rsid w:val="001F5FAC"/>
    <w:rsid w:val="001F606D"/>
    <w:rsid w:val="001F618A"/>
    <w:rsid w:val="001F623B"/>
    <w:rsid w:val="001F6262"/>
    <w:rsid w:val="001F66E0"/>
    <w:rsid w:val="001F687B"/>
    <w:rsid w:val="001F6D56"/>
    <w:rsid w:val="001F7319"/>
    <w:rsid w:val="001F76B8"/>
    <w:rsid w:val="001F7755"/>
    <w:rsid w:val="001F77F4"/>
    <w:rsid w:val="001F78A3"/>
    <w:rsid w:val="001F78AE"/>
    <w:rsid w:val="001F7B52"/>
    <w:rsid w:val="001F7CE4"/>
    <w:rsid w:val="0020004E"/>
    <w:rsid w:val="00200220"/>
    <w:rsid w:val="00200269"/>
    <w:rsid w:val="00200846"/>
    <w:rsid w:val="00200BEA"/>
    <w:rsid w:val="00200C89"/>
    <w:rsid w:val="00200DAD"/>
    <w:rsid w:val="00200DC8"/>
    <w:rsid w:val="00200E65"/>
    <w:rsid w:val="0020106A"/>
    <w:rsid w:val="002011A7"/>
    <w:rsid w:val="002013BD"/>
    <w:rsid w:val="00201556"/>
    <w:rsid w:val="0020156D"/>
    <w:rsid w:val="00201630"/>
    <w:rsid w:val="002017CA"/>
    <w:rsid w:val="00201D76"/>
    <w:rsid w:val="00201DCF"/>
    <w:rsid w:val="00202197"/>
    <w:rsid w:val="00202299"/>
    <w:rsid w:val="002022BB"/>
    <w:rsid w:val="00202571"/>
    <w:rsid w:val="0020260D"/>
    <w:rsid w:val="00202644"/>
    <w:rsid w:val="0020270E"/>
    <w:rsid w:val="0020291A"/>
    <w:rsid w:val="0020294E"/>
    <w:rsid w:val="00202A09"/>
    <w:rsid w:val="00202AFB"/>
    <w:rsid w:val="00202CE4"/>
    <w:rsid w:val="00202D6C"/>
    <w:rsid w:val="00202E34"/>
    <w:rsid w:val="00202FAB"/>
    <w:rsid w:val="0020323F"/>
    <w:rsid w:val="002034BF"/>
    <w:rsid w:val="002036FB"/>
    <w:rsid w:val="002038D1"/>
    <w:rsid w:val="00203979"/>
    <w:rsid w:val="0020397B"/>
    <w:rsid w:val="00203A2C"/>
    <w:rsid w:val="00203A72"/>
    <w:rsid w:val="00203CA8"/>
    <w:rsid w:val="002040EF"/>
    <w:rsid w:val="002041EA"/>
    <w:rsid w:val="0020426C"/>
    <w:rsid w:val="00204413"/>
    <w:rsid w:val="002046CC"/>
    <w:rsid w:val="00204788"/>
    <w:rsid w:val="00204A73"/>
    <w:rsid w:val="00204AD3"/>
    <w:rsid w:val="00204B08"/>
    <w:rsid w:val="0020516E"/>
    <w:rsid w:val="00205424"/>
    <w:rsid w:val="002056F0"/>
    <w:rsid w:val="00205AD6"/>
    <w:rsid w:val="00205AFC"/>
    <w:rsid w:val="00205ED1"/>
    <w:rsid w:val="0020634A"/>
    <w:rsid w:val="0020638E"/>
    <w:rsid w:val="002063A3"/>
    <w:rsid w:val="002063FD"/>
    <w:rsid w:val="0020646D"/>
    <w:rsid w:val="002064BD"/>
    <w:rsid w:val="00206582"/>
    <w:rsid w:val="00206697"/>
    <w:rsid w:val="00206972"/>
    <w:rsid w:val="00206A90"/>
    <w:rsid w:val="00206E5A"/>
    <w:rsid w:val="002073A5"/>
    <w:rsid w:val="0020760C"/>
    <w:rsid w:val="0020769D"/>
    <w:rsid w:val="002079E8"/>
    <w:rsid w:val="00207AE8"/>
    <w:rsid w:val="00207BE5"/>
    <w:rsid w:val="00207BE8"/>
    <w:rsid w:val="00207CCC"/>
    <w:rsid w:val="00207D2E"/>
    <w:rsid w:val="00207E1B"/>
    <w:rsid w:val="00210112"/>
    <w:rsid w:val="002101AB"/>
    <w:rsid w:val="00210297"/>
    <w:rsid w:val="002102BC"/>
    <w:rsid w:val="0021031F"/>
    <w:rsid w:val="0021032F"/>
    <w:rsid w:val="00210365"/>
    <w:rsid w:val="0021039C"/>
    <w:rsid w:val="002104F7"/>
    <w:rsid w:val="00210626"/>
    <w:rsid w:val="00210702"/>
    <w:rsid w:val="00210759"/>
    <w:rsid w:val="00210777"/>
    <w:rsid w:val="002109A5"/>
    <w:rsid w:val="00210A1B"/>
    <w:rsid w:val="00210AD8"/>
    <w:rsid w:val="00210B6A"/>
    <w:rsid w:val="00210CC2"/>
    <w:rsid w:val="0021120E"/>
    <w:rsid w:val="00211277"/>
    <w:rsid w:val="00211444"/>
    <w:rsid w:val="00211687"/>
    <w:rsid w:val="0021184B"/>
    <w:rsid w:val="002119A6"/>
    <w:rsid w:val="00211A5C"/>
    <w:rsid w:val="00211A8D"/>
    <w:rsid w:val="00211B2E"/>
    <w:rsid w:val="00211B8A"/>
    <w:rsid w:val="00211CC7"/>
    <w:rsid w:val="00211DB2"/>
    <w:rsid w:val="00211DD0"/>
    <w:rsid w:val="00211E32"/>
    <w:rsid w:val="00212042"/>
    <w:rsid w:val="0021206B"/>
    <w:rsid w:val="0021207B"/>
    <w:rsid w:val="00212159"/>
    <w:rsid w:val="00212227"/>
    <w:rsid w:val="0021231A"/>
    <w:rsid w:val="0021237B"/>
    <w:rsid w:val="002125BA"/>
    <w:rsid w:val="0021290C"/>
    <w:rsid w:val="00212987"/>
    <w:rsid w:val="00212E93"/>
    <w:rsid w:val="00212EDB"/>
    <w:rsid w:val="00213032"/>
    <w:rsid w:val="002134E9"/>
    <w:rsid w:val="002135C5"/>
    <w:rsid w:val="00213654"/>
    <w:rsid w:val="00213C86"/>
    <w:rsid w:val="00214006"/>
    <w:rsid w:val="002140B5"/>
    <w:rsid w:val="00214587"/>
    <w:rsid w:val="0021472F"/>
    <w:rsid w:val="00214A92"/>
    <w:rsid w:val="00214D70"/>
    <w:rsid w:val="00214F19"/>
    <w:rsid w:val="00214F2A"/>
    <w:rsid w:val="00214FA6"/>
    <w:rsid w:val="0021535F"/>
    <w:rsid w:val="00215484"/>
    <w:rsid w:val="002154BC"/>
    <w:rsid w:val="002154ED"/>
    <w:rsid w:val="00215538"/>
    <w:rsid w:val="0021555C"/>
    <w:rsid w:val="002155B5"/>
    <w:rsid w:val="00215725"/>
    <w:rsid w:val="002157D2"/>
    <w:rsid w:val="00215871"/>
    <w:rsid w:val="00215B11"/>
    <w:rsid w:val="00215D01"/>
    <w:rsid w:val="00215D90"/>
    <w:rsid w:val="0021600B"/>
    <w:rsid w:val="00216101"/>
    <w:rsid w:val="002161B2"/>
    <w:rsid w:val="002162F3"/>
    <w:rsid w:val="00216330"/>
    <w:rsid w:val="00216749"/>
    <w:rsid w:val="00216858"/>
    <w:rsid w:val="002168ED"/>
    <w:rsid w:val="00216BDE"/>
    <w:rsid w:val="00216C0F"/>
    <w:rsid w:val="00217215"/>
    <w:rsid w:val="00217357"/>
    <w:rsid w:val="002173B6"/>
    <w:rsid w:val="002173C5"/>
    <w:rsid w:val="002174B5"/>
    <w:rsid w:val="00217668"/>
    <w:rsid w:val="00217689"/>
    <w:rsid w:val="002177FE"/>
    <w:rsid w:val="00217915"/>
    <w:rsid w:val="00217B7F"/>
    <w:rsid w:val="00217C45"/>
    <w:rsid w:val="00217D2B"/>
    <w:rsid w:val="00217E64"/>
    <w:rsid w:val="00217EB2"/>
    <w:rsid w:val="00217F0E"/>
    <w:rsid w:val="00217F3E"/>
    <w:rsid w:val="00217F5E"/>
    <w:rsid w:val="0022026A"/>
    <w:rsid w:val="0022039E"/>
    <w:rsid w:val="002206EE"/>
    <w:rsid w:val="00220830"/>
    <w:rsid w:val="00220852"/>
    <w:rsid w:val="002209F2"/>
    <w:rsid w:val="00220BDC"/>
    <w:rsid w:val="00220E98"/>
    <w:rsid w:val="00221228"/>
    <w:rsid w:val="002214F8"/>
    <w:rsid w:val="00221564"/>
    <w:rsid w:val="0022159D"/>
    <w:rsid w:val="002216F7"/>
    <w:rsid w:val="002217EF"/>
    <w:rsid w:val="00221B18"/>
    <w:rsid w:val="00221B6A"/>
    <w:rsid w:val="00221CBD"/>
    <w:rsid w:val="00221E28"/>
    <w:rsid w:val="0022213D"/>
    <w:rsid w:val="00222391"/>
    <w:rsid w:val="00222676"/>
    <w:rsid w:val="0022267B"/>
    <w:rsid w:val="0022285E"/>
    <w:rsid w:val="00222D29"/>
    <w:rsid w:val="00222D83"/>
    <w:rsid w:val="00223016"/>
    <w:rsid w:val="00223181"/>
    <w:rsid w:val="0022325D"/>
    <w:rsid w:val="0022348B"/>
    <w:rsid w:val="002234C5"/>
    <w:rsid w:val="00223777"/>
    <w:rsid w:val="00223B2B"/>
    <w:rsid w:val="00223F7F"/>
    <w:rsid w:val="00224013"/>
    <w:rsid w:val="00224195"/>
    <w:rsid w:val="002242DD"/>
    <w:rsid w:val="00224456"/>
    <w:rsid w:val="002244C0"/>
    <w:rsid w:val="002245BD"/>
    <w:rsid w:val="002246DC"/>
    <w:rsid w:val="00224855"/>
    <w:rsid w:val="00224A62"/>
    <w:rsid w:val="00224DEE"/>
    <w:rsid w:val="00224FFA"/>
    <w:rsid w:val="00225148"/>
    <w:rsid w:val="0022542C"/>
    <w:rsid w:val="00225613"/>
    <w:rsid w:val="0022575A"/>
    <w:rsid w:val="002257F8"/>
    <w:rsid w:val="002258C0"/>
    <w:rsid w:val="002258CE"/>
    <w:rsid w:val="00225906"/>
    <w:rsid w:val="00225ADB"/>
    <w:rsid w:val="00225E19"/>
    <w:rsid w:val="00225E3B"/>
    <w:rsid w:val="00225E59"/>
    <w:rsid w:val="00226003"/>
    <w:rsid w:val="002260DF"/>
    <w:rsid w:val="00226493"/>
    <w:rsid w:val="0022659A"/>
    <w:rsid w:val="002265A4"/>
    <w:rsid w:val="0022666A"/>
    <w:rsid w:val="0022672D"/>
    <w:rsid w:val="00226730"/>
    <w:rsid w:val="00226B8E"/>
    <w:rsid w:val="00226BF7"/>
    <w:rsid w:val="00226C33"/>
    <w:rsid w:val="0022700E"/>
    <w:rsid w:val="002270C0"/>
    <w:rsid w:val="002270D7"/>
    <w:rsid w:val="002271B8"/>
    <w:rsid w:val="00227430"/>
    <w:rsid w:val="00227436"/>
    <w:rsid w:val="00227619"/>
    <w:rsid w:val="002276E5"/>
    <w:rsid w:val="0022775B"/>
    <w:rsid w:val="00227924"/>
    <w:rsid w:val="002279F5"/>
    <w:rsid w:val="00227F27"/>
    <w:rsid w:val="00227F34"/>
    <w:rsid w:val="00230130"/>
    <w:rsid w:val="002302E8"/>
    <w:rsid w:val="00230379"/>
    <w:rsid w:val="00230402"/>
    <w:rsid w:val="0023086F"/>
    <w:rsid w:val="00230B01"/>
    <w:rsid w:val="00230D88"/>
    <w:rsid w:val="00230F4C"/>
    <w:rsid w:val="002310F6"/>
    <w:rsid w:val="00231226"/>
    <w:rsid w:val="00231279"/>
    <w:rsid w:val="00231795"/>
    <w:rsid w:val="00231A5E"/>
    <w:rsid w:val="00231C49"/>
    <w:rsid w:val="00231D12"/>
    <w:rsid w:val="0023213A"/>
    <w:rsid w:val="0023215F"/>
    <w:rsid w:val="002324D3"/>
    <w:rsid w:val="002327F6"/>
    <w:rsid w:val="00232A07"/>
    <w:rsid w:val="00232FCD"/>
    <w:rsid w:val="0023314A"/>
    <w:rsid w:val="00233172"/>
    <w:rsid w:val="0023324C"/>
    <w:rsid w:val="002333E1"/>
    <w:rsid w:val="00233509"/>
    <w:rsid w:val="00233626"/>
    <w:rsid w:val="002337DB"/>
    <w:rsid w:val="002337E4"/>
    <w:rsid w:val="002337EA"/>
    <w:rsid w:val="00233882"/>
    <w:rsid w:val="00233BC4"/>
    <w:rsid w:val="00233C17"/>
    <w:rsid w:val="00233C5E"/>
    <w:rsid w:val="00233CE8"/>
    <w:rsid w:val="00233D28"/>
    <w:rsid w:val="00233E9F"/>
    <w:rsid w:val="00233F6B"/>
    <w:rsid w:val="00233FAA"/>
    <w:rsid w:val="00234060"/>
    <w:rsid w:val="002340C2"/>
    <w:rsid w:val="002341C8"/>
    <w:rsid w:val="002343D4"/>
    <w:rsid w:val="0023467F"/>
    <w:rsid w:val="002349D7"/>
    <w:rsid w:val="00234CE3"/>
    <w:rsid w:val="00234E87"/>
    <w:rsid w:val="00234EB6"/>
    <w:rsid w:val="00234FBB"/>
    <w:rsid w:val="002350F5"/>
    <w:rsid w:val="00235345"/>
    <w:rsid w:val="00235389"/>
    <w:rsid w:val="00235393"/>
    <w:rsid w:val="002353C2"/>
    <w:rsid w:val="002353FB"/>
    <w:rsid w:val="002356B5"/>
    <w:rsid w:val="0023590C"/>
    <w:rsid w:val="0023599D"/>
    <w:rsid w:val="00235B97"/>
    <w:rsid w:val="00235BEA"/>
    <w:rsid w:val="00235C91"/>
    <w:rsid w:val="002364FA"/>
    <w:rsid w:val="0023650B"/>
    <w:rsid w:val="002365C7"/>
    <w:rsid w:val="00236750"/>
    <w:rsid w:val="002367D5"/>
    <w:rsid w:val="002368BC"/>
    <w:rsid w:val="002368EB"/>
    <w:rsid w:val="00236A06"/>
    <w:rsid w:val="00236B59"/>
    <w:rsid w:val="00236B6E"/>
    <w:rsid w:val="00236BBF"/>
    <w:rsid w:val="00236D51"/>
    <w:rsid w:val="00236DFE"/>
    <w:rsid w:val="00236E2C"/>
    <w:rsid w:val="00237016"/>
    <w:rsid w:val="0023707A"/>
    <w:rsid w:val="002370A9"/>
    <w:rsid w:val="0023711F"/>
    <w:rsid w:val="00237186"/>
    <w:rsid w:val="00237229"/>
    <w:rsid w:val="00237393"/>
    <w:rsid w:val="002375DF"/>
    <w:rsid w:val="00237687"/>
    <w:rsid w:val="002376C5"/>
    <w:rsid w:val="00237709"/>
    <w:rsid w:val="00237748"/>
    <w:rsid w:val="00237789"/>
    <w:rsid w:val="002379DA"/>
    <w:rsid w:val="002379E5"/>
    <w:rsid w:val="00237A89"/>
    <w:rsid w:val="00237AB1"/>
    <w:rsid w:val="00237C7F"/>
    <w:rsid w:val="00237F5B"/>
    <w:rsid w:val="002400D2"/>
    <w:rsid w:val="002400FE"/>
    <w:rsid w:val="002402E4"/>
    <w:rsid w:val="002402EF"/>
    <w:rsid w:val="002403A7"/>
    <w:rsid w:val="0024060C"/>
    <w:rsid w:val="002408B4"/>
    <w:rsid w:val="00240A6E"/>
    <w:rsid w:val="00240DE8"/>
    <w:rsid w:val="00240E6D"/>
    <w:rsid w:val="002411F8"/>
    <w:rsid w:val="002413AA"/>
    <w:rsid w:val="002414FE"/>
    <w:rsid w:val="00241555"/>
    <w:rsid w:val="0024169B"/>
    <w:rsid w:val="002416B1"/>
    <w:rsid w:val="002417F8"/>
    <w:rsid w:val="0024199A"/>
    <w:rsid w:val="002419CC"/>
    <w:rsid w:val="002419D7"/>
    <w:rsid w:val="00241C9D"/>
    <w:rsid w:val="00241E0D"/>
    <w:rsid w:val="00241EC4"/>
    <w:rsid w:val="00242046"/>
    <w:rsid w:val="00242166"/>
    <w:rsid w:val="002421E5"/>
    <w:rsid w:val="002421F0"/>
    <w:rsid w:val="00242308"/>
    <w:rsid w:val="0024232D"/>
    <w:rsid w:val="00242643"/>
    <w:rsid w:val="002426D6"/>
    <w:rsid w:val="002428A7"/>
    <w:rsid w:val="002428AC"/>
    <w:rsid w:val="00242B00"/>
    <w:rsid w:val="00242B13"/>
    <w:rsid w:val="00242CFF"/>
    <w:rsid w:val="00242D02"/>
    <w:rsid w:val="00242E9D"/>
    <w:rsid w:val="00242ED3"/>
    <w:rsid w:val="00242FB4"/>
    <w:rsid w:val="00243204"/>
    <w:rsid w:val="00243284"/>
    <w:rsid w:val="00243325"/>
    <w:rsid w:val="002434BC"/>
    <w:rsid w:val="0024359C"/>
    <w:rsid w:val="00243EFF"/>
    <w:rsid w:val="00243FE8"/>
    <w:rsid w:val="002440C2"/>
    <w:rsid w:val="0024421A"/>
    <w:rsid w:val="00244253"/>
    <w:rsid w:val="00244348"/>
    <w:rsid w:val="00244609"/>
    <w:rsid w:val="0024466D"/>
    <w:rsid w:val="002447B1"/>
    <w:rsid w:val="00244B11"/>
    <w:rsid w:val="0024517E"/>
    <w:rsid w:val="00245290"/>
    <w:rsid w:val="002452FA"/>
    <w:rsid w:val="00245306"/>
    <w:rsid w:val="0024539E"/>
    <w:rsid w:val="002453FD"/>
    <w:rsid w:val="00245627"/>
    <w:rsid w:val="0024562F"/>
    <w:rsid w:val="002456F9"/>
    <w:rsid w:val="0024577E"/>
    <w:rsid w:val="0024591B"/>
    <w:rsid w:val="00245C56"/>
    <w:rsid w:val="00245E4A"/>
    <w:rsid w:val="00246B43"/>
    <w:rsid w:val="00246B52"/>
    <w:rsid w:val="00246B69"/>
    <w:rsid w:val="00246B7F"/>
    <w:rsid w:val="002470C3"/>
    <w:rsid w:val="00247232"/>
    <w:rsid w:val="002474D9"/>
    <w:rsid w:val="002476BE"/>
    <w:rsid w:val="0024791F"/>
    <w:rsid w:val="00247EBA"/>
    <w:rsid w:val="00247FA3"/>
    <w:rsid w:val="00247FF9"/>
    <w:rsid w:val="00250002"/>
    <w:rsid w:val="002501F3"/>
    <w:rsid w:val="00250271"/>
    <w:rsid w:val="002502B6"/>
    <w:rsid w:val="00250553"/>
    <w:rsid w:val="00250A74"/>
    <w:rsid w:val="00250AD1"/>
    <w:rsid w:val="00250C68"/>
    <w:rsid w:val="00250D4B"/>
    <w:rsid w:val="00250D63"/>
    <w:rsid w:val="00250FA0"/>
    <w:rsid w:val="00250FAC"/>
    <w:rsid w:val="00251020"/>
    <w:rsid w:val="00251140"/>
    <w:rsid w:val="00251197"/>
    <w:rsid w:val="00251206"/>
    <w:rsid w:val="0025133D"/>
    <w:rsid w:val="00251524"/>
    <w:rsid w:val="002515F3"/>
    <w:rsid w:val="00251842"/>
    <w:rsid w:val="00251952"/>
    <w:rsid w:val="00251B20"/>
    <w:rsid w:val="00251BD7"/>
    <w:rsid w:val="00251BF0"/>
    <w:rsid w:val="00251C0E"/>
    <w:rsid w:val="00251E62"/>
    <w:rsid w:val="00251EC9"/>
    <w:rsid w:val="00251FD7"/>
    <w:rsid w:val="00251FFA"/>
    <w:rsid w:val="00252533"/>
    <w:rsid w:val="002525B5"/>
    <w:rsid w:val="0025261C"/>
    <w:rsid w:val="00252952"/>
    <w:rsid w:val="00252AD3"/>
    <w:rsid w:val="00252C3C"/>
    <w:rsid w:val="00252C6B"/>
    <w:rsid w:val="00252F9C"/>
    <w:rsid w:val="002530F1"/>
    <w:rsid w:val="00253106"/>
    <w:rsid w:val="0025311F"/>
    <w:rsid w:val="00253489"/>
    <w:rsid w:val="00253CCD"/>
    <w:rsid w:val="00253D78"/>
    <w:rsid w:val="00253DE2"/>
    <w:rsid w:val="00253DF3"/>
    <w:rsid w:val="00253E2F"/>
    <w:rsid w:val="00253E86"/>
    <w:rsid w:val="00254001"/>
    <w:rsid w:val="00254302"/>
    <w:rsid w:val="0025436D"/>
    <w:rsid w:val="002545B2"/>
    <w:rsid w:val="00254801"/>
    <w:rsid w:val="00254806"/>
    <w:rsid w:val="00254914"/>
    <w:rsid w:val="002549D6"/>
    <w:rsid w:val="00254C51"/>
    <w:rsid w:val="00254CB9"/>
    <w:rsid w:val="00254EA0"/>
    <w:rsid w:val="00255098"/>
    <w:rsid w:val="00255253"/>
    <w:rsid w:val="0025531F"/>
    <w:rsid w:val="002553E6"/>
    <w:rsid w:val="00255549"/>
    <w:rsid w:val="00255612"/>
    <w:rsid w:val="0025572E"/>
    <w:rsid w:val="00255AF3"/>
    <w:rsid w:val="00255B5F"/>
    <w:rsid w:val="00255C62"/>
    <w:rsid w:val="00255C7F"/>
    <w:rsid w:val="00255D7B"/>
    <w:rsid w:val="00255F50"/>
    <w:rsid w:val="00255F6F"/>
    <w:rsid w:val="0025624B"/>
    <w:rsid w:val="00256333"/>
    <w:rsid w:val="0025635B"/>
    <w:rsid w:val="00256529"/>
    <w:rsid w:val="0025678D"/>
    <w:rsid w:val="002567A1"/>
    <w:rsid w:val="002567A3"/>
    <w:rsid w:val="00256987"/>
    <w:rsid w:val="00256B04"/>
    <w:rsid w:val="00256B2F"/>
    <w:rsid w:val="00256C61"/>
    <w:rsid w:val="00256DCC"/>
    <w:rsid w:val="00256E0C"/>
    <w:rsid w:val="00256E64"/>
    <w:rsid w:val="00256F01"/>
    <w:rsid w:val="0025706E"/>
    <w:rsid w:val="00257324"/>
    <w:rsid w:val="00257684"/>
    <w:rsid w:val="002579FE"/>
    <w:rsid w:val="00257A7B"/>
    <w:rsid w:val="00257B4D"/>
    <w:rsid w:val="00257C8E"/>
    <w:rsid w:val="00257F56"/>
    <w:rsid w:val="0026002D"/>
    <w:rsid w:val="002601F6"/>
    <w:rsid w:val="002601FA"/>
    <w:rsid w:val="002602CB"/>
    <w:rsid w:val="0026031C"/>
    <w:rsid w:val="002605E6"/>
    <w:rsid w:val="00260687"/>
    <w:rsid w:val="002607FE"/>
    <w:rsid w:val="00260844"/>
    <w:rsid w:val="002608DD"/>
    <w:rsid w:val="0026099A"/>
    <w:rsid w:val="002609CF"/>
    <w:rsid w:val="00260AB9"/>
    <w:rsid w:val="00260DD0"/>
    <w:rsid w:val="002610E1"/>
    <w:rsid w:val="00261771"/>
    <w:rsid w:val="00261AB5"/>
    <w:rsid w:val="00261C8F"/>
    <w:rsid w:val="00261F8A"/>
    <w:rsid w:val="00262063"/>
    <w:rsid w:val="00262084"/>
    <w:rsid w:val="00262094"/>
    <w:rsid w:val="002620FD"/>
    <w:rsid w:val="002621A6"/>
    <w:rsid w:val="002621F0"/>
    <w:rsid w:val="00262393"/>
    <w:rsid w:val="002623EA"/>
    <w:rsid w:val="00262694"/>
    <w:rsid w:val="00262752"/>
    <w:rsid w:val="0026276D"/>
    <w:rsid w:val="00262A49"/>
    <w:rsid w:val="00262C8A"/>
    <w:rsid w:val="00262CAE"/>
    <w:rsid w:val="00262DA7"/>
    <w:rsid w:val="00262E2C"/>
    <w:rsid w:val="00262E9B"/>
    <w:rsid w:val="00262F1D"/>
    <w:rsid w:val="002630B4"/>
    <w:rsid w:val="00263347"/>
    <w:rsid w:val="00263463"/>
    <w:rsid w:val="002634EF"/>
    <w:rsid w:val="002635CC"/>
    <w:rsid w:val="002636D9"/>
    <w:rsid w:val="00263829"/>
    <w:rsid w:val="0026384A"/>
    <w:rsid w:val="00263D32"/>
    <w:rsid w:val="0026419B"/>
    <w:rsid w:val="0026419D"/>
    <w:rsid w:val="002641EB"/>
    <w:rsid w:val="002642F8"/>
    <w:rsid w:val="0026436D"/>
    <w:rsid w:val="00264706"/>
    <w:rsid w:val="0026492B"/>
    <w:rsid w:val="002649E7"/>
    <w:rsid w:val="002649FE"/>
    <w:rsid w:val="00264B44"/>
    <w:rsid w:val="00264CC9"/>
    <w:rsid w:val="00264D5E"/>
    <w:rsid w:val="00264F7C"/>
    <w:rsid w:val="002650B0"/>
    <w:rsid w:val="00265149"/>
    <w:rsid w:val="002653B5"/>
    <w:rsid w:val="002653E1"/>
    <w:rsid w:val="0026550F"/>
    <w:rsid w:val="0026554F"/>
    <w:rsid w:val="00265841"/>
    <w:rsid w:val="0026594D"/>
    <w:rsid w:val="002659C3"/>
    <w:rsid w:val="00265A0A"/>
    <w:rsid w:val="00265AEA"/>
    <w:rsid w:val="00265BBB"/>
    <w:rsid w:val="00265BE1"/>
    <w:rsid w:val="00265C2E"/>
    <w:rsid w:val="00265C97"/>
    <w:rsid w:val="00265DA9"/>
    <w:rsid w:val="00265EF5"/>
    <w:rsid w:val="00265F1E"/>
    <w:rsid w:val="00266387"/>
    <w:rsid w:val="0026667F"/>
    <w:rsid w:val="002666FE"/>
    <w:rsid w:val="002667F8"/>
    <w:rsid w:val="00266889"/>
    <w:rsid w:val="002668EA"/>
    <w:rsid w:val="00266BC3"/>
    <w:rsid w:val="00266D54"/>
    <w:rsid w:val="00266D76"/>
    <w:rsid w:val="00267207"/>
    <w:rsid w:val="002672DF"/>
    <w:rsid w:val="0026733D"/>
    <w:rsid w:val="00267349"/>
    <w:rsid w:val="00267561"/>
    <w:rsid w:val="002676F1"/>
    <w:rsid w:val="00267733"/>
    <w:rsid w:val="00267C7B"/>
    <w:rsid w:val="00267D69"/>
    <w:rsid w:val="00267DE5"/>
    <w:rsid w:val="00267E28"/>
    <w:rsid w:val="00267E78"/>
    <w:rsid w:val="00267F6D"/>
    <w:rsid w:val="0027022E"/>
    <w:rsid w:val="00270314"/>
    <w:rsid w:val="00270428"/>
    <w:rsid w:val="002706E5"/>
    <w:rsid w:val="00270995"/>
    <w:rsid w:val="00270AF0"/>
    <w:rsid w:val="00270B68"/>
    <w:rsid w:val="00270E3E"/>
    <w:rsid w:val="00270F9D"/>
    <w:rsid w:val="002711C0"/>
    <w:rsid w:val="002711F2"/>
    <w:rsid w:val="00271235"/>
    <w:rsid w:val="002712BD"/>
    <w:rsid w:val="002712C6"/>
    <w:rsid w:val="002713FD"/>
    <w:rsid w:val="0027145A"/>
    <w:rsid w:val="00271567"/>
    <w:rsid w:val="00271702"/>
    <w:rsid w:val="00271809"/>
    <w:rsid w:val="00271938"/>
    <w:rsid w:val="00271A48"/>
    <w:rsid w:val="00271B6C"/>
    <w:rsid w:val="00271D26"/>
    <w:rsid w:val="00271DC5"/>
    <w:rsid w:val="00271E71"/>
    <w:rsid w:val="00271FE2"/>
    <w:rsid w:val="0027211E"/>
    <w:rsid w:val="00272288"/>
    <w:rsid w:val="002722C0"/>
    <w:rsid w:val="002722C8"/>
    <w:rsid w:val="00272384"/>
    <w:rsid w:val="002724B4"/>
    <w:rsid w:val="00272867"/>
    <w:rsid w:val="002728C9"/>
    <w:rsid w:val="0027297D"/>
    <w:rsid w:val="00272CC5"/>
    <w:rsid w:val="0027318B"/>
    <w:rsid w:val="0027321E"/>
    <w:rsid w:val="0027329D"/>
    <w:rsid w:val="00273362"/>
    <w:rsid w:val="0027349B"/>
    <w:rsid w:val="002737E9"/>
    <w:rsid w:val="00273AB5"/>
    <w:rsid w:val="00273AE3"/>
    <w:rsid w:val="00273DE0"/>
    <w:rsid w:val="00273E4D"/>
    <w:rsid w:val="00273F52"/>
    <w:rsid w:val="00273F7D"/>
    <w:rsid w:val="00273FD0"/>
    <w:rsid w:val="0027410A"/>
    <w:rsid w:val="00274149"/>
    <w:rsid w:val="00274310"/>
    <w:rsid w:val="0027438E"/>
    <w:rsid w:val="002745F8"/>
    <w:rsid w:val="00274A6D"/>
    <w:rsid w:val="00274C00"/>
    <w:rsid w:val="00274D24"/>
    <w:rsid w:val="00274E6E"/>
    <w:rsid w:val="002750F2"/>
    <w:rsid w:val="00275151"/>
    <w:rsid w:val="00275183"/>
    <w:rsid w:val="002751D9"/>
    <w:rsid w:val="00275223"/>
    <w:rsid w:val="002752DC"/>
    <w:rsid w:val="00275432"/>
    <w:rsid w:val="002756CC"/>
    <w:rsid w:val="00275860"/>
    <w:rsid w:val="00275A26"/>
    <w:rsid w:val="00275C9B"/>
    <w:rsid w:val="00275D3E"/>
    <w:rsid w:val="00275E00"/>
    <w:rsid w:val="00275EAB"/>
    <w:rsid w:val="00275F05"/>
    <w:rsid w:val="002762C6"/>
    <w:rsid w:val="00276314"/>
    <w:rsid w:val="0027638C"/>
    <w:rsid w:val="002764B8"/>
    <w:rsid w:val="002764E6"/>
    <w:rsid w:val="002767B5"/>
    <w:rsid w:val="0027687B"/>
    <w:rsid w:val="00276950"/>
    <w:rsid w:val="00277053"/>
    <w:rsid w:val="0027715A"/>
    <w:rsid w:val="0027718B"/>
    <w:rsid w:val="0027735D"/>
    <w:rsid w:val="00277938"/>
    <w:rsid w:val="00277D6F"/>
    <w:rsid w:val="00277DD2"/>
    <w:rsid w:val="0028037D"/>
    <w:rsid w:val="002804C6"/>
    <w:rsid w:val="002806CA"/>
    <w:rsid w:val="00280928"/>
    <w:rsid w:val="00280BC9"/>
    <w:rsid w:val="00280C2A"/>
    <w:rsid w:val="00280D58"/>
    <w:rsid w:val="00280D5B"/>
    <w:rsid w:val="00280E14"/>
    <w:rsid w:val="002812CC"/>
    <w:rsid w:val="00281389"/>
    <w:rsid w:val="00281452"/>
    <w:rsid w:val="00281508"/>
    <w:rsid w:val="00281575"/>
    <w:rsid w:val="00281A99"/>
    <w:rsid w:val="00281D9C"/>
    <w:rsid w:val="00281F47"/>
    <w:rsid w:val="00281F8B"/>
    <w:rsid w:val="00281FE4"/>
    <w:rsid w:val="00282038"/>
    <w:rsid w:val="0028208D"/>
    <w:rsid w:val="00282093"/>
    <w:rsid w:val="00282118"/>
    <w:rsid w:val="00282446"/>
    <w:rsid w:val="00282EEB"/>
    <w:rsid w:val="0028305D"/>
    <w:rsid w:val="00283154"/>
    <w:rsid w:val="002833D5"/>
    <w:rsid w:val="00283573"/>
    <w:rsid w:val="00283740"/>
    <w:rsid w:val="00283938"/>
    <w:rsid w:val="002839D4"/>
    <w:rsid w:val="00283B6A"/>
    <w:rsid w:val="00283E54"/>
    <w:rsid w:val="00283EA0"/>
    <w:rsid w:val="00283F8E"/>
    <w:rsid w:val="002841E6"/>
    <w:rsid w:val="0028427A"/>
    <w:rsid w:val="002842FD"/>
    <w:rsid w:val="00284497"/>
    <w:rsid w:val="00284748"/>
    <w:rsid w:val="002848E8"/>
    <w:rsid w:val="00284A7C"/>
    <w:rsid w:val="00284AC2"/>
    <w:rsid w:val="00284C58"/>
    <w:rsid w:val="00284F20"/>
    <w:rsid w:val="00285070"/>
    <w:rsid w:val="002852AF"/>
    <w:rsid w:val="002852BD"/>
    <w:rsid w:val="002853A1"/>
    <w:rsid w:val="002854CA"/>
    <w:rsid w:val="002855AE"/>
    <w:rsid w:val="002855FF"/>
    <w:rsid w:val="00285B59"/>
    <w:rsid w:val="00285BCE"/>
    <w:rsid w:val="00285E8D"/>
    <w:rsid w:val="00285F9E"/>
    <w:rsid w:val="00286089"/>
    <w:rsid w:val="002860C3"/>
    <w:rsid w:val="00286185"/>
    <w:rsid w:val="002861BF"/>
    <w:rsid w:val="002862E0"/>
    <w:rsid w:val="002863B3"/>
    <w:rsid w:val="00286633"/>
    <w:rsid w:val="0028671E"/>
    <w:rsid w:val="00286C60"/>
    <w:rsid w:val="00286D37"/>
    <w:rsid w:val="00286F9F"/>
    <w:rsid w:val="00287015"/>
    <w:rsid w:val="00287102"/>
    <w:rsid w:val="0028723A"/>
    <w:rsid w:val="0028740F"/>
    <w:rsid w:val="002875BE"/>
    <w:rsid w:val="002875E1"/>
    <w:rsid w:val="002877B7"/>
    <w:rsid w:val="00287B4A"/>
    <w:rsid w:val="00287BEC"/>
    <w:rsid w:val="00287C85"/>
    <w:rsid w:val="00287F86"/>
    <w:rsid w:val="002900CB"/>
    <w:rsid w:val="002900EA"/>
    <w:rsid w:val="002900FB"/>
    <w:rsid w:val="00290424"/>
    <w:rsid w:val="0029042A"/>
    <w:rsid w:val="00290538"/>
    <w:rsid w:val="00290875"/>
    <w:rsid w:val="00290D41"/>
    <w:rsid w:val="00290DC2"/>
    <w:rsid w:val="00290DD4"/>
    <w:rsid w:val="00290FB7"/>
    <w:rsid w:val="00290FDB"/>
    <w:rsid w:val="00291065"/>
    <w:rsid w:val="00291446"/>
    <w:rsid w:val="0029157D"/>
    <w:rsid w:val="00291728"/>
    <w:rsid w:val="00291C9F"/>
    <w:rsid w:val="00291D2B"/>
    <w:rsid w:val="00291DAA"/>
    <w:rsid w:val="00291E3D"/>
    <w:rsid w:val="00291E54"/>
    <w:rsid w:val="00291F0F"/>
    <w:rsid w:val="00292077"/>
    <w:rsid w:val="002920B4"/>
    <w:rsid w:val="002920F2"/>
    <w:rsid w:val="00292225"/>
    <w:rsid w:val="0029226C"/>
    <w:rsid w:val="002922A8"/>
    <w:rsid w:val="002922C0"/>
    <w:rsid w:val="002923BA"/>
    <w:rsid w:val="0029242A"/>
    <w:rsid w:val="0029299B"/>
    <w:rsid w:val="002929DB"/>
    <w:rsid w:val="002929FB"/>
    <w:rsid w:val="00292A1F"/>
    <w:rsid w:val="00292C8A"/>
    <w:rsid w:val="00292E16"/>
    <w:rsid w:val="00292F90"/>
    <w:rsid w:val="00292FB3"/>
    <w:rsid w:val="00293080"/>
    <w:rsid w:val="0029312E"/>
    <w:rsid w:val="00293137"/>
    <w:rsid w:val="00293232"/>
    <w:rsid w:val="00293D5C"/>
    <w:rsid w:val="00293D5D"/>
    <w:rsid w:val="00293DA2"/>
    <w:rsid w:val="00293F3C"/>
    <w:rsid w:val="00294234"/>
    <w:rsid w:val="002945E4"/>
    <w:rsid w:val="002947B6"/>
    <w:rsid w:val="00294D4F"/>
    <w:rsid w:val="00294F97"/>
    <w:rsid w:val="00295158"/>
    <w:rsid w:val="002952A0"/>
    <w:rsid w:val="00295556"/>
    <w:rsid w:val="0029557C"/>
    <w:rsid w:val="002957EB"/>
    <w:rsid w:val="00295BF2"/>
    <w:rsid w:val="00295C64"/>
    <w:rsid w:val="00295D1B"/>
    <w:rsid w:val="002962D5"/>
    <w:rsid w:val="002963F2"/>
    <w:rsid w:val="00296464"/>
    <w:rsid w:val="0029647F"/>
    <w:rsid w:val="00296A52"/>
    <w:rsid w:val="00296EA5"/>
    <w:rsid w:val="00296F09"/>
    <w:rsid w:val="00296F9D"/>
    <w:rsid w:val="002970E5"/>
    <w:rsid w:val="00297199"/>
    <w:rsid w:val="002972A4"/>
    <w:rsid w:val="002973EE"/>
    <w:rsid w:val="00297754"/>
    <w:rsid w:val="002977BA"/>
    <w:rsid w:val="0029785A"/>
    <w:rsid w:val="00297A2F"/>
    <w:rsid w:val="00297AAA"/>
    <w:rsid w:val="00297B86"/>
    <w:rsid w:val="00297C46"/>
    <w:rsid w:val="00297CF2"/>
    <w:rsid w:val="00297E52"/>
    <w:rsid w:val="00297FFC"/>
    <w:rsid w:val="002A019E"/>
    <w:rsid w:val="002A01A7"/>
    <w:rsid w:val="002A01BF"/>
    <w:rsid w:val="002A02BA"/>
    <w:rsid w:val="002A08D0"/>
    <w:rsid w:val="002A0A9A"/>
    <w:rsid w:val="002A0ADC"/>
    <w:rsid w:val="002A0EF8"/>
    <w:rsid w:val="002A0F55"/>
    <w:rsid w:val="002A0F67"/>
    <w:rsid w:val="002A1031"/>
    <w:rsid w:val="002A10DB"/>
    <w:rsid w:val="002A11E1"/>
    <w:rsid w:val="002A122B"/>
    <w:rsid w:val="002A1523"/>
    <w:rsid w:val="002A1680"/>
    <w:rsid w:val="002A16E4"/>
    <w:rsid w:val="002A1710"/>
    <w:rsid w:val="002A18EB"/>
    <w:rsid w:val="002A18FB"/>
    <w:rsid w:val="002A1A31"/>
    <w:rsid w:val="002A1AC4"/>
    <w:rsid w:val="002A1BC3"/>
    <w:rsid w:val="002A1DD8"/>
    <w:rsid w:val="002A20C7"/>
    <w:rsid w:val="002A22C0"/>
    <w:rsid w:val="002A230D"/>
    <w:rsid w:val="002A2563"/>
    <w:rsid w:val="002A27A0"/>
    <w:rsid w:val="002A29E0"/>
    <w:rsid w:val="002A2ACE"/>
    <w:rsid w:val="002A2DF9"/>
    <w:rsid w:val="002A2FE2"/>
    <w:rsid w:val="002A3261"/>
    <w:rsid w:val="002A338E"/>
    <w:rsid w:val="002A3392"/>
    <w:rsid w:val="002A34A5"/>
    <w:rsid w:val="002A3512"/>
    <w:rsid w:val="002A370F"/>
    <w:rsid w:val="002A3943"/>
    <w:rsid w:val="002A3AB9"/>
    <w:rsid w:val="002A3B8C"/>
    <w:rsid w:val="002A3C46"/>
    <w:rsid w:val="002A3DDA"/>
    <w:rsid w:val="002A3E84"/>
    <w:rsid w:val="002A3F36"/>
    <w:rsid w:val="002A41C4"/>
    <w:rsid w:val="002A4280"/>
    <w:rsid w:val="002A42CA"/>
    <w:rsid w:val="002A4340"/>
    <w:rsid w:val="002A4398"/>
    <w:rsid w:val="002A4655"/>
    <w:rsid w:val="002A49E6"/>
    <w:rsid w:val="002A4A24"/>
    <w:rsid w:val="002A4A66"/>
    <w:rsid w:val="002A4B8B"/>
    <w:rsid w:val="002A4BE8"/>
    <w:rsid w:val="002A4BF8"/>
    <w:rsid w:val="002A4C10"/>
    <w:rsid w:val="002A4E3D"/>
    <w:rsid w:val="002A4FEF"/>
    <w:rsid w:val="002A505C"/>
    <w:rsid w:val="002A5092"/>
    <w:rsid w:val="002A523A"/>
    <w:rsid w:val="002A5486"/>
    <w:rsid w:val="002A54DE"/>
    <w:rsid w:val="002A550C"/>
    <w:rsid w:val="002A5578"/>
    <w:rsid w:val="002A5593"/>
    <w:rsid w:val="002A579A"/>
    <w:rsid w:val="002A57A3"/>
    <w:rsid w:val="002A59C5"/>
    <w:rsid w:val="002A5A2C"/>
    <w:rsid w:val="002A5ADA"/>
    <w:rsid w:val="002A5BB6"/>
    <w:rsid w:val="002A5C62"/>
    <w:rsid w:val="002A5EDC"/>
    <w:rsid w:val="002A6108"/>
    <w:rsid w:val="002A6352"/>
    <w:rsid w:val="002A65D4"/>
    <w:rsid w:val="002A6720"/>
    <w:rsid w:val="002A688C"/>
    <w:rsid w:val="002A6C8A"/>
    <w:rsid w:val="002A6E8B"/>
    <w:rsid w:val="002A710E"/>
    <w:rsid w:val="002A7550"/>
    <w:rsid w:val="002A76AF"/>
    <w:rsid w:val="002A778F"/>
    <w:rsid w:val="002A7ADB"/>
    <w:rsid w:val="002A7ADE"/>
    <w:rsid w:val="002A7D41"/>
    <w:rsid w:val="002A7D56"/>
    <w:rsid w:val="002A7D5A"/>
    <w:rsid w:val="002A7E6C"/>
    <w:rsid w:val="002A7F04"/>
    <w:rsid w:val="002B004E"/>
    <w:rsid w:val="002B028F"/>
    <w:rsid w:val="002B03B7"/>
    <w:rsid w:val="002B0492"/>
    <w:rsid w:val="002B05DD"/>
    <w:rsid w:val="002B06F4"/>
    <w:rsid w:val="002B070D"/>
    <w:rsid w:val="002B076D"/>
    <w:rsid w:val="002B0893"/>
    <w:rsid w:val="002B0935"/>
    <w:rsid w:val="002B0CF4"/>
    <w:rsid w:val="002B0D4D"/>
    <w:rsid w:val="002B0DB8"/>
    <w:rsid w:val="002B103B"/>
    <w:rsid w:val="002B1100"/>
    <w:rsid w:val="002B11F4"/>
    <w:rsid w:val="002B12CB"/>
    <w:rsid w:val="002B14BA"/>
    <w:rsid w:val="002B1580"/>
    <w:rsid w:val="002B17A9"/>
    <w:rsid w:val="002B186B"/>
    <w:rsid w:val="002B1A5A"/>
    <w:rsid w:val="002B1D26"/>
    <w:rsid w:val="002B1E76"/>
    <w:rsid w:val="002B1F44"/>
    <w:rsid w:val="002B2270"/>
    <w:rsid w:val="002B249E"/>
    <w:rsid w:val="002B25D5"/>
    <w:rsid w:val="002B25E2"/>
    <w:rsid w:val="002B26A1"/>
    <w:rsid w:val="002B27CC"/>
    <w:rsid w:val="002B27E3"/>
    <w:rsid w:val="002B2919"/>
    <w:rsid w:val="002B29AE"/>
    <w:rsid w:val="002B2AC1"/>
    <w:rsid w:val="002B2C37"/>
    <w:rsid w:val="002B2EFE"/>
    <w:rsid w:val="002B3019"/>
    <w:rsid w:val="002B3168"/>
    <w:rsid w:val="002B31AE"/>
    <w:rsid w:val="002B31BD"/>
    <w:rsid w:val="002B32E8"/>
    <w:rsid w:val="002B3397"/>
    <w:rsid w:val="002B3551"/>
    <w:rsid w:val="002B3591"/>
    <w:rsid w:val="002B366B"/>
    <w:rsid w:val="002B3746"/>
    <w:rsid w:val="002B3756"/>
    <w:rsid w:val="002B3AEC"/>
    <w:rsid w:val="002B3BFA"/>
    <w:rsid w:val="002B3FEC"/>
    <w:rsid w:val="002B4112"/>
    <w:rsid w:val="002B440F"/>
    <w:rsid w:val="002B4413"/>
    <w:rsid w:val="002B45FF"/>
    <w:rsid w:val="002B4666"/>
    <w:rsid w:val="002B47F2"/>
    <w:rsid w:val="002B4D8F"/>
    <w:rsid w:val="002B5038"/>
    <w:rsid w:val="002B51AE"/>
    <w:rsid w:val="002B5358"/>
    <w:rsid w:val="002B536E"/>
    <w:rsid w:val="002B5435"/>
    <w:rsid w:val="002B54F6"/>
    <w:rsid w:val="002B5964"/>
    <w:rsid w:val="002B599F"/>
    <w:rsid w:val="002B59D6"/>
    <w:rsid w:val="002B5A30"/>
    <w:rsid w:val="002B5A7A"/>
    <w:rsid w:val="002B5ADA"/>
    <w:rsid w:val="002B5C59"/>
    <w:rsid w:val="002B5CEA"/>
    <w:rsid w:val="002B5D0A"/>
    <w:rsid w:val="002B5F9F"/>
    <w:rsid w:val="002B5FBD"/>
    <w:rsid w:val="002B6125"/>
    <w:rsid w:val="002B62F2"/>
    <w:rsid w:val="002B634C"/>
    <w:rsid w:val="002B6365"/>
    <w:rsid w:val="002B6442"/>
    <w:rsid w:val="002B64E4"/>
    <w:rsid w:val="002B6547"/>
    <w:rsid w:val="002B6800"/>
    <w:rsid w:val="002B6885"/>
    <w:rsid w:val="002B6889"/>
    <w:rsid w:val="002B6898"/>
    <w:rsid w:val="002B6917"/>
    <w:rsid w:val="002B69B7"/>
    <w:rsid w:val="002B6A3C"/>
    <w:rsid w:val="002B6A44"/>
    <w:rsid w:val="002B6AEF"/>
    <w:rsid w:val="002B6B14"/>
    <w:rsid w:val="002B6D2C"/>
    <w:rsid w:val="002B6EC7"/>
    <w:rsid w:val="002B6FEA"/>
    <w:rsid w:val="002B73F7"/>
    <w:rsid w:val="002B7630"/>
    <w:rsid w:val="002B799C"/>
    <w:rsid w:val="002B7A1E"/>
    <w:rsid w:val="002B7C66"/>
    <w:rsid w:val="002C026F"/>
    <w:rsid w:val="002C02CF"/>
    <w:rsid w:val="002C0373"/>
    <w:rsid w:val="002C045E"/>
    <w:rsid w:val="002C070A"/>
    <w:rsid w:val="002C0729"/>
    <w:rsid w:val="002C0800"/>
    <w:rsid w:val="002C0980"/>
    <w:rsid w:val="002C0B79"/>
    <w:rsid w:val="002C0CCB"/>
    <w:rsid w:val="002C0F09"/>
    <w:rsid w:val="002C12BC"/>
    <w:rsid w:val="002C12D3"/>
    <w:rsid w:val="002C136E"/>
    <w:rsid w:val="002C148C"/>
    <w:rsid w:val="002C15B7"/>
    <w:rsid w:val="002C16C9"/>
    <w:rsid w:val="002C18E4"/>
    <w:rsid w:val="002C1A60"/>
    <w:rsid w:val="002C1AAA"/>
    <w:rsid w:val="002C1C62"/>
    <w:rsid w:val="002C2204"/>
    <w:rsid w:val="002C229E"/>
    <w:rsid w:val="002C2657"/>
    <w:rsid w:val="002C29C1"/>
    <w:rsid w:val="002C2B3D"/>
    <w:rsid w:val="002C2B93"/>
    <w:rsid w:val="002C2C0A"/>
    <w:rsid w:val="002C2CC6"/>
    <w:rsid w:val="002C2E06"/>
    <w:rsid w:val="002C2FC6"/>
    <w:rsid w:val="002C2FDA"/>
    <w:rsid w:val="002C3339"/>
    <w:rsid w:val="002C3391"/>
    <w:rsid w:val="002C33AB"/>
    <w:rsid w:val="002C3449"/>
    <w:rsid w:val="002C3823"/>
    <w:rsid w:val="002C38A9"/>
    <w:rsid w:val="002C390C"/>
    <w:rsid w:val="002C391B"/>
    <w:rsid w:val="002C39E7"/>
    <w:rsid w:val="002C3B5A"/>
    <w:rsid w:val="002C3D09"/>
    <w:rsid w:val="002C3E83"/>
    <w:rsid w:val="002C3F69"/>
    <w:rsid w:val="002C412F"/>
    <w:rsid w:val="002C41A4"/>
    <w:rsid w:val="002C42A9"/>
    <w:rsid w:val="002C4404"/>
    <w:rsid w:val="002C44EB"/>
    <w:rsid w:val="002C4654"/>
    <w:rsid w:val="002C46D9"/>
    <w:rsid w:val="002C47F8"/>
    <w:rsid w:val="002C48FE"/>
    <w:rsid w:val="002C493A"/>
    <w:rsid w:val="002C4C5F"/>
    <w:rsid w:val="002C4C62"/>
    <w:rsid w:val="002C4CA4"/>
    <w:rsid w:val="002C4F87"/>
    <w:rsid w:val="002C4FF6"/>
    <w:rsid w:val="002C51FE"/>
    <w:rsid w:val="002C5481"/>
    <w:rsid w:val="002C57EB"/>
    <w:rsid w:val="002C5803"/>
    <w:rsid w:val="002C5835"/>
    <w:rsid w:val="002C5885"/>
    <w:rsid w:val="002C59B5"/>
    <w:rsid w:val="002C5A47"/>
    <w:rsid w:val="002C5B95"/>
    <w:rsid w:val="002C5D66"/>
    <w:rsid w:val="002C5F44"/>
    <w:rsid w:val="002C6490"/>
    <w:rsid w:val="002C64A3"/>
    <w:rsid w:val="002C65C2"/>
    <w:rsid w:val="002C660E"/>
    <w:rsid w:val="002C6797"/>
    <w:rsid w:val="002C6867"/>
    <w:rsid w:val="002C68B8"/>
    <w:rsid w:val="002C6949"/>
    <w:rsid w:val="002C69B8"/>
    <w:rsid w:val="002C69CF"/>
    <w:rsid w:val="002C69DF"/>
    <w:rsid w:val="002C69E0"/>
    <w:rsid w:val="002C6A06"/>
    <w:rsid w:val="002C6AD6"/>
    <w:rsid w:val="002C6C17"/>
    <w:rsid w:val="002C7032"/>
    <w:rsid w:val="002C703B"/>
    <w:rsid w:val="002C70F5"/>
    <w:rsid w:val="002C7287"/>
    <w:rsid w:val="002C7316"/>
    <w:rsid w:val="002C7672"/>
    <w:rsid w:val="002C780D"/>
    <w:rsid w:val="002C7973"/>
    <w:rsid w:val="002C7CDA"/>
    <w:rsid w:val="002C7DE0"/>
    <w:rsid w:val="002C7ED5"/>
    <w:rsid w:val="002D00DA"/>
    <w:rsid w:val="002D019A"/>
    <w:rsid w:val="002D0221"/>
    <w:rsid w:val="002D031D"/>
    <w:rsid w:val="002D0321"/>
    <w:rsid w:val="002D0420"/>
    <w:rsid w:val="002D04A7"/>
    <w:rsid w:val="002D060E"/>
    <w:rsid w:val="002D0736"/>
    <w:rsid w:val="002D076A"/>
    <w:rsid w:val="002D08C6"/>
    <w:rsid w:val="002D08EB"/>
    <w:rsid w:val="002D0FCC"/>
    <w:rsid w:val="002D0FFD"/>
    <w:rsid w:val="002D1298"/>
    <w:rsid w:val="002D132E"/>
    <w:rsid w:val="002D13AD"/>
    <w:rsid w:val="002D163D"/>
    <w:rsid w:val="002D1693"/>
    <w:rsid w:val="002D16E7"/>
    <w:rsid w:val="002D17FD"/>
    <w:rsid w:val="002D184A"/>
    <w:rsid w:val="002D19C1"/>
    <w:rsid w:val="002D1A21"/>
    <w:rsid w:val="002D1C75"/>
    <w:rsid w:val="002D1F5B"/>
    <w:rsid w:val="002D1FDB"/>
    <w:rsid w:val="002D21C5"/>
    <w:rsid w:val="002D2498"/>
    <w:rsid w:val="002D27A9"/>
    <w:rsid w:val="002D2855"/>
    <w:rsid w:val="002D2F0F"/>
    <w:rsid w:val="002D305B"/>
    <w:rsid w:val="002D30E9"/>
    <w:rsid w:val="002D3108"/>
    <w:rsid w:val="002D335C"/>
    <w:rsid w:val="002D34B7"/>
    <w:rsid w:val="002D34E9"/>
    <w:rsid w:val="002D35E2"/>
    <w:rsid w:val="002D3721"/>
    <w:rsid w:val="002D3A44"/>
    <w:rsid w:val="002D3A8C"/>
    <w:rsid w:val="002D3BA8"/>
    <w:rsid w:val="002D3BCF"/>
    <w:rsid w:val="002D3DDD"/>
    <w:rsid w:val="002D3F01"/>
    <w:rsid w:val="002D3F38"/>
    <w:rsid w:val="002D3FD5"/>
    <w:rsid w:val="002D4024"/>
    <w:rsid w:val="002D429F"/>
    <w:rsid w:val="002D43E8"/>
    <w:rsid w:val="002D4750"/>
    <w:rsid w:val="002D47FE"/>
    <w:rsid w:val="002D489D"/>
    <w:rsid w:val="002D4AFB"/>
    <w:rsid w:val="002D4CC9"/>
    <w:rsid w:val="002D4D32"/>
    <w:rsid w:val="002D4E0F"/>
    <w:rsid w:val="002D501B"/>
    <w:rsid w:val="002D5060"/>
    <w:rsid w:val="002D5167"/>
    <w:rsid w:val="002D53A0"/>
    <w:rsid w:val="002D53A1"/>
    <w:rsid w:val="002D54AB"/>
    <w:rsid w:val="002D54D3"/>
    <w:rsid w:val="002D58AA"/>
    <w:rsid w:val="002D5999"/>
    <w:rsid w:val="002D5BB4"/>
    <w:rsid w:val="002D60EB"/>
    <w:rsid w:val="002D61AA"/>
    <w:rsid w:val="002D6262"/>
    <w:rsid w:val="002D6373"/>
    <w:rsid w:val="002D6435"/>
    <w:rsid w:val="002D64DD"/>
    <w:rsid w:val="002D6520"/>
    <w:rsid w:val="002D65E2"/>
    <w:rsid w:val="002D677D"/>
    <w:rsid w:val="002D6B32"/>
    <w:rsid w:val="002D6C5A"/>
    <w:rsid w:val="002D6DF4"/>
    <w:rsid w:val="002D6DFA"/>
    <w:rsid w:val="002D6ECF"/>
    <w:rsid w:val="002D6FC5"/>
    <w:rsid w:val="002D71A2"/>
    <w:rsid w:val="002D71CC"/>
    <w:rsid w:val="002D77AD"/>
    <w:rsid w:val="002D795A"/>
    <w:rsid w:val="002D79B5"/>
    <w:rsid w:val="002D79DB"/>
    <w:rsid w:val="002D7BBF"/>
    <w:rsid w:val="002D7D80"/>
    <w:rsid w:val="002D7F39"/>
    <w:rsid w:val="002E0157"/>
    <w:rsid w:val="002E01F5"/>
    <w:rsid w:val="002E020D"/>
    <w:rsid w:val="002E070D"/>
    <w:rsid w:val="002E07BA"/>
    <w:rsid w:val="002E08C7"/>
    <w:rsid w:val="002E0D05"/>
    <w:rsid w:val="002E0D5E"/>
    <w:rsid w:val="002E0EC4"/>
    <w:rsid w:val="002E120A"/>
    <w:rsid w:val="002E1544"/>
    <w:rsid w:val="002E15C0"/>
    <w:rsid w:val="002E15C7"/>
    <w:rsid w:val="002E1637"/>
    <w:rsid w:val="002E1989"/>
    <w:rsid w:val="002E1A9C"/>
    <w:rsid w:val="002E1C2B"/>
    <w:rsid w:val="002E1C6F"/>
    <w:rsid w:val="002E1DB9"/>
    <w:rsid w:val="002E200F"/>
    <w:rsid w:val="002E2179"/>
    <w:rsid w:val="002E21EF"/>
    <w:rsid w:val="002E2298"/>
    <w:rsid w:val="002E2635"/>
    <w:rsid w:val="002E2743"/>
    <w:rsid w:val="002E28A2"/>
    <w:rsid w:val="002E2A63"/>
    <w:rsid w:val="002E2B8E"/>
    <w:rsid w:val="002E2C59"/>
    <w:rsid w:val="002E2C60"/>
    <w:rsid w:val="002E2DF5"/>
    <w:rsid w:val="002E2E9F"/>
    <w:rsid w:val="002E2FC1"/>
    <w:rsid w:val="002E309B"/>
    <w:rsid w:val="002E315E"/>
    <w:rsid w:val="002E31AC"/>
    <w:rsid w:val="002E3328"/>
    <w:rsid w:val="002E3365"/>
    <w:rsid w:val="002E33F9"/>
    <w:rsid w:val="002E3411"/>
    <w:rsid w:val="002E34C1"/>
    <w:rsid w:val="002E350D"/>
    <w:rsid w:val="002E351E"/>
    <w:rsid w:val="002E388F"/>
    <w:rsid w:val="002E3BE1"/>
    <w:rsid w:val="002E3EE6"/>
    <w:rsid w:val="002E3EEC"/>
    <w:rsid w:val="002E4440"/>
    <w:rsid w:val="002E4706"/>
    <w:rsid w:val="002E4732"/>
    <w:rsid w:val="002E4820"/>
    <w:rsid w:val="002E4858"/>
    <w:rsid w:val="002E4A00"/>
    <w:rsid w:val="002E4B62"/>
    <w:rsid w:val="002E4BC4"/>
    <w:rsid w:val="002E4D92"/>
    <w:rsid w:val="002E4DF4"/>
    <w:rsid w:val="002E4E5A"/>
    <w:rsid w:val="002E50D0"/>
    <w:rsid w:val="002E51DF"/>
    <w:rsid w:val="002E51F3"/>
    <w:rsid w:val="002E52F9"/>
    <w:rsid w:val="002E5352"/>
    <w:rsid w:val="002E5516"/>
    <w:rsid w:val="002E5546"/>
    <w:rsid w:val="002E5584"/>
    <w:rsid w:val="002E567A"/>
    <w:rsid w:val="002E56E5"/>
    <w:rsid w:val="002E5754"/>
    <w:rsid w:val="002E57EB"/>
    <w:rsid w:val="002E5960"/>
    <w:rsid w:val="002E59F3"/>
    <w:rsid w:val="002E5B80"/>
    <w:rsid w:val="002E5D28"/>
    <w:rsid w:val="002E5D67"/>
    <w:rsid w:val="002E5DFE"/>
    <w:rsid w:val="002E5E84"/>
    <w:rsid w:val="002E5F6A"/>
    <w:rsid w:val="002E5FA1"/>
    <w:rsid w:val="002E5FD2"/>
    <w:rsid w:val="002E61AE"/>
    <w:rsid w:val="002E6275"/>
    <w:rsid w:val="002E642D"/>
    <w:rsid w:val="002E64AB"/>
    <w:rsid w:val="002E64BB"/>
    <w:rsid w:val="002E65A2"/>
    <w:rsid w:val="002E65C7"/>
    <w:rsid w:val="002E685A"/>
    <w:rsid w:val="002E6902"/>
    <w:rsid w:val="002E6A56"/>
    <w:rsid w:val="002E6A9E"/>
    <w:rsid w:val="002E6C7F"/>
    <w:rsid w:val="002E6E85"/>
    <w:rsid w:val="002E7272"/>
    <w:rsid w:val="002E737C"/>
    <w:rsid w:val="002E7467"/>
    <w:rsid w:val="002E7828"/>
    <w:rsid w:val="002E7C3E"/>
    <w:rsid w:val="002E7C51"/>
    <w:rsid w:val="002E7CB9"/>
    <w:rsid w:val="002E7DDD"/>
    <w:rsid w:val="002E7E19"/>
    <w:rsid w:val="002E7E53"/>
    <w:rsid w:val="002E7F24"/>
    <w:rsid w:val="002E7F49"/>
    <w:rsid w:val="002F00CB"/>
    <w:rsid w:val="002F011A"/>
    <w:rsid w:val="002F014A"/>
    <w:rsid w:val="002F039B"/>
    <w:rsid w:val="002F0A27"/>
    <w:rsid w:val="002F10B7"/>
    <w:rsid w:val="002F10DA"/>
    <w:rsid w:val="002F11BF"/>
    <w:rsid w:val="002F1414"/>
    <w:rsid w:val="002F14CC"/>
    <w:rsid w:val="002F1509"/>
    <w:rsid w:val="002F1536"/>
    <w:rsid w:val="002F15E8"/>
    <w:rsid w:val="002F163F"/>
    <w:rsid w:val="002F182E"/>
    <w:rsid w:val="002F19F6"/>
    <w:rsid w:val="002F1E45"/>
    <w:rsid w:val="002F1F32"/>
    <w:rsid w:val="002F201E"/>
    <w:rsid w:val="002F22D5"/>
    <w:rsid w:val="002F239A"/>
    <w:rsid w:val="002F2655"/>
    <w:rsid w:val="002F2730"/>
    <w:rsid w:val="002F2757"/>
    <w:rsid w:val="002F279D"/>
    <w:rsid w:val="002F27FF"/>
    <w:rsid w:val="002F2807"/>
    <w:rsid w:val="002F28CB"/>
    <w:rsid w:val="002F2977"/>
    <w:rsid w:val="002F29D5"/>
    <w:rsid w:val="002F2B59"/>
    <w:rsid w:val="002F2B7C"/>
    <w:rsid w:val="002F301D"/>
    <w:rsid w:val="002F303A"/>
    <w:rsid w:val="002F328E"/>
    <w:rsid w:val="002F349D"/>
    <w:rsid w:val="002F3618"/>
    <w:rsid w:val="002F3630"/>
    <w:rsid w:val="002F3C4B"/>
    <w:rsid w:val="002F3C83"/>
    <w:rsid w:val="002F3FFC"/>
    <w:rsid w:val="002F40C5"/>
    <w:rsid w:val="002F4223"/>
    <w:rsid w:val="002F43F5"/>
    <w:rsid w:val="002F4626"/>
    <w:rsid w:val="002F462B"/>
    <w:rsid w:val="002F48BF"/>
    <w:rsid w:val="002F49F9"/>
    <w:rsid w:val="002F4CC3"/>
    <w:rsid w:val="002F4CF6"/>
    <w:rsid w:val="002F4EE9"/>
    <w:rsid w:val="002F4F10"/>
    <w:rsid w:val="002F5043"/>
    <w:rsid w:val="002F554A"/>
    <w:rsid w:val="002F567A"/>
    <w:rsid w:val="002F5710"/>
    <w:rsid w:val="002F5A95"/>
    <w:rsid w:val="002F617D"/>
    <w:rsid w:val="002F6436"/>
    <w:rsid w:val="002F65C6"/>
    <w:rsid w:val="002F6618"/>
    <w:rsid w:val="002F6909"/>
    <w:rsid w:val="002F6B7E"/>
    <w:rsid w:val="002F6BE7"/>
    <w:rsid w:val="002F6C4B"/>
    <w:rsid w:val="002F6E87"/>
    <w:rsid w:val="002F6F09"/>
    <w:rsid w:val="002F6F0D"/>
    <w:rsid w:val="002F6FF6"/>
    <w:rsid w:val="002F7327"/>
    <w:rsid w:val="002F735D"/>
    <w:rsid w:val="002F7BE0"/>
    <w:rsid w:val="002F7C1C"/>
    <w:rsid w:val="002F7D5D"/>
    <w:rsid w:val="002F7DAA"/>
    <w:rsid w:val="002F7DCD"/>
    <w:rsid w:val="002F7E83"/>
    <w:rsid w:val="00300140"/>
    <w:rsid w:val="00300259"/>
    <w:rsid w:val="00300322"/>
    <w:rsid w:val="00300715"/>
    <w:rsid w:val="00300759"/>
    <w:rsid w:val="00300794"/>
    <w:rsid w:val="003007D7"/>
    <w:rsid w:val="00300833"/>
    <w:rsid w:val="00300901"/>
    <w:rsid w:val="00300957"/>
    <w:rsid w:val="00300DD3"/>
    <w:rsid w:val="00300E8C"/>
    <w:rsid w:val="00300F6A"/>
    <w:rsid w:val="00300FD0"/>
    <w:rsid w:val="00301086"/>
    <w:rsid w:val="003011D0"/>
    <w:rsid w:val="003013EC"/>
    <w:rsid w:val="0030144D"/>
    <w:rsid w:val="0030158C"/>
    <w:rsid w:val="003015A6"/>
    <w:rsid w:val="00301932"/>
    <w:rsid w:val="00301C42"/>
    <w:rsid w:val="00301C95"/>
    <w:rsid w:val="00301D6D"/>
    <w:rsid w:val="00301E9B"/>
    <w:rsid w:val="00301EE2"/>
    <w:rsid w:val="00301EF5"/>
    <w:rsid w:val="00302003"/>
    <w:rsid w:val="0030231F"/>
    <w:rsid w:val="00302493"/>
    <w:rsid w:val="003025F9"/>
    <w:rsid w:val="0030274C"/>
    <w:rsid w:val="00302794"/>
    <w:rsid w:val="003028EB"/>
    <w:rsid w:val="00302D0F"/>
    <w:rsid w:val="00302D2E"/>
    <w:rsid w:val="00302DF5"/>
    <w:rsid w:val="00302FF9"/>
    <w:rsid w:val="00303025"/>
    <w:rsid w:val="003030FB"/>
    <w:rsid w:val="00303166"/>
    <w:rsid w:val="003032D9"/>
    <w:rsid w:val="0030338F"/>
    <w:rsid w:val="003034A3"/>
    <w:rsid w:val="003034EE"/>
    <w:rsid w:val="00303557"/>
    <w:rsid w:val="0030369F"/>
    <w:rsid w:val="00303727"/>
    <w:rsid w:val="003037C0"/>
    <w:rsid w:val="00303800"/>
    <w:rsid w:val="00303BFD"/>
    <w:rsid w:val="00303C85"/>
    <w:rsid w:val="00303D51"/>
    <w:rsid w:val="00303F8A"/>
    <w:rsid w:val="00304045"/>
    <w:rsid w:val="003041E2"/>
    <w:rsid w:val="0030428E"/>
    <w:rsid w:val="003042F3"/>
    <w:rsid w:val="003048D9"/>
    <w:rsid w:val="00304B01"/>
    <w:rsid w:val="00304B3C"/>
    <w:rsid w:val="00305085"/>
    <w:rsid w:val="003050CE"/>
    <w:rsid w:val="0030529A"/>
    <w:rsid w:val="0030536F"/>
    <w:rsid w:val="00305562"/>
    <w:rsid w:val="00305DDA"/>
    <w:rsid w:val="0030607C"/>
    <w:rsid w:val="003061F7"/>
    <w:rsid w:val="0030620D"/>
    <w:rsid w:val="003062D8"/>
    <w:rsid w:val="0030630E"/>
    <w:rsid w:val="00306366"/>
    <w:rsid w:val="003063FF"/>
    <w:rsid w:val="0030654F"/>
    <w:rsid w:val="003065E9"/>
    <w:rsid w:val="003066D8"/>
    <w:rsid w:val="00306A05"/>
    <w:rsid w:val="00306A36"/>
    <w:rsid w:val="00306B76"/>
    <w:rsid w:val="00306D2B"/>
    <w:rsid w:val="00307187"/>
    <w:rsid w:val="003073B5"/>
    <w:rsid w:val="00307483"/>
    <w:rsid w:val="0030755C"/>
    <w:rsid w:val="00307ADC"/>
    <w:rsid w:val="00307BBF"/>
    <w:rsid w:val="00307C3A"/>
    <w:rsid w:val="00307E69"/>
    <w:rsid w:val="003102AF"/>
    <w:rsid w:val="00310498"/>
    <w:rsid w:val="0031053F"/>
    <w:rsid w:val="003106A9"/>
    <w:rsid w:val="00310721"/>
    <w:rsid w:val="003109E2"/>
    <w:rsid w:val="00310BFA"/>
    <w:rsid w:val="00310C4E"/>
    <w:rsid w:val="00310C73"/>
    <w:rsid w:val="0031118B"/>
    <w:rsid w:val="00311267"/>
    <w:rsid w:val="00311408"/>
    <w:rsid w:val="0031143B"/>
    <w:rsid w:val="003114A5"/>
    <w:rsid w:val="00311630"/>
    <w:rsid w:val="003116C6"/>
    <w:rsid w:val="003117D5"/>
    <w:rsid w:val="003118BE"/>
    <w:rsid w:val="00311A08"/>
    <w:rsid w:val="00311C55"/>
    <w:rsid w:val="00311EA1"/>
    <w:rsid w:val="003120AB"/>
    <w:rsid w:val="0031212A"/>
    <w:rsid w:val="00312215"/>
    <w:rsid w:val="003124AC"/>
    <w:rsid w:val="0031253B"/>
    <w:rsid w:val="0031257E"/>
    <w:rsid w:val="00312776"/>
    <w:rsid w:val="003127F3"/>
    <w:rsid w:val="00312884"/>
    <w:rsid w:val="00312CF7"/>
    <w:rsid w:val="00312EAA"/>
    <w:rsid w:val="0031312E"/>
    <w:rsid w:val="0031314B"/>
    <w:rsid w:val="00313386"/>
    <w:rsid w:val="0031367F"/>
    <w:rsid w:val="00313E70"/>
    <w:rsid w:val="00313E97"/>
    <w:rsid w:val="00313EAD"/>
    <w:rsid w:val="00313FB4"/>
    <w:rsid w:val="00314022"/>
    <w:rsid w:val="00314299"/>
    <w:rsid w:val="00314874"/>
    <w:rsid w:val="00314A9D"/>
    <w:rsid w:val="00314D53"/>
    <w:rsid w:val="00314D57"/>
    <w:rsid w:val="00314D71"/>
    <w:rsid w:val="00314DE8"/>
    <w:rsid w:val="00314E6F"/>
    <w:rsid w:val="00314F13"/>
    <w:rsid w:val="00314F78"/>
    <w:rsid w:val="00314FA2"/>
    <w:rsid w:val="00315054"/>
    <w:rsid w:val="0031505D"/>
    <w:rsid w:val="0031508D"/>
    <w:rsid w:val="003150B7"/>
    <w:rsid w:val="00315145"/>
    <w:rsid w:val="00315197"/>
    <w:rsid w:val="003152FD"/>
    <w:rsid w:val="00315329"/>
    <w:rsid w:val="0031550F"/>
    <w:rsid w:val="003156FD"/>
    <w:rsid w:val="003157E1"/>
    <w:rsid w:val="00315806"/>
    <w:rsid w:val="003158AE"/>
    <w:rsid w:val="00315947"/>
    <w:rsid w:val="00315A61"/>
    <w:rsid w:val="00315AC6"/>
    <w:rsid w:val="00315B20"/>
    <w:rsid w:val="00315C2A"/>
    <w:rsid w:val="00315C92"/>
    <w:rsid w:val="00316042"/>
    <w:rsid w:val="0031613E"/>
    <w:rsid w:val="00316306"/>
    <w:rsid w:val="0031630F"/>
    <w:rsid w:val="00316C0D"/>
    <w:rsid w:val="00316C29"/>
    <w:rsid w:val="003170C3"/>
    <w:rsid w:val="003170E9"/>
    <w:rsid w:val="0031717F"/>
    <w:rsid w:val="0031722D"/>
    <w:rsid w:val="00317337"/>
    <w:rsid w:val="003174AC"/>
    <w:rsid w:val="00317519"/>
    <w:rsid w:val="0031751D"/>
    <w:rsid w:val="00317521"/>
    <w:rsid w:val="0031788C"/>
    <w:rsid w:val="00317B75"/>
    <w:rsid w:val="00317BD2"/>
    <w:rsid w:val="00317D17"/>
    <w:rsid w:val="00317E87"/>
    <w:rsid w:val="00317EB2"/>
    <w:rsid w:val="00317EEB"/>
    <w:rsid w:val="00317FCD"/>
    <w:rsid w:val="0032020D"/>
    <w:rsid w:val="00320538"/>
    <w:rsid w:val="00320A0A"/>
    <w:rsid w:val="00320AC6"/>
    <w:rsid w:val="00320C01"/>
    <w:rsid w:val="00320E18"/>
    <w:rsid w:val="00320E27"/>
    <w:rsid w:val="00320E2F"/>
    <w:rsid w:val="003210F6"/>
    <w:rsid w:val="003210F9"/>
    <w:rsid w:val="00321136"/>
    <w:rsid w:val="00321425"/>
    <w:rsid w:val="00321658"/>
    <w:rsid w:val="003217D1"/>
    <w:rsid w:val="00321985"/>
    <w:rsid w:val="00321A5C"/>
    <w:rsid w:val="0032216B"/>
    <w:rsid w:val="003221CB"/>
    <w:rsid w:val="00322285"/>
    <w:rsid w:val="00322363"/>
    <w:rsid w:val="0032237F"/>
    <w:rsid w:val="003223C7"/>
    <w:rsid w:val="003225D3"/>
    <w:rsid w:val="003226FF"/>
    <w:rsid w:val="00322790"/>
    <w:rsid w:val="00322B50"/>
    <w:rsid w:val="00322BC0"/>
    <w:rsid w:val="00322C66"/>
    <w:rsid w:val="00322D85"/>
    <w:rsid w:val="0032301D"/>
    <w:rsid w:val="0032317A"/>
    <w:rsid w:val="00323315"/>
    <w:rsid w:val="003235D3"/>
    <w:rsid w:val="00323671"/>
    <w:rsid w:val="003237A9"/>
    <w:rsid w:val="003239B6"/>
    <w:rsid w:val="003239F3"/>
    <w:rsid w:val="00323A13"/>
    <w:rsid w:val="00323B7A"/>
    <w:rsid w:val="00323E47"/>
    <w:rsid w:val="00323E85"/>
    <w:rsid w:val="0032414B"/>
    <w:rsid w:val="00324319"/>
    <w:rsid w:val="00324734"/>
    <w:rsid w:val="0032484C"/>
    <w:rsid w:val="00324B81"/>
    <w:rsid w:val="00324F21"/>
    <w:rsid w:val="00325010"/>
    <w:rsid w:val="00325255"/>
    <w:rsid w:val="003255C2"/>
    <w:rsid w:val="0032560E"/>
    <w:rsid w:val="0032571A"/>
    <w:rsid w:val="0032599C"/>
    <w:rsid w:val="00325C45"/>
    <w:rsid w:val="00325EE0"/>
    <w:rsid w:val="00325FD5"/>
    <w:rsid w:val="00326137"/>
    <w:rsid w:val="003261ED"/>
    <w:rsid w:val="00326228"/>
    <w:rsid w:val="003262B4"/>
    <w:rsid w:val="003263F1"/>
    <w:rsid w:val="00326451"/>
    <w:rsid w:val="003264C3"/>
    <w:rsid w:val="003265F0"/>
    <w:rsid w:val="003267C1"/>
    <w:rsid w:val="00326928"/>
    <w:rsid w:val="003269BA"/>
    <w:rsid w:val="00326A64"/>
    <w:rsid w:val="00326A89"/>
    <w:rsid w:val="00326D5C"/>
    <w:rsid w:val="00326EC3"/>
    <w:rsid w:val="00326EC6"/>
    <w:rsid w:val="00327029"/>
    <w:rsid w:val="0032734F"/>
    <w:rsid w:val="00327477"/>
    <w:rsid w:val="0032787C"/>
    <w:rsid w:val="003278F5"/>
    <w:rsid w:val="00330234"/>
    <w:rsid w:val="003302F7"/>
    <w:rsid w:val="003303D4"/>
    <w:rsid w:val="003306A2"/>
    <w:rsid w:val="0033083D"/>
    <w:rsid w:val="00330984"/>
    <w:rsid w:val="00330C0E"/>
    <w:rsid w:val="0033102F"/>
    <w:rsid w:val="00331413"/>
    <w:rsid w:val="003316AD"/>
    <w:rsid w:val="00331829"/>
    <w:rsid w:val="00331938"/>
    <w:rsid w:val="0033197E"/>
    <w:rsid w:val="00331CD6"/>
    <w:rsid w:val="003323E4"/>
    <w:rsid w:val="00332458"/>
    <w:rsid w:val="003325E4"/>
    <w:rsid w:val="003327BA"/>
    <w:rsid w:val="0033289D"/>
    <w:rsid w:val="00332C15"/>
    <w:rsid w:val="00332CDE"/>
    <w:rsid w:val="00332F1E"/>
    <w:rsid w:val="00332F79"/>
    <w:rsid w:val="00332FCC"/>
    <w:rsid w:val="00333112"/>
    <w:rsid w:val="003331AE"/>
    <w:rsid w:val="00333859"/>
    <w:rsid w:val="003338DF"/>
    <w:rsid w:val="00333953"/>
    <w:rsid w:val="00333A37"/>
    <w:rsid w:val="00333ACD"/>
    <w:rsid w:val="00333D6F"/>
    <w:rsid w:val="00333F52"/>
    <w:rsid w:val="0033433A"/>
    <w:rsid w:val="00334397"/>
    <w:rsid w:val="00334598"/>
    <w:rsid w:val="0033468C"/>
    <w:rsid w:val="003346EB"/>
    <w:rsid w:val="003347BE"/>
    <w:rsid w:val="00334857"/>
    <w:rsid w:val="003348E5"/>
    <w:rsid w:val="003348FD"/>
    <w:rsid w:val="003349A2"/>
    <w:rsid w:val="00334A4D"/>
    <w:rsid w:val="00334BD6"/>
    <w:rsid w:val="00334CE5"/>
    <w:rsid w:val="00334EA5"/>
    <w:rsid w:val="00334ED4"/>
    <w:rsid w:val="0033501C"/>
    <w:rsid w:val="00335138"/>
    <w:rsid w:val="003351B2"/>
    <w:rsid w:val="003353A3"/>
    <w:rsid w:val="0033549D"/>
    <w:rsid w:val="00335559"/>
    <w:rsid w:val="0033590F"/>
    <w:rsid w:val="003359BF"/>
    <w:rsid w:val="00335BB8"/>
    <w:rsid w:val="00335C61"/>
    <w:rsid w:val="00335CE5"/>
    <w:rsid w:val="00335E97"/>
    <w:rsid w:val="00335EAC"/>
    <w:rsid w:val="003361C8"/>
    <w:rsid w:val="00336567"/>
    <w:rsid w:val="0033684F"/>
    <w:rsid w:val="00336BF6"/>
    <w:rsid w:val="003370B9"/>
    <w:rsid w:val="00337427"/>
    <w:rsid w:val="00337561"/>
    <w:rsid w:val="00337595"/>
    <w:rsid w:val="003377DD"/>
    <w:rsid w:val="00337A9D"/>
    <w:rsid w:val="00337E6D"/>
    <w:rsid w:val="00337F12"/>
    <w:rsid w:val="0034004A"/>
    <w:rsid w:val="003401F0"/>
    <w:rsid w:val="00340243"/>
    <w:rsid w:val="003405AA"/>
    <w:rsid w:val="003405B5"/>
    <w:rsid w:val="00340A24"/>
    <w:rsid w:val="00340AA8"/>
    <w:rsid w:val="00340C2A"/>
    <w:rsid w:val="00340D4A"/>
    <w:rsid w:val="00340D63"/>
    <w:rsid w:val="00340DE4"/>
    <w:rsid w:val="00340F96"/>
    <w:rsid w:val="00341362"/>
    <w:rsid w:val="0034149E"/>
    <w:rsid w:val="00341912"/>
    <w:rsid w:val="0034194D"/>
    <w:rsid w:val="00341A08"/>
    <w:rsid w:val="003422EF"/>
    <w:rsid w:val="00342548"/>
    <w:rsid w:val="00342621"/>
    <w:rsid w:val="00342681"/>
    <w:rsid w:val="00342997"/>
    <w:rsid w:val="00342C34"/>
    <w:rsid w:val="00342C54"/>
    <w:rsid w:val="00342D97"/>
    <w:rsid w:val="00342E3C"/>
    <w:rsid w:val="00342E72"/>
    <w:rsid w:val="00342F51"/>
    <w:rsid w:val="00342FAB"/>
    <w:rsid w:val="00343260"/>
    <w:rsid w:val="0034326F"/>
    <w:rsid w:val="0034329C"/>
    <w:rsid w:val="00343523"/>
    <w:rsid w:val="00343787"/>
    <w:rsid w:val="00343886"/>
    <w:rsid w:val="003438CB"/>
    <w:rsid w:val="003438D4"/>
    <w:rsid w:val="003439D3"/>
    <w:rsid w:val="00343C22"/>
    <w:rsid w:val="00343D6A"/>
    <w:rsid w:val="00343DC8"/>
    <w:rsid w:val="00343E06"/>
    <w:rsid w:val="00343E8B"/>
    <w:rsid w:val="00343F66"/>
    <w:rsid w:val="003441F5"/>
    <w:rsid w:val="00344314"/>
    <w:rsid w:val="00344419"/>
    <w:rsid w:val="003444EF"/>
    <w:rsid w:val="0034489A"/>
    <w:rsid w:val="003448A7"/>
    <w:rsid w:val="00344988"/>
    <w:rsid w:val="00344B1B"/>
    <w:rsid w:val="00344B4F"/>
    <w:rsid w:val="00344BE8"/>
    <w:rsid w:val="00344CC3"/>
    <w:rsid w:val="00344D01"/>
    <w:rsid w:val="0034521A"/>
    <w:rsid w:val="00345395"/>
    <w:rsid w:val="0034550D"/>
    <w:rsid w:val="003455D5"/>
    <w:rsid w:val="003455F3"/>
    <w:rsid w:val="003459B0"/>
    <w:rsid w:val="003459E8"/>
    <w:rsid w:val="00345B77"/>
    <w:rsid w:val="00345BD3"/>
    <w:rsid w:val="00345C07"/>
    <w:rsid w:val="00345C7C"/>
    <w:rsid w:val="00345CAD"/>
    <w:rsid w:val="00345E1E"/>
    <w:rsid w:val="00345E3A"/>
    <w:rsid w:val="00346006"/>
    <w:rsid w:val="0034623D"/>
    <w:rsid w:val="00346267"/>
    <w:rsid w:val="00346275"/>
    <w:rsid w:val="003462E3"/>
    <w:rsid w:val="00346440"/>
    <w:rsid w:val="003465AE"/>
    <w:rsid w:val="00346722"/>
    <w:rsid w:val="00346936"/>
    <w:rsid w:val="00346AE9"/>
    <w:rsid w:val="00346BE9"/>
    <w:rsid w:val="00346C02"/>
    <w:rsid w:val="00346D6F"/>
    <w:rsid w:val="00347068"/>
    <w:rsid w:val="003470A2"/>
    <w:rsid w:val="003470B7"/>
    <w:rsid w:val="0034710C"/>
    <w:rsid w:val="00347249"/>
    <w:rsid w:val="003472C2"/>
    <w:rsid w:val="0034730D"/>
    <w:rsid w:val="00347321"/>
    <w:rsid w:val="00347555"/>
    <w:rsid w:val="00347598"/>
    <w:rsid w:val="00347638"/>
    <w:rsid w:val="003476AC"/>
    <w:rsid w:val="00347849"/>
    <w:rsid w:val="003478CE"/>
    <w:rsid w:val="00347C18"/>
    <w:rsid w:val="00347D86"/>
    <w:rsid w:val="00347F71"/>
    <w:rsid w:val="00350572"/>
    <w:rsid w:val="003506DE"/>
    <w:rsid w:val="0035085A"/>
    <w:rsid w:val="0035091C"/>
    <w:rsid w:val="00350961"/>
    <w:rsid w:val="00350A1B"/>
    <w:rsid w:val="00350D93"/>
    <w:rsid w:val="00350FAE"/>
    <w:rsid w:val="0035102E"/>
    <w:rsid w:val="00351030"/>
    <w:rsid w:val="00351150"/>
    <w:rsid w:val="003511AA"/>
    <w:rsid w:val="003511D9"/>
    <w:rsid w:val="0035131A"/>
    <w:rsid w:val="00351394"/>
    <w:rsid w:val="003513E4"/>
    <w:rsid w:val="00351801"/>
    <w:rsid w:val="003518E5"/>
    <w:rsid w:val="00351A2E"/>
    <w:rsid w:val="00351B65"/>
    <w:rsid w:val="00351C51"/>
    <w:rsid w:val="00351D75"/>
    <w:rsid w:val="00351DA5"/>
    <w:rsid w:val="00351E44"/>
    <w:rsid w:val="00352007"/>
    <w:rsid w:val="003522A9"/>
    <w:rsid w:val="003522D0"/>
    <w:rsid w:val="003522E6"/>
    <w:rsid w:val="00352361"/>
    <w:rsid w:val="003523FC"/>
    <w:rsid w:val="00352541"/>
    <w:rsid w:val="003525D1"/>
    <w:rsid w:val="00352606"/>
    <w:rsid w:val="00352616"/>
    <w:rsid w:val="00352788"/>
    <w:rsid w:val="00352C43"/>
    <w:rsid w:val="00352D36"/>
    <w:rsid w:val="00352D5F"/>
    <w:rsid w:val="00352FC6"/>
    <w:rsid w:val="00353072"/>
    <w:rsid w:val="00353142"/>
    <w:rsid w:val="00353164"/>
    <w:rsid w:val="0035335E"/>
    <w:rsid w:val="00353399"/>
    <w:rsid w:val="0035357A"/>
    <w:rsid w:val="00353706"/>
    <w:rsid w:val="0035382B"/>
    <w:rsid w:val="00353C5D"/>
    <w:rsid w:val="00354058"/>
    <w:rsid w:val="0035410C"/>
    <w:rsid w:val="00354127"/>
    <w:rsid w:val="003544CB"/>
    <w:rsid w:val="0035464B"/>
    <w:rsid w:val="003546BF"/>
    <w:rsid w:val="003547D7"/>
    <w:rsid w:val="00354806"/>
    <w:rsid w:val="00354A20"/>
    <w:rsid w:val="00354B40"/>
    <w:rsid w:val="00354BBE"/>
    <w:rsid w:val="00354CCA"/>
    <w:rsid w:val="00354D51"/>
    <w:rsid w:val="00354F71"/>
    <w:rsid w:val="003550A3"/>
    <w:rsid w:val="003552A0"/>
    <w:rsid w:val="00355318"/>
    <w:rsid w:val="003554CE"/>
    <w:rsid w:val="003556C8"/>
    <w:rsid w:val="0035579D"/>
    <w:rsid w:val="003557E6"/>
    <w:rsid w:val="003559EA"/>
    <w:rsid w:val="00355A2E"/>
    <w:rsid w:val="00355ABD"/>
    <w:rsid w:val="00355AC1"/>
    <w:rsid w:val="00355CA4"/>
    <w:rsid w:val="00355CDE"/>
    <w:rsid w:val="00355E73"/>
    <w:rsid w:val="00355F8C"/>
    <w:rsid w:val="00355FF1"/>
    <w:rsid w:val="00356132"/>
    <w:rsid w:val="003561B7"/>
    <w:rsid w:val="003561D5"/>
    <w:rsid w:val="00356231"/>
    <w:rsid w:val="0035635E"/>
    <w:rsid w:val="0035641A"/>
    <w:rsid w:val="0035644B"/>
    <w:rsid w:val="00356824"/>
    <w:rsid w:val="00356E52"/>
    <w:rsid w:val="00356F90"/>
    <w:rsid w:val="00357526"/>
    <w:rsid w:val="00357820"/>
    <w:rsid w:val="0035787F"/>
    <w:rsid w:val="00357955"/>
    <w:rsid w:val="00357B59"/>
    <w:rsid w:val="00357C3C"/>
    <w:rsid w:val="00357CF1"/>
    <w:rsid w:val="00357D71"/>
    <w:rsid w:val="00360322"/>
    <w:rsid w:val="0036037F"/>
    <w:rsid w:val="0036044D"/>
    <w:rsid w:val="0036066A"/>
    <w:rsid w:val="00360781"/>
    <w:rsid w:val="003608C7"/>
    <w:rsid w:val="00360D19"/>
    <w:rsid w:val="003611F0"/>
    <w:rsid w:val="0036137C"/>
    <w:rsid w:val="00361537"/>
    <w:rsid w:val="00361674"/>
    <w:rsid w:val="0036180B"/>
    <w:rsid w:val="00361AC7"/>
    <w:rsid w:val="00361AE0"/>
    <w:rsid w:val="00361BA3"/>
    <w:rsid w:val="00361BF9"/>
    <w:rsid w:val="00361DFE"/>
    <w:rsid w:val="00361E71"/>
    <w:rsid w:val="00361F0F"/>
    <w:rsid w:val="00361FC4"/>
    <w:rsid w:val="0036253E"/>
    <w:rsid w:val="0036254E"/>
    <w:rsid w:val="00362679"/>
    <w:rsid w:val="0036275C"/>
    <w:rsid w:val="003627AF"/>
    <w:rsid w:val="003627B2"/>
    <w:rsid w:val="00362874"/>
    <w:rsid w:val="003628CA"/>
    <w:rsid w:val="00362B14"/>
    <w:rsid w:val="00362B23"/>
    <w:rsid w:val="00362CAD"/>
    <w:rsid w:val="00362E3B"/>
    <w:rsid w:val="00362F6F"/>
    <w:rsid w:val="00362FD2"/>
    <w:rsid w:val="003630AD"/>
    <w:rsid w:val="003631F2"/>
    <w:rsid w:val="0036324E"/>
    <w:rsid w:val="003634E9"/>
    <w:rsid w:val="00363527"/>
    <w:rsid w:val="003635B5"/>
    <w:rsid w:val="00363623"/>
    <w:rsid w:val="0036365B"/>
    <w:rsid w:val="00363745"/>
    <w:rsid w:val="00363775"/>
    <w:rsid w:val="00363856"/>
    <w:rsid w:val="00363B4C"/>
    <w:rsid w:val="00363BA7"/>
    <w:rsid w:val="00363BCE"/>
    <w:rsid w:val="00363C47"/>
    <w:rsid w:val="00363E2C"/>
    <w:rsid w:val="0036406A"/>
    <w:rsid w:val="00364166"/>
    <w:rsid w:val="003642FB"/>
    <w:rsid w:val="00364358"/>
    <w:rsid w:val="0036440A"/>
    <w:rsid w:val="003647DA"/>
    <w:rsid w:val="003649EF"/>
    <w:rsid w:val="00364C73"/>
    <w:rsid w:val="00364CA1"/>
    <w:rsid w:val="00364CF7"/>
    <w:rsid w:val="00364D9E"/>
    <w:rsid w:val="0036515B"/>
    <w:rsid w:val="0036515C"/>
    <w:rsid w:val="0036526C"/>
    <w:rsid w:val="0036526E"/>
    <w:rsid w:val="003654D9"/>
    <w:rsid w:val="0036577F"/>
    <w:rsid w:val="0036578B"/>
    <w:rsid w:val="0036584A"/>
    <w:rsid w:val="00365992"/>
    <w:rsid w:val="003659C7"/>
    <w:rsid w:val="00365BEB"/>
    <w:rsid w:val="00365C47"/>
    <w:rsid w:val="00365DCF"/>
    <w:rsid w:val="00366270"/>
    <w:rsid w:val="003664C7"/>
    <w:rsid w:val="003665D0"/>
    <w:rsid w:val="003666E8"/>
    <w:rsid w:val="00366706"/>
    <w:rsid w:val="00366989"/>
    <w:rsid w:val="00366B25"/>
    <w:rsid w:val="00366C3A"/>
    <w:rsid w:val="00366C59"/>
    <w:rsid w:val="00366CA4"/>
    <w:rsid w:val="00366E0B"/>
    <w:rsid w:val="00366E66"/>
    <w:rsid w:val="00366F26"/>
    <w:rsid w:val="00367150"/>
    <w:rsid w:val="00367306"/>
    <w:rsid w:val="00367580"/>
    <w:rsid w:val="003677D5"/>
    <w:rsid w:val="00367876"/>
    <w:rsid w:val="0036787E"/>
    <w:rsid w:val="00367AA9"/>
    <w:rsid w:val="00367CC7"/>
    <w:rsid w:val="00367D46"/>
    <w:rsid w:val="00367F3A"/>
    <w:rsid w:val="003700F1"/>
    <w:rsid w:val="00370340"/>
    <w:rsid w:val="003705CF"/>
    <w:rsid w:val="00370703"/>
    <w:rsid w:val="003707CE"/>
    <w:rsid w:val="0037086B"/>
    <w:rsid w:val="0037087A"/>
    <w:rsid w:val="003708BA"/>
    <w:rsid w:val="0037093C"/>
    <w:rsid w:val="00370C3B"/>
    <w:rsid w:val="00370CAC"/>
    <w:rsid w:val="00370CFB"/>
    <w:rsid w:val="003710C4"/>
    <w:rsid w:val="00371277"/>
    <w:rsid w:val="0037133C"/>
    <w:rsid w:val="0037148B"/>
    <w:rsid w:val="003714A3"/>
    <w:rsid w:val="003715FE"/>
    <w:rsid w:val="00371823"/>
    <w:rsid w:val="0037194C"/>
    <w:rsid w:val="00371AD1"/>
    <w:rsid w:val="00371C1A"/>
    <w:rsid w:val="00371C55"/>
    <w:rsid w:val="00371E6F"/>
    <w:rsid w:val="00371F89"/>
    <w:rsid w:val="00372152"/>
    <w:rsid w:val="00372419"/>
    <w:rsid w:val="003724C3"/>
    <w:rsid w:val="003725BE"/>
    <w:rsid w:val="003725F5"/>
    <w:rsid w:val="003726AC"/>
    <w:rsid w:val="00372868"/>
    <w:rsid w:val="003728C7"/>
    <w:rsid w:val="00372B61"/>
    <w:rsid w:val="00372BD0"/>
    <w:rsid w:val="00372D35"/>
    <w:rsid w:val="00372E8F"/>
    <w:rsid w:val="003730A4"/>
    <w:rsid w:val="0037335B"/>
    <w:rsid w:val="0037335C"/>
    <w:rsid w:val="0037346B"/>
    <w:rsid w:val="00373486"/>
    <w:rsid w:val="003734AE"/>
    <w:rsid w:val="00373580"/>
    <w:rsid w:val="003735E1"/>
    <w:rsid w:val="0037360C"/>
    <w:rsid w:val="003737CF"/>
    <w:rsid w:val="00373857"/>
    <w:rsid w:val="00373B0D"/>
    <w:rsid w:val="00373B3A"/>
    <w:rsid w:val="00373BE2"/>
    <w:rsid w:val="00373CE6"/>
    <w:rsid w:val="00373E63"/>
    <w:rsid w:val="00373F92"/>
    <w:rsid w:val="0037432C"/>
    <w:rsid w:val="00374485"/>
    <w:rsid w:val="003744B1"/>
    <w:rsid w:val="003744E9"/>
    <w:rsid w:val="00374612"/>
    <w:rsid w:val="003746AC"/>
    <w:rsid w:val="003747FB"/>
    <w:rsid w:val="003749CE"/>
    <w:rsid w:val="003749FD"/>
    <w:rsid w:val="00374BD0"/>
    <w:rsid w:val="00374CC0"/>
    <w:rsid w:val="00374DB9"/>
    <w:rsid w:val="00374F4B"/>
    <w:rsid w:val="00374F9B"/>
    <w:rsid w:val="00374F9D"/>
    <w:rsid w:val="003751A4"/>
    <w:rsid w:val="003751FE"/>
    <w:rsid w:val="0037539D"/>
    <w:rsid w:val="0037549D"/>
    <w:rsid w:val="0037557A"/>
    <w:rsid w:val="003756A3"/>
    <w:rsid w:val="003757EB"/>
    <w:rsid w:val="003757EC"/>
    <w:rsid w:val="003758C4"/>
    <w:rsid w:val="003758EC"/>
    <w:rsid w:val="003759DE"/>
    <w:rsid w:val="00375AEB"/>
    <w:rsid w:val="00375C1E"/>
    <w:rsid w:val="00375E30"/>
    <w:rsid w:val="00375EDA"/>
    <w:rsid w:val="003760A4"/>
    <w:rsid w:val="003760AF"/>
    <w:rsid w:val="003761DB"/>
    <w:rsid w:val="003764DB"/>
    <w:rsid w:val="0037651C"/>
    <w:rsid w:val="0037659D"/>
    <w:rsid w:val="00376910"/>
    <w:rsid w:val="00376BA2"/>
    <w:rsid w:val="00376C9F"/>
    <w:rsid w:val="00377007"/>
    <w:rsid w:val="0037709A"/>
    <w:rsid w:val="003771B6"/>
    <w:rsid w:val="003777C9"/>
    <w:rsid w:val="00377970"/>
    <w:rsid w:val="00377AC6"/>
    <w:rsid w:val="00377C32"/>
    <w:rsid w:val="00377E6A"/>
    <w:rsid w:val="00377F34"/>
    <w:rsid w:val="00377F38"/>
    <w:rsid w:val="00380445"/>
    <w:rsid w:val="003804A2"/>
    <w:rsid w:val="00380778"/>
    <w:rsid w:val="003808BA"/>
    <w:rsid w:val="00380AEE"/>
    <w:rsid w:val="00380B9D"/>
    <w:rsid w:val="00380BD1"/>
    <w:rsid w:val="00380CB0"/>
    <w:rsid w:val="003810BA"/>
    <w:rsid w:val="00381976"/>
    <w:rsid w:val="00381BE7"/>
    <w:rsid w:val="00381E9E"/>
    <w:rsid w:val="003820E0"/>
    <w:rsid w:val="00382456"/>
    <w:rsid w:val="0038257D"/>
    <w:rsid w:val="00382676"/>
    <w:rsid w:val="003827CB"/>
    <w:rsid w:val="0038292B"/>
    <w:rsid w:val="00383259"/>
    <w:rsid w:val="00383541"/>
    <w:rsid w:val="003837CB"/>
    <w:rsid w:val="00383903"/>
    <w:rsid w:val="0038395A"/>
    <w:rsid w:val="00383A09"/>
    <w:rsid w:val="00383A64"/>
    <w:rsid w:val="00383B57"/>
    <w:rsid w:val="00384071"/>
    <w:rsid w:val="003843E1"/>
    <w:rsid w:val="00384642"/>
    <w:rsid w:val="00384764"/>
    <w:rsid w:val="00384869"/>
    <w:rsid w:val="00384C28"/>
    <w:rsid w:val="00384DA7"/>
    <w:rsid w:val="00384E13"/>
    <w:rsid w:val="003855B2"/>
    <w:rsid w:val="003855BD"/>
    <w:rsid w:val="0038570E"/>
    <w:rsid w:val="0038579C"/>
    <w:rsid w:val="00385B28"/>
    <w:rsid w:val="00385DF7"/>
    <w:rsid w:val="00385F22"/>
    <w:rsid w:val="00385F39"/>
    <w:rsid w:val="00386067"/>
    <w:rsid w:val="00386391"/>
    <w:rsid w:val="003863B4"/>
    <w:rsid w:val="0038642C"/>
    <w:rsid w:val="0038646B"/>
    <w:rsid w:val="003865B3"/>
    <w:rsid w:val="003867C6"/>
    <w:rsid w:val="00386A8A"/>
    <w:rsid w:val="00386AA3"/>
    <w:rsid w:val="00386AF0"/>
    <w:rsid w:val="00386CDB"/>
    <w:rsid w:val="00386D3D"/>
    <w:rsid w:val="00386E2B"/>
    <w:rsid w:val="00386E4A"/>
    <w:rsid w:val="00386E8D"/>
    <w:rsid w:val="00386F5B"/>
    <w:rsid w:val="003874B5"/>
    <w:rsid w:val="0038751B"/>
    <w:rsid w:val="003876E7"/>
    <w:rsid w:val="00387752"/>
    <w:rsid w:val="003878F2"/>
    <w:rsid w:val="00387AAB"/>
    <w:rsid w:val="00387BAE"/>
    <w:rsid w:val="00387C99"/>
    <w:rsid w:val="00387DA8"/>
    <w:rsid w:val="00387F9C"/>
    <w:rsid w:val="00390389"/>
    <w:rsid w:val="00390446"/>
    <w:rsid w:val="00390806"/>
    <w:rsid w:val="00390C47"/>
    <w:rsid w:val="00390D3C"/>
    <w:rsid w:val="00390D5E"/>
    <w:rsid w:val="00390E4F"/>
    <w:rsid w:val="00390E5C"/>
    <w:rsid w:val="00390E91"/>
    <w:rsid w:val="00390EA3"/>
    <w:rsid w:val="00390F8E"/>
    <w:rsid w:val="003915A0"/>
    <w:rsid w:val="0039196D"/>
    <w:rsid w:val="00391A05"/>
    <w:rsid w:val="00391A1B"/>
    <w:rsid w:val="00391A46"/>
    <w:rsid w:val="00391B57"/>
    <w:rsid w:val="00391B83"/>
    <w:rsid w:val="00391B9F"/>
    <w:rsid w:val="00391C14"/>
    <w:rsid w:val="00391DEA"/>
    <w:rsid w:val="00391E93"/>
    <w:rsid w:val="00391F2B"/>
    <w:rsid w:val="00391FE7"/>
    <w:rsid w:val="0039200E"/>
    <w:rsid w:val="00392187"/>
    <w:rsid w:val="00392317"/>
    <w:rsid w:val="00392384"/>
    <w:rsid w:val="00392600"/>
    <w:rsid w:val="003926E7"/>
    <w:rsid w:val="00392A13"/>
    <w:rsid w:val="00392A60"/>
    <w:rsid w:val="00392B99"/>
    <w:rsid w:val="00392BEF"/>
    <w:rsid w:val="00393128"/>
    <w:rsid w:val="00393288"/>
    <w:rsid w:val="003932E9"/>
    <w:rsid w:val="00393390"/>
    <w:rsid w:val="003935FD"/>
    <w:rsid w:val="00393722"/>
    <w:rsid w:val="0039372A"/>
    <w:rsid w:val="003937BC"/>
    <w:rsid w:val="003937F0"/>
    <w:rsid w:val="003937F4"/>
    <w:rsid w:val="00393F84"/>
    <w:rsid w:val="003945ED"/>
    <w:rsid w:val="003949E1"/>
    <w:rsid w:val="00394A9C"/>
    <w:rsid w:val="0039504E"/>
    <w:rsid w:val="00395574"/>
    <w:rsid w:val="003955ED"/>
    <w:rsid w:val="00395769"/>
    <w:rsid w:val="0039576B"/>
    <w:rsid w:val="003957C3"/>
    <w:rsid w:val="003958E6"/>
    <w:rsid w:val="003959AD"/>
    <w:rsid w:val="00395A3A"/>
    <w:rsid w:val="00395AD3"/>
    <w:rsid w:val="00395D16"/>
    <w:rsid w:val="00395DAC"/>
    <w:rsid w:val="00395E35"/>
    <w:rsid w:val="00395E97"/>
    <w:rsid w:val="003960A3"/>
    <w:rsid w:val="003962E4"/>
    <w:rsid w:val="00396466"/>
    <w:rsid w:val="0039650B"/>
    <w:rsid w:val="003966A7"/>
    <w:rsid w:val="00396ABD"/>
    <w:rsid w:val="00396CEC"/>
    <w:rsid w:val="00396F9C"/>
    <w:rsid w:val="0039702E"/>
    <w:rsid w:val="003973FE"/>
    <w:rsid w:val="003975F6"/>
    <w:rsid w:val="00397652"/>
    <w:rsid w:val="003976BE"/>
    <w:rsid w:val="00397721"/>
    <w:rsid w:val="00397772"/>
    <w:rsid w:val="00397779"/>
    <w:rsid w:val="00397B9B"/>
    <w:rsid w:val="00397BAB"/>
    <w:rsid w:val="00397C8E"/>
    <w:rsid w:val="003A00D2"/>
    <w:rsid w:val="003A022B"/>
    <w:rsid w:val="003A02CD"/>
    <w:rsid w:val="003A073A"/>
    <w:rsid w:val="003A0B77"/>
    <w:rsid w:val="003A0D5E"/>
    <w:rsid w:val="003A0DB2"/>
    <w:rsid w:val="003A0EDD"/>
    <w:rsid w:val="003A106C"/>
    <w:rsid w:val="003A10F7"/>
    <w:rsid w:val="003A1429"/>
    <w:rsid w:val="003A1840"/>
    <w:rsid w:val="003A1AE6"/>
    <w:rsid w:val="003A1D65"/>
    <w:rsid w:val="003A1D8A"/>
    <w:rsid w:val="003A1DE3"/>
    <w:rsid w:val="003A1F4D"/>
    <w:rsid w:val="003A222B"/>
    <w:rsid w:val="003A2500"/>
    <w:rsid w:val="003A26CB"/>
    <w:rsid w:val="003A2A8B"/>
    <w:rsid w:val="003A2B0A"/>
    <w:rsid w:val="003A2CC8"/>
    <w:rsid w:val="003A2D13"/>
    <w:rsid w:val="003A2FD5"/>
    <w:rsid w:val="003A302B"/>
    <w:rsid w:val="003A33F3"/>
    <w:rsid w:val="003A360E"/>
    <w:rsid w:val="003A37D4"/>
    <w:rsid w:val="003A380C"/>
    <w:rsid w:val="003A38C1"/>
    <w:rsid w:val="003A3923"/>
    <w:rsid w:val="003A39ED"/>
    <w:rsid w:val="003A3DDC"/>
    <w:rsid w:val="003A3F57"/>
    <w:rsid w:val="003A417E"/>
    <w:rsid w:val="003A4232"/>
    <w:rsid w:val="003A43EC"/>
    <w:rsid w:val="003A4462"/>
    <w:rsid w:val="003A456D"/>
    <w:rsid w:val="003A4938"/>
    <w:rsid w:val="003A4AB7"/>
    <w:rsid w:val="003A4AE0"/>
    <w:rsid w:val="003A4B1E"/>
    <w:rsid w:val="003A4B35"/>
    <w:rsid w:val="003A4CAC"/>
    <w:rsid w:val="003A4E97"/>
    <w:rsid w:val="003A505C"/>
    <w:rsid w:val="003A50CB"/>
    <w:rsid w:val="003A526D"/>
    <w:rsid w:val="003A5411"/>
    <w:rsid w:val="003A546A"/>
    <w:rsid w:val="003A558B"/>
    <w:rsid w:val="003A568E"/>
    <w:rsid w:val="003A5762"/>
    <w:rsid w:val="003A57A1"/>
    <w:rsid w:val="003A5838"/>
    <w:rsid w:val="003A585C"/>
    <w:rsid w:val="003A5880"/>
    <w:rsid w:val="003A58B5"/>
    <w:rsid w:val="003A5C5D"/>
    <w:rsid w:val="003A5CCD"/>
    <w:rsid w:val="003A5D45"/>
    <w:rsid w:val="003A5DF1"/>
    <w:rsid w:val="003A5F21"/>
    <w:rsid w:val="003A5FD2"/>
    <w:rsid w:val="003A6039"/>
    <w:rsid w:val="003A60EE"/>
    <w:rsid w:val="003A6483"/>
    <w:rsid w:val="003A6665"/>
    <w:rsid w:val="003A66BB"/>
    <w:rsid w:val="003A6B37"/>
    <w:rsid w:val="003A70B5"/>
    <w:rsid w:val="003A7287"/>
    <w:rsid w:val="003A729F"/>
    <w:rsid w:val="003A72CB"/>
    <w:rsid w:val="003A72E6"/>
    <w:rsid w:val="003A72F4"/>
    <w:rsid w:val="003A7300"/>
    <w:rsid w:val="003A733A"/>
    <w:rsid w:val="003A73BA"/>
    <w:rsid w:val="003A73CF"/>
    <w:rsid w:val="003A78E0"/>
    <w:rsid w:val="003A7F6F"/>
    <w:rsid w:val="003A7F71"/>
    <w:rsid w:val="003A7FEB"/>
    <w:rsid w:val="003B006E"/>
    <w:rsid w:val="003B00DE"/>
    <w:rsid w:val="003B02DC"/>
    <w:rsid w:val="003B02E6"/>
    <w:rsid w:val="003B069D"/>
    <w:rsid w:val="003B087B"/>
    <w:rsid w:val="003B0A0A"/>
    <w:rsid w:val="003B0C27"/>
    <w:rsid w:val="003B0C84"/>
    <w:rsid w:val="003B0CA2"/>
    <w:rsid w:val="003B0DE0"/>
    <w:rsid w:val="003B106A"/>
    <w:rsid w:val="003B10A5"/>
    <w:rsid w:val="003B11B3"/>
    <w:rsid w:val="003B122C"/>
    <w:rsid w:val="003B12F9"/>
    <w:rsid w:val="003B14D8"/>
    <w:rsid w:val="003B1545"/>
    <w:rsid w:val="003B161A"/>
    <w:rsid w:val="003B164C"/>
    <w:rsid w:val="003B171D"/>
    <w:rsid w:val="003B172E"/>
    <w:rsid w:val="003B177E"/>
    <w:rsid w:val="003B1864"/>
    <w:rsid w:val="003B18A3"/>
    <w:rsid w:val="003B195D"/>
    <w:rsid w:val="003B1994"/>
    <w:rsid w:val="003B1F88"/>
    <w:rsid w:val="003B21E6"/>
    <w:rsid w:val="003B25E0"/>
    <w:rsid w:val="003B264D"/>
    <w:rsid w:val="003B27E1"/>
    <w:rsid w:val="003B2C4D"/>
    <w:rsid w:val="003B2CFE"/>
    <w:rsid w:val="003B2D38"/>
    <w:rsid w:val="003B30F5"/>
    <w:rsid w:val="003B3148"/>
    <w:rsid w:val="003B3215"/>
    <w:rsid w:val="003B3383"/>
    <w:rsid w:val="003B357F"/>
    <w:rsid w:val="003B3A26"/>
    <w:rsid w:val="003B3B23"/>
    <w:rsid w:val="003B3E96"/>
    <w:rsid w:val="003B3E9C"/>
    <w:rsid w:val="003B3F3B"/>
    <w:rsid w:val="003B400C"/>
    <w:rsid w:val="003B417E"/>
    <w:rsid w:val="003B41AC"/>
    <w:rsid w:val="003B41D0"/>
    <w:rsid w:val="003B41FE"/>
    <w:rsid w:val="003B424D"/>
    <w:rsid w:val="003B43E4"/>
    <w:rsid w:val="003B44D7"/>
    <w:rsid w:val="003B4616"/>
    <w:rsid w:val="003B4696"/>
    <w:rsid w:val="003B479C"/>
    <w:rsid w:val="003B481C"/>
    <w:rsid w:val="003B497D"/>
    <w:rsid w:val="003B49E9"/>
    <w:rsid w:val="003B4AD1"/>
    <w:rsid w:val="003B5177"/>
    <w:rsid w:val="003B54D2"/>
    <w:rsid w:val="003B5536"/>
    <w:rsid w:val="003B56D4"/>
    <w:rsid w:val="003B5941"/>
    <w:rsid w:val="003B5986"/>
    <w:rsid w:val="003B5AE2"/>
    <w:rsid w:val="003B5CC9"/>
    <w:rsid w:val="003B5D5D"/>
    <w:rsid w:val="003B5E19"/>
    <w:rsid w:val="003B5EA0"/>
    <w:rsid w:val="003B5F72"/>
    <w:rsid w:val="003B5FF6"/>
    <w:rsid w:val="003B6015"/>
    <w:rsid w:val="003B60D5"/>
    <w:rsid w:val="003B6268"/>
    <w:rsid w:val="003B64D7"/>
    <w:rsid w:val="003B65C8"/>
    <w:rsid w:val="003B6933"/>
    <w:rsid w:val="003B6976"/>
    <w:rsid w:val="003B6B12"/>
    <w:rsid w:val="003B6CD4"/>
    <w:rsid w:val="003B6CEA"/>
    <w:rsid w:val="003B6F9E"/>
    <w:rsid w:val="003B6FDB"/>
    <w:rsid w:val="003B709C"/>
    <w:rsid w:val="003B73EB"/>
    <w:rsid w:val="003B757D"/>
    <w:rsid w:val="003B775E"/>
    <w:rsid w:val="003B7C55"/>
    <w:rsid w:val="003B7C93"/>
    <w:rsid w:val="003B7D89"/>
    <w:rsid w:val="003C002B"/>
    <w:rsid w:val="003C013B"/>
    <w:rsid w:val="003C017F"/>
    <w:rsid w:val="003C0273"/>
    <w:rsid w:val="003C05A5"/>
    <w:rsid w:val="003C06ED"/>
    <w:rsid w:val="003C086A"/>
    <w:rsid w:val="003C0B8C"/>
    <w:rsid w:val="003C0C17"/>
    <w:rsid w:val="003C0D0D"/>
    <w:rsid w:val="003C0F22"/>
    <w:rsid w:val="003C129E"/>
    <w:rsid w:val="003C1375"/>
    <w:rsid w:val="003C1476"/>
    <w:rsid w:val="003C157F"/>
    <w:rsid w:val="003C15BE"/>
    <w:rsid w:val="003C1A29"/>
    <w:rsid w:val="003C1AEF"/>
    <w:rsid w:val="003C1C9A"/>
    <w:rsid w:val="003C1FFD"/>
    <w:rsid w:val="003C2140"/>
    <w:rsid w:val="003C23F6"/>
    <w:rsid w:val="003C2415"/>
    <w:rsid w:val="003C2555"/>
    <w:rsid w:val="003C26A0"/>
    <w:rsid w:val="003C26EF"/>
    <w:rsid w:val="003C2901"/>
    <w:rsid w:val="003C2935"/>
    <w:rsid w:val="003C2D42"/>
    <w:rsid w:val="003C2E16"/>
    <w:rsid w:val="003C2E94"/>
    <w:rsid w:val="003C30D0"/>
    <w:rsid w:val="003C3851"/>
    <w:rsid w:val="003C3B65"/>
    <w:rsid w:val="003C3C3B"/>
    <w:rsid w:val="003C3EDB"/>
    <w:rsid w:val="003C40D6"/>
    <w:rsid w:val="003C4143"/>
    <w:rsid w:val="003C4321"/>
    <w:rsid w:val="003C4723"/>
    <w:rsid w:val="003C48A9"/>
    <w:rsid w:val="003C4986"/>
    <w:rsid w:val="003C4A97"/>
    <w:rsid w:val="003C4B9B"/>
    <w:rsid w:val="003C4EBC"/>
    <w:rsid w:val="003C4ED3"/>
    <w:rsid w:val="003C51A5"/>
    <w:rsid w:val="003C51F7"/>
    <w:rsid w:val="003C5304"/>
    <w:rsid w:val="003C5578"/>
    <w:rsid w:val="003C55BC"/>
    <w:rsid w:val="003C577B"/>
    <w:rsid w:val="003C5901"/>
    <w:rsid w:val="003C59E5"/>
    <w:rsid w:val="003C5AB0"/>
    <w:rsid w:val="003C5ACD"/>
    <w:rsid w:val="003C6131"/>
    <w:rsid w:val="003C61F1"/>
    <w:rsid w:val="003C6209"/>
    <w:rsid w:val="003C6423"/>
    <w:rsid w:val="003C6562"/>
    <w:rsid w:val="003C667A"/>
    <w:rsid w:val="003C6C1D"/>
    <w:rsid w:val="003C6C81"/>
    <w:rsid w:val="003C6D34"/>
    <w:rsid w:val="003C6DF5"/>
    <w:rsid w:val="003C76C6"/>
    <w:rsid w:val="003C797F"/>
    <w:rsid w:val="003C7A41"/>
    <w:rsid w:val="003C7A88"/>
    <w:rsid w:val="003C7B4E"/>
    <w:rsid w:val="003C7D2C"/>
    <w:rsid w:val="003C7E49"/>
    <w:rsid w:val="003D004A"/>
    <w:rsid w:val="003D0115"/>
    <w:rsid w:val="003D0294"/>
    <w:rsid w:val="003D03B7"/>
    <w:rsid w:val="003D047D"/>
    <w:rsid w:val="003D04E8"/>
    <w:rsid w:val="003D05F1"/>
    <w:rsid w:val="003D0868"/>
    <w:rsid w:val="003D08A1"/>
    <w:rsid w:val="003D08FB"/>
    <w:rsid w:val="003D0A11"/>
    <w:rsid w:val="003D0C0D"/>
    <w:rsid w:val="003D0D1E"/>
    <w:rsid w:val="003D0EC7"/>
    <w:rsid w:val="003D0EC9"/>
    <w:rsid w:val="003D0EF0"/>
    <w:rsid w:val="003D10DB"/>
    <w:rsid w:val="003D1275"/>
    <w:rsid w:val="003D14AE"/>
    <w:rsid w:val="003D174C"/>
    <w:rsid w:val="003D175A"/>
    <w:rsid w:val="003D18A2"/>
    <w:rsid w:val="003D1A48"/>
    <w:rsid w:val="003D1A5E"/>
    <w:rsid w:val="003D1A89"/>
    <w:rsid w:val="003D1C77"/>
    <w:rsid w:val="003D1F13"/>
    <w:rsid w:val="003D214F"/>
    <w:rsid w:val="003D21DC"/>
    <w:rsid w:val="003D2274"/>
    <w:rsid w:val="003D239E"/>
    <w:rsid w:val="003D24C2"/>
    <w:rsid w:val="003D2506"/>
    <w:rsid w:val="003D261E"/>
    <w:rsid w:val="003D279E"/>
    <w:rsid w:val="003D2A82"/>
    <w:rsid w:val="003D2C25"/>
    <w:rsid w:val="003D2FA9"/>
    <w:rsid w:val="003D3051"/>
    <w:rsid w:val="003D30EB"/>
    <w:rsid w:val="003D31C4"/>
    <w:rsid w:val="003D32AC"/>
    <w:rsid w:val="003D32DE"/>
    <w:rsid w:val="003D3369"/>
    <w:rsid w:val="003D342C"/>
    <w:rsid w:val="003D3569"/>
    <w:rsid w:val="003D3A85"/>
    <w:rsid w:val="003D3ED1"/>
    <w:rsid w:val="003D3F29"/>
    <w:rsid w:val="003D4018"/>
    <w:rsid w:val="003D408F"/>
    <w:rsid w:val="003D4244"/>
    <w:rsid w:val="003D4345"/>
    <w:rsid w:val="003D45C0"/>
    <w:rsid w:val="003D462E"/>
    <w:rsid w:val="003D4648"/>
    <w:rsid w:val="003D4655"/>
    <w:rsid w:val="003D465A"/>
    <w:rsid w:val="003D46B1"/>
    <w:rsid w:val="003D48AA"/>
    <w:rsid w:val="003D49CB"/>
    <w:rsid w:val="003D4EFA"/>
    <w:rsid w:val="003D5036"/>
    <w:rsid w:val="003D5159"/>
    <w:rsid w:val="003D54FC"/>
    <w:rsid w:val="003D558C"/>
    <w:rsid w:val="003D55B3"/>
    <w:rsid w:val="003D55E7"/>
    <w:rsid w:val="003D5684"/>
    <w:rsid w:val="003D5788"/>
    <w:rsid w:val="003D588E"/>
    <w:rsid w:val="003D5B37"/>
    <w:rsid w:val="003D5D7B"/>
    <w:rsid w:val="003D60BB"/>
    <w:rsid w:val="003D6259"/>
    <w:rsid w:val="003D6415"/>
    <w:rsid w:val="003D64A2"/>
    <w:rsid w:val="003D67CA"/>
    <w:rsid w:val="003D6A64"/>
    <w:rsid w:val="003D6EF5"/>
    <w:rsid w:val="003D7036"/>
    <w:rsid w:val="003D72EB"/>
    <w:rsid w:val="003D7380"/>
    <w:rsid w:val="003D75F4"/>
    <w:rsid w:val="003D774C"/>
    <w:rsid w:val="003D77C1"/>
    <w:rsid w:val="003D790D"/>
    <w:rsid w:val="003D794E"/>
    <w:rsid w:val="003D795A"/>
    <w:rsid w:val="003D7D07"/>
    <w:rsid w:val="003D7D6D"/>
    <w:rsid w:val="003D7DA1"/>
    <w:rsid w:val="003D7E13"/>
    <w:rsid w:val="003E022B"/>
    <w:rsid w:val="003E062D"/>
    <w:rsid w:val="003E0713"/>
    <w:rsid w:val="003E084E"/>
    <w:rsid w:val="003E0949"/>
    <w:rsid w:val="003E09AA"/>
    <w:rsid w:val="003E09ED"/>
    <w:rsid w:val="003E0A5B"/>
    <w:rsid w:val="003E0AC4"/>
    <w:rsid w:val="003E0B0B"/>
    <w:rsid w:val="003E0B8C"/>
    <w:rsid w:val="003E0CC9"/>
    <w:rsid w:val="003E1364"/>
    <w:rsid w:val="003E14D7"/>
    <w:rsid w:val="003E14FC"/>
    <w:rsid w:val="003E15B4"/>
    <w:rsid w:val="003E167D"/>
    <w:rsid w:val="003E1730"/>
    <w:rsid w:val="003E181A"/>
    <w:rsid w:val="003E1B40"/>
    <w:rsid w:val="003E1D10"/>
    <w:rsid w:val="003E1E0E"/>
    <w:rsid w:val="003E1E6D"/>
    <w:rsid w:val="003E1E9F"/>
    <w:rsid w:val="003E1F3E"/>
    <w:rsid w:val="003E2069"/>
    <w:rsid w:val="003E2078"/>
    <w:rsid w:val="003E20B7"/>
    <w:rsid w:val="003E2381"/>
    <w:rsid w:val="003E2AF2"/>
    <w:rsid w:val="003E2C8E"/>
    <w:rsid w:val="003E2EA0"/>
    <w:rsid w:val="003E2EE2"/>
    <w:rsid w:val="003E3159"/>
    <w:rsid w:val="003E3181"/>
    <w:rsid w:val="003E3228"/>
    <w:rsid w:val="003E34C8"/>
    <w:rsid w:val="003E3945"/>
    <w:rsid w:val="003E39C2"/>
    <w:rsid w:val="003E3A11"/>
    <w:rsid w:val="003E3AD7"/>
    <w:rsid w:val="003E3B1B"/>
    <w:rsid w:val="003E3E55"/>
    <w:rsid w:val="003E3F39"/>
    <w:rsid w:val="003E4154"/>
    <w:rsid w:val="003E41B1"/>
    <w:rsid w:val="003E4477"/>
    <w:rsid w:val="003E4552"/>
    <w:rsid w:val="003E4625"/>
    <w:rsid w:val="003E4983"/>
    <w:rsid w:val="003E4A69"/>
    <w:rsid w:val="003E4B88"/>
    <w:rsid w:val="003E4CFB"/>
    <w:rsid w:val="003E4D3D"/>
    <w:rsid w:val="003E4F28"/>
    <w:rsid w:val="003E50D1"/>
    <w:rsid w:val="003E54AB"/>
    <w:rsid w:val="003E58E2"/>
    <w:rsid w:val="003E5ADB"/>
    <w:rsid w:val="003E5BC6"/>
    <w:rsid w:val="003E5C82"/>
    <w:rsid w:val="003E5E3E"/>
    <w:rsid w:val="003E5F85"/>
    <w:rsid w:val="003E60B1"/>
    <w:rsid w:val="003E6116"/>
    <w:rsid w:val="003E658A"/>
    <w:rsid w:val="003E6AAB"/>
    <w:rsid w:val="003E6AB0"/>
    <w:rsid w:val="003E6AB6"/>
    <w:rsid w:val="003E6DC8"/>
    <w:rsid w:val="003E715F"/>
    <w:rsid w:val="003E7305"/>
    <w:rsid w:val="003E737F"/>
    <w:rsid w:val="003E73CA"/>
    <w:rsid w:val="003E7404"/>
    <w:rsid w:val="003E746F"/>
    <w:rsid w:val="003E74F8"/>
    <w:rsid w:val="003E7A9D"/>
    <w:rsid w:val="003E7D48"/>
    <w:rsid w:val="003E7D62"/>
    <w:rsid w:val="003E7DB5"/>
    <w:rsid w:val="003E7DEF"/>
    <w:rsid w:val="003E7E9A"/>
    <w:rsid w:val="003E7FB2"/>
    <w:rsid w:val="003F0721"/>
    <w:rsid w:val="003F08E4"/>
    <w:rsid w:val="003F09EB"/>
    <w:rsid w:val="003F0BF7"/>
    <w:rsid w:val="003F0EE2"/>
    <w:rsid w:val="003F1029"/>
    <w:rsid w:val="003F10DE"/>
    <w:rsid w:val="003F11E0"/>
    <w:rsid w:val="003F1269"/>
    <w:rsid w:val="003F1424"/>
    <w:rsid w:val="003F1505"/>
    <w:rsid w:val="003F15ED"/>
    <w:rsid w:val="003F1625"/>
    <w:rsid w:val="003F1699"/>
    <w:rsid w:val="003F1991"/>
    <w:rsid w:val="003F19DE"/>
    <w:rsid w:val="003F1B70"/>
    <w:rsid w:val="003F1BAD"/>
    <w:rsid w:val="003F1C30"/>
    <w:rsid w:val="003F1D58"/>
    <w:rsid w:val="003F1E4B"/>
    <w:rsid w:val="003F1F27"/>
    <w:rsid w:val="003F20A4"/>
    <w:rsid w:val="003F2228"/>
    <w:rsid w:val="003F229E"/>
    <w:rsid w:val="003F2356"/>
    <w:rsid w:val="003F24C0"/>
    <w:rsid w:val="003F29B3"/>
    <w:rsid w:val="003F29BF"/>
    <w:rsid w:val="003F2AD1"/>
    <w:rsid w:val="003F2C7E"/>
    <w:rsid w:val="003F2E08"/>
    <w:rsid w:val="003F2E1D"/>
    <w:rsid w:val="003F2F5F"/>
    <w:rsid w:val="003F30BA"/>
    <w:rsid w:val="003F371E"/>
    <w:rsid w:val="003F3734"/>
    <w:rsid w:val="003F390F"/>
    <w:rsid w:val="003F3A2B"/>
    <w:rsid w:val="003F3C05"/>
    <w:rsid w:val="003F3D1E"/>
    <w:rsid w:val="003F3F5F"/>
    <w:rsid w:val="003F444E"/>
    <w:rsid w:val="003F4608"/>
    <w:rsid w:val="003F48B4"/>
    <w:rsid w:val="003F49CB"/>
    <w:rsid w:val="003F49DE"/>
    <w:rsid w:val="003F4B1E"/>
    <w:rsid w:val="003F4C2E"/>
    <w:rsid w:val="003F4D13"/>
    <w:rsid w:val="003F4D68"/>
    <w:rsid w:val="003F4D91"/>
    <w:rsid w:val="003F4D92"/>
    <w:rsid w:val="003F4E1E"/>
    <w:rsid w:val="003F4E9D"/>
    <w:rsid w:val="003F4F12"/>
    <w:rsid w:val="003F5384"/>
    <w:rsid w:val="003F5398"/>
    <w:rsid w:val="003F55D5"/>
    <w:rsid w:val="003F560F"/>
    <w:rsid w:val="003F5783"/>
    <w:rsid w:val="003F5BF9"/>
    <w:rsid w:val="003F5F22"/>
    <w:rsid w:val="003F5F5B"/>
    <w:rsid w:val="003F637E"/>
    <w:rsid w:val="003F651D"/>
    <w:rsid w:val="003F65E7"/>
    <w:rsid w:val="003F6848"/>
    <w:rsid w:val="003F68A2"/>
    <w:rsid w:val="003F6A86"/>
    <w:rsid w:val="003F6CD0"/>
    <w:rsid w:val="003F6F4D"/>
    <w:rsid w:val="003F729C"/>
    <w:rsid w:val="003F7451"/>
    <w:rsid w:val="003F7466"/>
    <w:rsid w:val="003F78DC"/>
    <w:rsid w:val="003F791E"/>
    <w:rsid w:val="003F7A5E"/>
    <w:rsid w:val="003F7B4F"/>
    <w:rsid w:val="003F7F42"/>
    <w:rsid w:val="004002A2"/>
    <w:rsid w:val="004002E5"/>
    <w:rsid w:val="00400842"/>
    <w:rsid w:val="00400A6C"/>
    <w:rsid w:val="00400A93"/>
    <w:rsid w:val="00400AB5"/>
    <w:rsid w:val="00400B61"/>
    <w:rsid w:val="00400B96"/>
    <w:rsid w:val="00400E27"/>
    <w:rsid w:val="00400F1B"/>
    <w:rsid w:val="00400F9C"/>
    <w:rsid w:val="0040106D"/>
    <w:rsid w:val="004010F9"/>
    <w:rsid w:val="00401211"/>
    <w:rsid w:val="004012E2"/>
    <w:rsid w:val="00401300"/>
    <w:rsid w:val="004015F5"/>
    <w:rsid w:val="0040195B"/>
    <w:rsid w:val="00401A9F"/>
    <w:rsid w:val="00401B94"/>
    <w:rsid w:val="00401C48"/>
    <w:rsid w:val="00401F63"/>
    <w:rsid w:val="00401FC2"/>
    <w:rsid w:val="0040213D"/>
    <w:rsid w:val="004023C8"/>
    <w:rsid w:val="0040254F"/>
    <w:rsid w:val="004027BF"/>
    <w:rsid w:val="00402A55"/>
    <w:rsid w:val="00402AF7"/>
    <w:rsid w:val="00402C4D"/>
    <w:rsid w:val="00402C59"/>
    <w:rsid w:val="00402E05"/>
    <w:rsid w:val="004031B1"/>
    <w:rsid w:val="0040349C"/>
    <w:rsid w:val="004035F4"/>
    <w:rsid w:val="00403718"/>
    <w:rsid w:val="00403810"/>
    <w:rsid w:val="00403ADA"/>
    <w:rsid w:val="00403B7B"/>
    <w:rsid w:val="00403BAC"/>
    <w:rsid w:val="00403DC4"/>
    <w:rsid w:val="00403F73"/>
    <w:rsid w:val="004040EF"/>
    <w:rsid w:val="00404229"/>
    <w:rsid w:val="004042A7"/>
    <w:rsid w:val="004044AA"/>
    <w:rsid w:val="004044E6"/>
    <w:rsid w:val="0040474B"/>
    <w:rsid w:val="0040492B"/>
    <w:rsid w:val="00404966"/>
    <w:rsid w:val="004049F4"/>
    <w:rsid w:val="00404BF3"/>
    <w:rsid w:val="00404BF6"/>
    <w:rsid w:val="00404CE7"/>
    <w:rsid w:val="00405006"/>
    <w:rsid w:val="00405142"/>
    <w:rsid w:val="00405242"/>
    <w:rsid w:val="0040564F"/>
    <w:rsid w:val="00405863"/>
    <w:rsid w:val="004058F8"/>
    <w:rsid w:val="004059D6"/>
    <w:rsid w:val="00405DD6"/>
    <w:rsid w:val="00405E63"/>
    <w:rsid w:val="00405E88"/>
    <w:rsid w:val="00405EC7"/>
    <w:rsid w:val="00405F50"/>
    <w:rsid w:val="004060E7"/>
    <w:rsid w:val="00406384"/>
    <w:rsid w:val="00406475"/>
    <w:rsid w:val="0040649D"/>
    <w:rsid w:val="004065B5"/>
    <w:rsid w:val="00406859"/>
    <w:rsid w:val="00406A54"/>
    <w:rsid w:val="00406B95"/>
    <w:rsid w:val="00406C51"/>
    <w:rsid w:val="00406DBB"/>
    <w:rsid w:val="00406DBC"/>
    <w:rsid w:val="00406F67"/>
    <w:rsid w:val="00406F89"/>
    <w:rsid w:val="00407018"/>
    <w:rsid w:val="00407028"/>
    <w:rsid w:val="004071B7"/>
    <w:rsid w:val="004074B8"/>
    <w:rsid w:val="0040779A"/>
    <w:rsid w:val="0040793D"/>
    <w:rsid w:val="00407C76"/>
    <w:rsid w:val="00407D92"/>
    <w:rsid w:val="0041000B"/>
    <w:rsid w:val="00410162"/>
    <w:rsid w:val="004102E4"/>
    <w:rsid w:val="00410377"/>
    <w:rsid w:val="00410497"/>
    <w:rsid w:val="0041063B"/>
    <w:rsid w:val="004106E2"/>
    <w:rsid w:val="004106FE"/>
    <w:rsid w:val="00410842"/>
    <w:rsid w:val="00410CD6"/>
    <w:rsid w:val="00410CDE"/>
    <w:rsid w:val="0041108C"/>
    <w:rsid w:val="004111EE"/>
    <w:rsid w:val="0041122A"/>
    <w:rsid w:val="00411392"/>
    <w:rsid w:val="0041179E"/>
    <w:rsid w:val="00411970"/>
    <w:rsid w:val="00411C0E"/>
    <w:rsid w:val="00411C24"/>
    <w:rsid w:val="00411CCA"/>
    <w:rsid w:val="00412095"/>
    <w:rsid w:val="004120EC"/>
    <w:rsid w:val="004121C3"/>
    <w:rsid w:val="00412280"/>
    <w:rsid w:val="004128D4"/>
    <w:rsid w:val="004129EA"/>
    <w:rsid w:val="00412B97"/>
    <w:rsid w:val="00412C2A"/>
    <w:rsid w:val="00412C80"/>
    <w:rsid w:val="00413078"/>
    <w:rsid w:val="004130AA"/>
    <w:rsid w:val="004131DD"/>
    <w:rsid w:val="00413332"/>
    <w:rsid w:val="00413923"/>
    <w:rsid w:val="004139F0"/>
    <w:rsid w:val="00413A53"/>
    <w:rsid w:val="00413A9C"/>
    <w:rsid w:val="00413B37"/>
    <w:rsid w:val="00413D78"/>
    <w:rsid w:val="00413D9D"/>
    <w:rsid w:val="00413DC2"/>
    <w:rsid w:val="00413FDF"/>
    <w:rsid w:val="0041433F"/>
    <w:rsid w:val="00414366"/>
    <w:rsid w:val="004143B8"/>
    <w:rsid w:val="0041449D"/>
    <w:rsid w:val="004145F8"/>
    <w:rsid w:val="004148EC"/>
    <w:rsid w:val="00414C37"/>
    <w:rsid w:val="00414C6D"/>
    <w:rsid w:val="00414FBA"/>
    <w:rsid w:val="00414FD1"/>
    <w:rsid w:val="00414FD5"/>
    <w:rsid w:val="00415252"/>
    <w:rsid w:val="0041534A"/>
    <w:rsid w:val="0041548C"/>
    <w:rsid w:val="004154FA"/>
    <w:rsid w:val="004155A3"/>
    <w:rsid w:val="00415808"/>
    <w:rsid w:val="004159A7"/>
    <w:rsid w:val="00415ABE"/>
    <w:rsid w:val="00415C4D"/>
    <w:rsid w:val="00415FC1"/>
    <w:rsid w:val="004160B3"/>
    <w:rsid w:val="004164E3"/>
    <w:rsid w:val="004166A3"/>
    <w:rsid w:val="00416701"/>
    <w:rsid w:val="00416817"/>
    <w:rsid w:val="00416A41"/>
    <w:rsid w:val="00416C87"/>
    <w:rsid w:val="00416F0F"/>
    <w:rsid w:val="0041705D"/>
    <w:rsid w:val="00417078"/>
    <w:rsid w:val="00417125"/>
    <w:rsid w:val="004172D3"/>
    <w:rsid w:val="004172E7"/>
    <w:rsid w:val="00417344"/>
    <w:rsid w:val="0041770F"/>
    <w:rsid w:val="004177ED"/>
    <w:rsid w:val="004178F2"/>
    <w:rsid w:val="00417C8A"/>
    <w:rsid w:val="00417CC7"/>
    <w:rsid w:val="00417E34"/>
    <w:rsid w:val="0042001B"/>
    <w:rsid w:val="00420144"/>
    <w:rsid w:val="004202AD"/>
    <w:rsid w:val="0042034B"/>
    <w:rsid w:val="00420420"/>
    <w:rsid w:val="004204BC"/>
    <w:rsid w:val="004204C2"/>
    <w:rsid w:val="00420724"/>
    <w:rsid w:val="00420727"/>
    <w:rsid w:val="00420791"/>
    <w:rsid w:val="00420853"/>
    <w:rsid w:val="0042087B"/>
    <w:rsid w:val="004208D1"/>
    <w:rsid w:val="00420C5F"/>
    <w:rsid w:val="00420ED1"/>
    <w:rsid w:val="00420EE4"/>
    <w:rsid w:val="00421023"/>
    <w:rsid w:val="004211E5"/>
    <w:rsid w:val="0042134F"/>
    <w:rsid w:val="00421411"/>
    <w:rsid w:val="004214E6"/>
    <w:rsid w:val="004216B3"/>
    <w:rsid w:val="004216D4"/>
    <w:rsid w:val="004219B1"/>
    <w:rsid w:val="00421A41"/>
    <w:rsid w:val="00421E29"/>
    <w:rsid w:val="00421EC1"/>
    <w:rsid w:val="00422071"/>
    <w:rsid w:val="004223F1"/>
    <w:rsid w:val="0042241E"/>
    <w:rsid w:val="00422603"/>
    <w:rsid w:val="00422859"/>
    <w:rsid w:val="00422AA3"/>
    <w:rsid w:val="00422BCD"/>
    <w:rsid w:val="00422D6C"/>
    <w:rsid w:val="00422DEA"/>
    <w:rsid w:val="00422F5B"/>
    <w:rsid w:val="00423043"/>
    <w:rsid w:val="004230B7"/>
    <w:rsid w:val="00423172"/>
    <w:rsid w:val="00423474"/>
    <w:rsid w:val="004234A0"/>
    <w:rsid w:val="0042356C"/>
    <w:rsid w:val="0042376F"/>
    <w:rsid w:val="00423C93"/>
    <w:rsid w:val="00423DF3"/>
    <w:rsid w:val="00423FE1"/>
    <w:rsid w:val="00424091"/>
    <w:rsid w:val="00424235"/>
    <w:rsid w:val="0042430D"/>
    <w:rsid w:val="00424479"/>
    <w:rsid w:val="0042496D"/>
    <w:rsid w:val="00424A3F"/>
    <w:rsid w:val="00424CD6"/>
    <w:rsid w:val="00424E4E"/>
    <w:rsid w:val="00424E71"/>
    <w:rsid w:val="00424E94"/>
    <w:rsid w:val="00424F04"/>
    <w:rsid w:val="00424F3B"/>
    <w:rsid w:val="00425026"/>
    <w:rsid w:val="004252C9"/>
    <w:rsid w:val="00425390"/>
    <w:rsid w:val="00425A9D"/>
    <w:rsid w:val="00425ABF"/>
    <w:rsid w:val="00425B1D"/>
    <w:rsid w:val="00425B7F"/>
    <w:rsid w:val="00425BB1"/>
    <w:rsid w:val="00425C54"/>
    <w:rsid w:val="00425D4B"/>
    <w:rsid w:val="00425E2F"/>
    <w:rsid w:val="00425E53"/>
    <w:rsid w:val="00426111"/>
    <w:rsid w:val="00426180"/>
    <w:rsid w:val="00426490"/>
    <w:rsid w:val="00426689"/>
    <w:rsid w:val="004267D3"/>
    <w:rsid w:val="0042684A"/>
    <w:rsid w:val="00426999"/>
    <w:rsid w:val="004269B4"/>
    <w:rsid w:val="00426C24"/>
    <w:rsid w:val="00426C9B"/>
    <w:rsid w:val="00426EDE"/>
    <w:rsid w:val="00426F44"/>
    <w:rsid w:val="00427351"/>
    <w:rsid w:val="004273F2"/>
    <w:rsid w:val="00427719"/>
    <w:rsid w:val="00427C94"/>
    <w:rsid w:val="00427F84"/>
    <w:rsid w:val="00427F8E"/>
    <w:rsid w:val="00430283"/>
    <w:rsid w:val="0043037D"/>
    <w:rsid w:val="00430404"/>
    <w:rsid w:val="0043061C"/>
    <w:rsid w:val="004306D6"/>
    <w:rsid w:val="0043085D"/>
    <w:rsid w:val="00430908"/>
    <w:rsid w:val="004309D0"/>
    <w:rsid w:val="00430E15"/>
    <w:rsid w:val="00430F71"/>
    <w:rsid w:val="00431177"/>
    <w:rsid w:val="004311CB"/>
    <w:rsid w:val="0043140B"/>
    <w:rsid w:val="00431751"/>
    <w:rsid w:val="00431C9D"/>
    <w:rsid w:val="00431FA1"/>
    <w:rsid w:val="0043208B"/>
    <w:rsid w:val="00432153"/>
    <w:rsid w:val="004321C2"/>
    <w:rsid w:val="00432238"/>
    <w:rsid w:val="004322E8"/>
    <w:rsid w:val="004324C6"/>
    <w:rsid w:val="00432567"/>
    <w:rsid w:val="0043262D"/>
    <w:rsid w:val="0043266E"/>
    <w:rsid w:val="004326AB"/>
    <w:rsid w:val="00432718"/>
    <w:rsid w:val="004327C6"/>
    <w:rsid w:val="004328C4"/>
    <w:rsid w:val="00432C5B"/>
    <w:rsid w:val="00432E49"/>
    <w:rsid w:val="004332A1"/>
    <w:rsid w:val="00433561"/>
    <w:rsid w:val="004335A8"/>
    <w:rsid w:val="00433A04"/>
    <w:rsid w:val="00433BB7"/>
    <w:rsid w:val="00433D60"/>
    <w:rsid w:val="00433EA8"/>
    <w:rsid w:val="00433EE0"/>
    <w:rsid w:val="004341B8"/>
    <w:rsid w:val="00434383"/>
    <w:rsid w:val="004343E3"/>
    <w:rsid w:val="00434480"/>
    <w:rsid w:val="00434612"/>
    <w:rsid w:val="0043468F"/>
    <w:rsid w:val="00434990"/>
    <w:rsid w:val="00434A42"/>
    <w:rsid w:val="00434A48"/>
    <w:rsid w:val="00434B23"/>
    <w:rsid w:val="00434D96"/>
    <w:rsid w:val="00434FD4"/>
    <w:rsid w:val="0043557C"/>
    <w:rsid w:val="004355DB"/>
    <w:rsid w:val="004356E5"/>
    <w:rsid w:val="00435847"/>
    <w:rsid w:val="00435C15"/>
    <w:rsid w:val="00435C33"/>
    <w:rsid w:val="00435DDB"/>
    <w:rsid w:val="00436013"/>
    <w:rsid w:val="00436027"/>
    <w:rsid w:val="0043606F"/>
    <w:rsid w:val="004361D2"/>
    <w:rsid w:val="004362F0"/>
    <w:rsid w:val="0043677E"/>
    <w:rsid w:val="00436EA1"/>
    <w:rsid w:val="00436FD8"/>
    <w:rsid w:val="00437239"/>
    <w:rsid w:val="004376AB"/>
    <w:rsid w:val="00437801"/>
    <w:rsid w:val="00437882"/>
    <w:rsid w:val="0043789B"/>
    <w:rsid w:val="004378E7"/>
    <w:rsid w:val="00437A49"/>
    <w:rsid w:val="00437BC9"/>
    <w:rsid w:val="00437D2E"/>
    <w:rsid w:val="00437E21"/>
    <w:rsid w:val="00437E2F"/>
    <w:rsid w:val="00437E36"/>
    <w:rsid w:val="00437EB6"/>
    <w:rsid w:val="004404EB"/>
    <w:rsid w:val="0044072B"/>
    <w:rsid w:val="004407C8"/>
    <w:rsid w:val="0044081A"/>
    <w:rsid w:val="00440AFA"/>
    <w:rsid w:val="00440B2F"/>
    <w:rsid w:val="00440B9D"/>
    <w:rsid w:val="00440BD3"/>
    <w:rsid w:val="00440CFE"/>
    <w:rsid w:val="00440E87"/>
    <w:rsid w:val="00440EF8"/>
    <w:rsid w:val="00441002"/>
    <w:rsid w:val="00441217"/>
    <w:rsid w:val="004412ED"/>
    <w:rsid w:val="0044152F"/>
    <w:rsid w:val="00441576"/>
    <w:rsid w:val="004417B4"/>
    <w:rsid w:val="00441A63"/>
    <w:rsid w:val="00441A86"/>
    <w:rsid w:val="00441B39"/>
    <w:rsid w:val="00441BCD"/>
    <w:rsid w:val="00441DF8"/>
    <w:rsid w:val="00441EC6"/>
    <w:rsid w:val="00441F8F"/>
    <w:rsid w:val="00442063"/>
    <w:rsid w:val="004420D0"/>
    <w:rsid w:val="004421CA"/>
    <w:rsid w:val="0044223B"/>
    <w:rsid w:val="004422F2"/>
    <w:rsid w:val="00442506"/>
    <w:rsid w:val="004426B9"/>
    <w:rsid w:val="004426BA"/>
    <w:rsid w:val="004426E3"/>
    <w:rsid w:val="00442705"/>
    <w:rsid w:val="004428A5"/>
    <w:rsid w:val="004428B6"/>
    <w:rsid w:val="004428E5"/>
    <w:rsid w:val="00442CFB"/>
    <w:rsid w:val="00442EBF"/>
    <w:rsid w:val="00442FE5"/>
    <w:rsid w:val="00443288"/>
    <w:rsid w:val="00443308"/>
    <w:rsid w:val="00443343"/>
    <w:rsid w:val="00443429"/>
    <w:rsid w:val="004434C0"/>
    <w:rsid w:val="004436CE"/>
    <w:rsid w:val="0044374B"/>
    <w:rsid w:val="0044375F"/>
    <w:rsid w:val="00443D24"/>
    <w:rsid w:val="00443FA3"/>
    <w:rsid w:val="004442D4"/>
    <w:rsid w:val="00444313"/>
    <w:rsid w:val="004447CF"/>
    <w:rsid w:val="0044498F"/>
    <w:rsid w:val="00444B3A"/>
    <w:rsid w:val="00444C1B"/>
    <w:rsid w:val="00444C4A"/>
    <w:rsid w:val="00444F2F"/>
    <w:rsid w:val="004450D7"/>
    <w:rsid w:val="0044521D"/>
    <w:rsid w:val="00445424"/>
    <w:rsid w:val="00445541"/>
    <w:rsid w:val="00445543"/>
    <w:rsid w:val="004457C6"/>
    <w:rsid w:val="00445859"/>
    <w:rsid w:val="00445B32"/>
    <w:rsid w:val="00445BC1"/>
    <w:rsid w:val="00445CF2"/>
    <w:rsid w:val="00445E10"/>
    <w:rsid w:val="00445E62"/>
    <w:rsid w:val="0044602F"/>
    <w:rsid w:val="004461BE"/>
    <w:rsid w:val="00446417"/>
    <w:rsid w:val="00446655"/>
    <w:rsid w:val="00446C00"/>
    <w:rsid w:val="00446C35"/>
    <w:rsid w:val="00446CFA"/>
    <w:rsid w:val="00446DAB"/>
    <w:rsid w:val="00446DBF"/>
    <w:rsid w:val="00446EFE"/>
    <w:rsid w:val="00446FC0"/>
    <w:rsid w:val="004470A6"/>
    <w:rsid w:val="004471FB"/>
    <w:rsid w:val="0044720C"/>
    <w:rsid w:val="00447679"/>
    <w:rsid w:val="004476A1"/>
    <w:rsid w:val="00447858"/>
    <w:rsid w:val="00447879"/>
    <w:rsid w:val="004478C4"/>
    <w:rsid w:val="00447A3D"/>
    <w:rsid w:val="00447A7C"/>
    <w:rsid w:val="004504B8"/>
    <w:rsid w:val="004504E1"/>
    <w:rsid w:val="00450505"/>
    <w:rsid w:val="0045060F"/>
    <w:rsid w:val="004507E3"/>
    <w:rsid w:val="00450903"/>
    <w:rsid w:val="00450BFC"/>
    <w:rsid w:val="00450C01"/>
    <w:rsid w:val="00450C3E"/>
    <w:rsid w:val="00450D82"/>
    <w:rsid w:val="00450DCD"/>
    <w:rsid w:val="00450F6E"/>
    <w:rsid w:val="00451654"/>
    <w:rsid w:val="00451930"/>
    <w:rsid w:val="00451D38"/>
    <w:rsid w:val="004521E0"/>
    <w:rsid w:val="004526E1"/>
    <w:rsid w:val="0045279A"/>
    <w:rsid w:val="00452B44"/>
    <w:rsid w:val="00452E2D"/>
    <w:rsid w:val="00453304"/>
    <w:rsid w:val="0045339E"/>
    <w:rsid w:val="0045368C"/>
    <w:rsid w:val="0045374C"/>
    <w:rsid w:val="004537CE"/>
    <w:rsid w:val="0045394C"/>
    <w:rsid w:val="004539EB"/>
    <w:rsid w:val="00453C4A"/>
    <w:rsid w:val="00453CB3"/>
    <w:rsid w:val="00453CD6"/>
    <w:rsid w:val="00453F5B"/>
    <w:rsid w:val="004546B1"/>
    <w:rsid w:val="00454748"/>
    <w:rsid w:val="00454822"/>
    <w:rsid w:val="00454850"/>
    <w:rsid w:val="00454B7F"/>
    <w:rsid w:val="00454B92"/>
    <w:rsid w:val="00454CC5"/>
    <w:rsid w:val="00455026"/>
    <w:rsid w:val="004550CB"/>
    <w:rsid w:val="0045529B"/>
    <w:rsid w:val="0045529D"/>
    <w:rsid w:val="0045548C"/>
    <w:rsid w:val="004555C6"/>
    <w:rsid w:val="0045564A"/>
    <w:rsid w:val="0045565A"/>
    <w:rsid w:val="00455856"/>
    <w:rsid w:val="00455B80"/>
    <w:rsid w:val="00455E0B"/>
    <w:rsid w:val="00455E74"/>
    <w:rsid w:val="004560FB"/>
    <w:rsid w:val="00456136"/>
    <w:rsid w:val="004562A0"/>
    <w:rsid w:val="004564CE"/>
    <w:rsid w:val="004565BD"/>
    <w:rsid w:val="004565CA"/>
    <w:rsid w:val="00456835"/>
    <w:rsid w:val="00456877"/>
    <w:rsid w:val="00456901"/>
    <w:rsid w:val="0045696D"/>
    <w:rsid w:val="004569A9"/>
    <w:rsid w:val="00456AD2"/>
    <w:rsid w:val="00456D5A"/>
    <w:rsid w:val="004570AC"/>
    <w:rsid w:val="004570C6"/>
    <w:rsid w:val="00457351"/>
    <w:rsid w:val="00457394"/>
    <w:rsid w:val="004575B6"/>
    <w:rsid w:val="004575C3"/>
    <w:rsid w:val="004576FE"/>
    <w:rsid w:val="0045776F"/>
    <w:rsid w:val="00457976"/>
    <w:rsid w:val="0045799B"/>
    <w:rsid w:val="00457A88"/>
    <w:rsid w:val="00457BAA"/>
    <w:rsid w:val="00457C56"/>
    <w:rsid w:val="00457C5A"/>
    <w:rsid w:val="00457E34"/>
    <w:rsid w:val="00457FFA"/>
    <w:rsid w:val="00460166"/>
    <w:rsid w:val="004601D5"/>
    <w:rsid w:val="0046028B"/>
    <w:rsid w:val="004603A8"/>
    <w:rsid w:val="004605E2"/>
    <w:rsid w:val="004607D4"/>
    <w:rsid w:val="004607DA"/>
    <w:rsid w:val="00460A8C"/>
    <w:rsid w:val="00460C41"/>
    <w:rsid w:val="00460C75"/>
    <w:rsid w:val="00460D1A"/>
    <w:rsid w:val="00460EDE"/>
    <w:rsid w:val="00461080"/>
    <w:rsid w:val="004613BA"/>
    <w:rsid w:val="004613D2"/>
    <w:rsid w:val="00461577"/>
    <w:rsid w:val="004618BD"/>
    <w:rsid w:val="004618FF"/>
    <w:rsid w:val="00461BC3"/>
    <w:rsid w:val="00461D7D"/>
    <w:rsid w:val="00461E42"/>
    <w:rsid w:val="00461EA1"/>
    <w:rsid w:val="00462073"/>
    <w:rsid w:val="00462141"/>
    <w:rsid w:val="00462548"/>
    <w:rsid w:val="0046265A"/>
    <w:rsid w:val="004627EB"/>
    <w:rsid w:val="004628A3"/>
    <w:rsid w:val="004628A5"/>
    <w:rsid w:val="00462B11"/>
    <w:rsid w:val="00462B96"/>
    <w:rsid w:val="00462D70"/>
    <w:rsid w:val="00462EEA"/>
    <w:rsid w:val="00462F0F"/>
    <w:rsid w:val="00462F8F"/>
    <w:rsid w:val="004631FA"/>
    <w:rsid w:val="00463324"/>
    <w:rsid w:val="004633DD"/>
    <w:rsid w:val="004638A7"/>
    <w:rsid w:val="00463ACE"/>
    <w:rsid w:val="0046411A"/>
    <w:rsid w:val="00464347"/>
    <w:rsid w:val="0046443C"/>
    <w:rsid w:val="0046477A"/>
    <w:rsid w:val="004647AF"/>
    <w:rsid w:val="00464957"/>
    <w:rsid w:val="00464AE0"/>
    <w:rsid w:val="00464BA0"/>
    <w:rsid w:val="00464BCB"/>
    <w:rsid w:val="00464CE6"/>
    <w:rsid w:val="00464D1E"/>
    <w:rsid w:val="00464D3B"/>
    <w:rsid w:val="00464E25"/>
    <w:rsid w:val="00464EA2"/>
    <w:rsid w:val="00464FFB"/>
    <w:rsid w:val="004650A7"/>
    <w:rsid w:val="00465416"/>
    <w:rsid w:val="00465584"/>
    <w:rsid w:val="004657C7"/>
    <w:rsid w:val="0046580F"/>
    <w:rsid w:val="004658DB"/>
    <w:rsid w:val="004658F3"/>
    <w:rsid w:val="00465AB6"/>
    <w:rsid w:val="00465C92"/>
    <w:rsid w:val="00465CBE"/>
    <w:rsid w:val="004661AA"/>
    <w:rsid w:val="004661EF"/>
    <w:rsid w:val="004662CE"/>
    <w:rsid w:val="00466365"/>
    <w:rsid w:val="0046682A"/>
    <w:rsid w:val="0046688B"/>
    <w:rsid w:val="00466891"/>
    <w:rsid w:val="00466CC4"/>
    <w:rsid w:val="00466E76"/>
    <w:rsid w:val="00466E81"/>
    <w:rsid w:val="00467154"/>
    <w:rsid w:val="0046744A"/>
    <w:rsid w:val="0046751A"/>
    <w:rsid w:val="0046759F"/>
    <w:rsid w:val="0046786E"/>
    <w:rsid w:val="0046797D"/>
    <w:rsid w:val="004679D7"/>
    <w:rsid w:val="00467C32"/>
    <w:rsid w:val="00467C43"/>
    <w:rsid w:val="00467E0C"/>
    <w:rsid w:val="004703BC"/>
    <w:rsid w:val="004704B5"/>
    <w:rsid w:val="0047061B"/>
    <w:rsid w:val="00470DC3"/>
    <w:rsid w:val="00470ECC"/>
    <w:rsid w:val="00470EE9"/>
    <w:rsid w:val="0047122E"/>
    <w:rsid w:val="004712DE"/>
    <w:rsid w:val="004712E0"/>
    <w:rsid w:val="004712F4"/>
    <w:rsid w:val="00471387"/>
    <w:rsid w:val="004714A1"/>
    <w:rsid w:val="004715A1"/>
    <w:rsid w:val="00471A64"/>
    <w:rsid w:val="00471C5E"/>
    <w:rsid w:val="00471DBD"/>
    <w:rsid w:val="0047210F"/>
    <w:rsid w:val="004721D0"/>
    <w:rsid w:val="004724CC"/>
    <w:rsid w:val="00472827"/>
    <w:rsid w:val="004729A6"/>
    <w:rsid w:val="00472A3F"/>
    <w:rsid w:val="00472F1B"/>
    <w:rsid w:val="00473056"/>
    <w:rsid w:val="004730A8"/>
    <w:rsid w:val="004730AD"/>
    <w:rsid w:val="00473120"/>
    <w:rsid w:val="004732CC"/>
    <w:rsid w:val="004732EA"/>
    <w:rsid w:val="00473529"/>
    <w:rsid w:val="004735CA"/>
    <w:rsid w:val="00473823"/>
    <w:rsid w:val="0047396A"/>
    <w:rsid w:val="00473ADD"/>
    <w:rsid w:val="00473B8F"/>
    <w:rsid w:val="004741E6"/>
    <w:rsid w:val="00474411"/>
    <w:rsid w:val="0047445A"/>
    <w:rsid w:val="0047448A"/>
    <w:rsid w:val="004746C4"/>
    <w:rsid w:val="004746DB"/>
    <w:rsid w:val="00474939"/>
    <w:rsid w:val="00474B94"/>
    <w:rsid w:val="00474FA1"/>
    <w:rsid w:val="00474FAA"/>
    <w:rsid w:val="00475016"/>
    <w:rsid w:val="00475126"/>
    <w:rsid w:val="00475244"/>
    <w:rsid w:val="00475282"/>
    <w:rsid w:val="00475321"/>
    <w:rsid w:val="004753DC"/>
    <w:rsid w:val="004754EE"/>
    <w:rsid w:val="004759BC"/>
    <w:rsid w:val="00475BC6"/>
    <w:rsid w:val="00475D17"/>
    <w:rsid w:val="00475D5B"/>
    <w:rsid w:val="00475D7D"/>
    <w:rsid w:val="00475DC9"/>
    <w:rsid w:val="00476103"/>
    <w:rsid w:val="00476146"/>
    <w:rsid w:val="004764A9"/>
    <w:rsid w:val="00476577"/>
    <w:rsid w:val="0047694F"/>
    <w:rsid w:val="004769E4"/>
    <w:rsid w:val="00476D52"/>
    <w:rsid w:val="00476F2F"/>
    <w:rsid w:val="00476FA0"/>
    <w:rsid w:val="00477007"/>
    <w:rsid w:val="004771FF"/>
    <w:rsid w:val="0047740D"/>
    <w:rsid w:val="00477444"/>
    <w:rsid w:val="00477510"/>
    <w:rsid w:val="004777D7"/>
    <w:rsid w:val="004779B5"/>
    <w:rsid w:val="00477E0B"/>
    <w:rsid w:val="00477E17"/>
    <w:rsid w:val="00477E1A"/>
    <w:rsid w:val="0048000D"/>
    <w:rsid w:val="004801C7"/>
    <w:rsid w:val="0048026C"/>
    <w:rsid w:val="0048030A"/>
    <w:rsid w:val="00480391"/>
    <w:rsid w:val="0048061A"/>
    <w:rsid w:val="0048067F"/>
    <w:rsid w:val="00480966"/>
    <w:rsid w:val="00480AA1"/>
    <w:rsid w:val="00480DC6"/>
    <w:rsid w:val="00480DF1"/>
    <w:rsid w:val="00480FD9"/>
    <w:rsid w:val="0048111F"/>
    <w:rsid w:val="00481174"/>
    <w:rsid w:val="0048134F"/>
    <w:rsid w:val="00481393"/>
    <w:rsid w:val="00481739"/>
    <w:rsid w:val="00481743"/>
    <w:rsid w:val="004817DB"/>
    <w:rsid w:val="00481BF1"/>
    <w:rsid w:val="00481C1A"/>
    <w:rsid w:val="00481E4F"/>
    <w:rsid w:val="0048220B"/>
    <w:rsid w:val="0048230A"/>
    <w:rsid w:val="004825B3"/>
    <w:rsid w:val="00482829"/>
    <w:rsid w:val="0048285D"/>
    <w:rsid w:val="004828C1"/>
    <w:rsid w:val="004828D5"/>
    <w:rsid w:val="00482A53"/>
    <w:rsid w:val="00482BB6"/>
    <w:rsid w:val="00482CD9"/>
    <w:rsid w:val="00482FBA"/>
    <w:rsid w:val="00483075"/>
    <w:rsid w:val="00483127"/>
    <w:rsid w:val="0048314F"/>
    <w:rsid w:val="00483241"/>
    <w:rsid w:val="00483268"/>
    <w:rsid w:val="00483293"/>
    <w:rsid w:val="00483463"/>
    <w:rsid w:val="0048391B"/>
    <w:rsid w:val="00483BA1"/>
    <w:rsid w:val="00483C7C"/>
    <w:rsid w:val="0048416B"/>
    <w:rsid w:val="004841EC"/>
    <w:rsid w:val="00484354"/>
    <w:rsid w:val="00484372"/>
    <w:rsid w:val="0048447C"/>
    <w:rsid w:val="00484796"/>
    <w:rsid w:val="004849B8"/>
    <w:rsid w:val="00484C56"/>
    <w:rsid w:val="00484D61"/>
    <w:rsid w:val="00484D8C"/>
    <w:rsid w:val="00484DBC"/>
    <w:rsid w:val="00484E72"/>
    <w:rsid w:val="00484F8C"/>
    <w:rsid w:val="004850EA"/>
    <w:rsid w:val="0048522D"/>
    <w:rsid w:val="0048522E"/>
    <w:rsid w:val="004852B6"/>
    <w:rsid w:val="004855B2"/>
    <w:rsid w:val="004855CD"/>
    <w:rsid w:val="004856D5"/>
    <w:rsid w:val="00486068"/>
    <w:rsid w:val="004862F6"/>
    <w:rsid w:val="0048643D"/>
    <w:rsid w:val="00486701"/>
    <w:rsid w:val="004867B9"/>
    <w:rsid w:val="00486811"/>
    <w:rsid w:val="0048684A"/>
    <w:rsid w:val="00486850"/>
    <w:rsid w:val="004868BA"/>
    <w:rsid w:val="00486915"/>
    <w:rsid w:val="00486993"/>
    <w:rsid w:val="00486AA8"/>
    <w:rsid w:val="00486D21"/>
    <w:rsid w:val="00486F43"/>
    <w:rsid w:val="00487050"/>
    <w:rsid w:val="004870F0"/>
    <w:rsid w:val="00487300"/>
    <w:rsid w:val="00487420"/>
    <w:rsid w:val="0048743B"/>
    <w:rsid w:val="0048753C"/>
    <w:rsid w:val="004879EF"/>
    <w:rsid w:val="00487B2F"/>
    <w:rsid w:val="00487C26"/>
    <w:rsid w:val="00487DBA"/>
    <w:rsid w:val="00487E95"/>
    <w:rsid w:val="00487F74"/>
    <w:rsid w:val="00490219"/>
    <w:rsid w:val="004902E5"/>
    <w:rsid w:val="004904C8"/>
    <w:rsid w:val="004905B1"/>
    <w:rsid w:val="004905B2"/>
    <w:rsid w:val="004906A3"/>
    <w:rsid w:val="0049070F"/>
    <w:rsid w:val="0049074E"/>
    <w:rsid w:val="004907D8"/>
    <w:rsid w:val="00490C3A"/>
    <w:rsid w:val="00490C49"/>
    <w:rsid w:val="00490CA6"/>
    <w:rsid w:val="00490E68"/>
    <w:rsid w:val="004912F9"/>
    <w:rsid w:val="004913A7"/>
    <w:rsid w:val="004913E1"/>
    <w:rsid w:val="00491462"/>
    <w:rsid w:val="0049175D"/>
    <w:rsid w:val="0049196D"/>
    <w:rsid w:val="00491A05"/>
    <w:rsid w:val="00491A52"/>
    <w:rsid w:val="00491B2C"/>
    <w:rsid w:val="00491B2D"/>
    <w:rsid w:val="0049224F"/>
    <w:rsid w:val="00492276"/>
    <w:rsid w:val="00492419"/>
    <w:rsid w:val="0049242E"/>
    <w:rsid w:val="004924BC"/>
    <w:rsid w:val="004924F7"/>
    <w:rsid w:val="004925B5"/>
    <w:rsid w:val="00492654"/>
    <w:rsid w:val="0049276E"/>
    <w:rsid w:val="004928DE"/>
    <w:rsid w:val="00492955"/>
    <w:rsid w:val="004929BE"/>
    <w:rsid w:val="00492C82"/>
    <w:rsid w:val="004930CE"/>
    <w:rsid w:val="004930D6"/>
    <w:rsid w:val="004933D1"/>
    <w:rsid w:val="0049379C"/>
    <w:rsid w:val="004937DB"/>
    <w:rsid w:val="004938C7"/>
    <w:rsid w:val="00493C36"/>
    <w:rsid w:val="00493C52"/>
    <w:rsid w:val="00493DC1"/>
    <w:rsid w:val="00493F06"/>
    <w:rsid w:val="00493F55"/>
    <w:rsid w:val="00493F78"/>
    <w:rsid w:val="00494271"/>
    <w:rsid w:val="00494276"/>
    <w:rsid w:val="0049430F"/>
    <w:rsid w:val="00494376"/>
    <w:rsid w:val="004943BF"/>
    <w:rsid w:val="00494553"/>
    <w:rsid w:val="004949C5"/>
    <w:rsid w:val="00494A28"/>
    <w:rsid w:val="00494D45"/>
    <w:rsid w:val="00494F0F"/>
    <w:rsid w:val="00494F44"/>
    <w:rsid w:val="00494F9A"/>
    <w:rsid w:val="0049516B"/>
    <w:rsid w:val="004952B9"/>
    <w:rsid w:val="004952E8"/>
    <w:rsid w:val="004952EE"/>
    <w:rsid w:val="004957CC"/>
    <w:rsid w:val="0049589E"/>
    <w:rsid w:val="004959BC"/>
    <w:rsid w:val="00495C9D"/>
    <w:rsid w:val="00495EC7"/>
    <w:rsid w:val="00496188"/>
    <w:rsid w:val="004964A3"/>
    <w:rsid w:val="00496579"/>
    <w:rsid w:val="0049669D"/>
    <w:rsid w:val="004966A9"/>
    <w:rsid w:val="004968B2"/>
    <w:rsid w:val="0049692C"/>
    <w:rsid w:val="0049694F"/>
    <w:rsid w:val="00496C41"/>
    <w:rsid w:val="00496E4E"/>
    <w:rsid w:val="00496E85"/>
    <w:rsid w:val="00496F85"/>
    <w:rsid w:val="00497225"/>
    <w:rsid w:val="00497267"/>
    <w:rsid w:val="00497705"/>
    <w:rsid w:val="004977DA"/>
    <w:rsid w:val="00497800"/>
    <w:rsid w:val="00497BD9"/>
    <w:rsid w:val="00497E77"/>
    <w:rsid w:val="00497F10"/>
    <w:rsid w:val="004A00B7"/>
    <w:rsid w:val="004A025A"/>
    <w:rsid w:val="004A04FA"/>
    <w:rsid w:val="004A059C"/>
    <w:rsid w:val="004A06FE"/>
    <w:rsid w:val="004A0728"/>
    <w:rsid w:val="004A091B"/>
    <w:rsid w:val="004A0973"/>
    <w:rsid w:val="004A1010"/>
    <w:rsid w:val="004A1016"/>
    <w:rsid w:val="004A10FF"/>
    <w:rsid w:val="004A160E"/>
    <w:rsid w:val="004A1657"/>
    <w:rsid w:val="004A16ED"/>
    <w:rsid w:val="004A188E"/>
    <w:rsid w:val="004A1DAC"/>
    <w:rsid w:val="004A1DFE"/>
    <w:rsid w:val="004A1F26"/>
    <w:rsid w:val="004A1F9A"/>
    <w:rsid w:val="004A2010"/>
    <w:rsid w:val="004A2041"/>
    <w:rsid w:val="004A20CE"/>
    <w:rsid w:val="004A216F"/>
    <w:rsid w:val="004A2288"/>
    <w:rsid w:val="004A262D"/>
    <w:rsid w:val="004A268B"/>
    <w:rsid w:val="004A272C"/>
    <w:rsid w:val="004A278C"/>
    <w:rsid w:val="004A2804"/>
    <w:rsid w:val="004A2ABF"/>
    <w:rsid w:val="004A2B04"/>
    <w:rsid w:val="004A2B71"/>
    <w:rsid w:val="004A3138"/>
    <w:rsid w:val="004A32AF"/>
    <w:rsid w:val="004A35C1"/>
    <w:rsid w:val="004A3637"/>
    <w:rsid w:val="004A368B"/>
    <w:rsid w:val="004A36B7"/>
    <w:rsid w:val="004A38B6"/>
    <w:rsid w:val="004A3C39"/>
    <w:rsid w:val="004A3C7F"/>
    <w:rsid w:val="004A3D9A"/>
    <w:rsid w:val="004A3DD3"/>
    <w:rsid w:val="004A3F32"/>
    <w:rsid w:val="004A4052"/>
    <w:rsid w:val="004A4251"/>
    <w:rsid w:val="004A437E"/>
    <w:rsid w:val="004A43B1"/>
    <w:rsid w:val="004A473F"/>
    <w:rsid w:val="004A48AE"/>
    <w:rsid w:val="004A4932"/>
    <w:rsid w:val="004A49E3"/>
    <w:rsid w:val="004A4AA9"/>
    <w:rsid w:val="004A4ADA"/>
    <w:rsid w:val="004A4AEC"/>
    <w:rsid w:val="004A4AFB"/>
    <w:rsid w:val="004A4B55"/>
    <w:rsid w:val="004A4D25"/>
    <w:rsid w:val="004A5291"/>
    <w:rsid w:val="004A57BA"/>
    <w:rsid w:val="004A5803"/>
    <w:rsid w:val="004A59CC"/>
    <w:rsid w:val="004A5B65"/>
    <w:rsid w:val="004A5C1C"/>
    <w:rsid w:val="004A5D3E"/>
    <w:rsid w:val="004A6114"/>
    <w:rsid w:val="004A6156"/>
    <w:rsid w:val="004A6165"/>
    <w:rsid w:val="004A6198"/>
    <w:rsid w:val="004A61E6"/>
    <w:rsid w:val="004A631C"/>
    <w:rsid w:val="004A6867"/>
    <w:rsid w:val="004A6A39"/>
    <w:rsid w:val="004A6B39"/>
    <w:rsid w:val="004A6CC5"/>
    <w:rsid w:val="004A6DAB"/>
    <w:rsid w:val="004A6F06"/>
    <w:rsid w:val="004A75DA"/>
    <w:rsid w:val="004A75EF"/>
    <w:rsid w:val="004A7BA5"/>
    <w:rsid w:val="004A7C8C"/>
    <w:rsid w:val="004B0131"/>
    <w:rsid w:val="004B02BB"/>
    <w:rsid w:val="004B04A2"/>
    <w:rsid w:val="004B0514"/>
    <w:rsid w:val="004B05E3"/>
    <w:rsid w:val="004B063A"/>
    <w:rsid w:val="004B074F"/>
    <w:rsid w:val="004B0763"/>
    <w:rsid w:val="004B0982"/>
    <w:rsid w:val="004B0ECF"/>
    <w:rsid w:val="004B0F0D"/>
    <w:rsid w:val="004B1140"/>
    <w:rsid w:val="004B1EDF"/>
    <w:rsid w:val="004B1FBD"/>
    <w:rsid w:val="004B2157"/>
    <w:rsid w:val="004B22A2"/>
    <w:rsid w:val="004B24EB"/>
    <w:rsid w:val="004B2675"/>
    <w:rsid w:val="004B26C5"/>
    <w:rsid w:val="004B27A5"/>
    <w:rsid w:val="004B2A5F"/>
    <w:rsid w:val="004B2A83"/>
    <w:rsid w:val="004B2AEF"/>
    <w:rsid w:val="004B2B50"/>
    <w:rsid w:val="004B2C63"/>
    <w:rsid w:val="004B2D26"/>
    <w:rsid w:val="004B2F33"/>
    <w:rsid w:val="004B3148"/>
    <w:rsid w:val="004B31BE"/>
    <w:rsid w:val="004B3362"/>
    <w:rsid w:val="004B38D6"/>
    <w:rsid w:val="004B39C7"/>
    <w:rsid w:val="004B3F7C"/>
    <w:rsid w:val="004B4062"/>
    <w:rsid w:val="004B4AB3"/>
    <w:rsid w:val="004B4C50"/>
    <w:rsid w:val="004B4C89"/>
    <w:rsid w:val="004B4D3F"/>
    <w:rsid w:val="004B5084"/>
    <w:rsid w:val="004B560F"/>
    <w:rsid w:val="004B5778"/>
    <w:rsid w:val="004B58B1"/>
    <w:rsid w:val="004B5971"/>
    <w:rsid w:val="004B5B04"/>
    <w:rsid w:val="004B5FFA"/>
    <w:rsid w:val="004B6070"/>
    <w:rsid w:val="004B6232"/>
    <w:rsid w:val="004B62CA"/>
    <w:rsid w:val="004B62E6"/>
    <w:rsid w:val="004B64B0"/>
    <w:rsid w:val="004B6832"/>
    <w:rsid w:val="004B686C"/>
    <w:rsid w:val="004B692B"/>
    <w:rsid w:val="004B6986"/>
    <w:rsid w:val="004B6AC8"/>
    <w:rsid w:val="004B6AEB"/>
    <w:rsid w:val="004B6ED5"/>
    <w:rsid w:val="004B6EE6"/>
    <w:rsid w:val="004B6FEC"/>
    <w:rsid w:val="004B7203"/>
    <w:rsid w:val="004B739E"/>
    <w:rsid w:val="004B73EC"/>
    <w:rsid w:val="004B748A"/>
    <w:rsid w:val="004B758D"/>
    <w:rsid w:val="004B7792"/>
    <w:rsid w:val="004B77EB"/>
    <w:rsid w:val="004B7832"/>
    <w:rsid w:val="004B7879"/>
    <w:rsid w:val="004B78D0"/>
    <w:rsid w:val="004B799A"/>
    <w:rsid w:val="004B79AA"/>
    <w:rsid w:val="004B7AAC"/>
    <w:rsid w:val="004B7B28"/>
    <w:rsid w:val="004B7EE0"/>
    <w:rsid w:val="004B7F39"/>
    <w:rsid w:val="004B7F8C"/>
    <w:rsid w:val="004B7FE6"/>
    <w:rsid w:val="004C00E0"/>
    <w:rsid w:val="004C02F1"/>
    <w:rsid w:val="004C0334"/>
    <w:rsid w:val="004C03A5"/>
    <w:rsid w:val="004C066C"/>
    <w:rsid w:val="004C06E2"/>
    <w:rsid w:val="004C08C3"/>
    <w:rsid w:val="004C08E9"/>
    <w:rsid w:val="004C0A33"/>
    <w:rsid w:val="004C0B0A"/>
    <w:rsid w:val="004C0C35"/>
    <w:rsid w:val="004C0CF9"/>
    <w:rsid w:val="004C1014"/>
    <w:rsid w:val="004C104F"/>
    <w:rsid w:val="004C11A3"/>
    <w:rsid w:val="004C183F"/>
    <w:rsid w:val="004C1878"/>
    <w:rsid w:val="004C1905"/>
    <w:rsid w:val="004C1CD9"/>
    <w:rsid w:val="004C1D48"/>
    <w:rsid w:val="004C1E8B"/>
    <w:rsid w:val="004C20CD"/>
    <w:rsid w:val="004C2133"/>
    <w:rsid w:val="004C2377"/>
    <w:rsid w:val="004C27A4"/>
    <w:rsid w:val="004C27AB"/>
    <w:rsid w:val="004C282B"/>
    <w:rsid w:val="004C29D3"/>
    <w:rsid w:val="004C2A23"/>
    <w:rsid w:val="004C2E31"/>
    <w:rsid w:val="004C3114"/>
    <w:rsid w:val="004C31A7"/>
    <w:rsid w:val="004C326B"/>
    <w:rsid w:val="004C3295"/>
    <w:rsid w:val="004C34DE"/>
    <w:rsid w:val="004C35E2"/>
    <w:rsid w:val="004C36CB"/>
    <w:rsid w:val="004C3760"/>
    <w:rsid w:val="004C388B"/>
    <w:rsid w:val="004C38D5"/>
    <w:rsid w:val="004C3948"/>
    <w:rsid w:val="004C3AE1"/>
    <w:rsid w:val="004C40CE"/>
    <w:rsid w:val="004C40D9"/>
    <w:rsid w:val="004C42AB"/>
    <w:rsid w:val="004C4599"/>
    <w:rsid w:val="004C459A"/>
    <w:rsid w:val="004C466A"/>
    <w:rsid w:val="004C47D9"/>
    <w:rsid w:val="004C4826"/>
    <w:rsid w:val="004C483C"/>
    <w:rsid w:val="004C4A14"/>
    <w:rsid w:val="004C4C9F"/>
    <w:rsid w:val="004C4CFF"/>
    <w:rsid w:val="004C50D8"/>
    <w:rsid w:val="004C53C5"/>
    <w:rsid w:val="004C542E"/>
    <w:rsid w:val="004C5589"/>
    <w:rsid w:val="004C58F9"/>
    <w:rsid w:val="004C5ABB"/>
    <w:rsid w:val="004C5BFA"/>
    <w:rsid w:val="004C5C14"/>
    <w:rsid w:val="004C5E8B"/>
    <w:rsid w:val="004C5F38"/>
    <w:rsid w:val="004C5FC6"/>
    <w:rsid w:val="004C6039"/>
    <w:rsid w:val="004C61C5"/>
    <w:rsid w:val="004C61E3"/>
    <w:rsid w:val="004C62D1"/>
    <w:rsid w:val="004C62F0"/>
    <w:rsid w:val="004C6302"/>
    <w:rsid w:val="004C6371"/>
    <w:rsid w:val="004C6434"/>
    <w:rsid w:val="004C649C"/>
    <w:rsid w:val="004C64AB"/>
    <w:rsid w:val="004C65C1"/>
    <w:rsid w:val="004C6748"/>
    <w:rsid w:val="004C677F"/>
    <w:rsid w:val="004C6814"/>
    <w:rsid w:val="004C68D4"/>
    <w:rsid w:val="004C6960"/>
    <w:rsid w:val="004C6ABD"/>
    <w:rsid w:val="004C6BE7"/>
    <w:rsid w:val="004C6F37"/>
    <w:rsid w:val="004C6F58"/>
    <w:rsid w:val="004C7187"/>
    <w:rsid w:val="004C72E6"/>
    <w:rsid w:val="004C73E0"/>
    <w:rsid w:val="004C7D7D"/>
    <w:rsid w:val="004C7E2E"/>
    <w:rsid w:val="004D0089"/>
    <w:rsid w:val="004D039D"/>
    <w:rsid w:val="004D041D"/>
    <w:rsid w:val="004D04F1"/>
    <w:rsid w:val="004D0B40"/>
    <w:rsid w:val="004D0BE1"/>
    <w:rsid w:val="004D0D1E"/>
    <w:rsid w:val="004D0D94"/>
    <w:rsid w:val="004D0DFF"/>
    <w:rsid w:val="004D0E21"/>
    <w:rsid w:val="004D0EF2"/>
    <w:rsid w:val="004D0F3C"/>
    <w:rsid w:val="004D1160"/>
    <w:rsid w:val="004D124E"/>
    <w:rsid w:val="004D13D1"/>
    <w:rsid w:val="004D15B9"/>
    <w:rsid w:val="004D16AA"/>
    <w:rsid w:val="004D17A8"/>
    <w:rsid w:val="004D19A2"/>
    <w:rsid w:val="004D1AE7"/>
    <w:rsid w:val="004D1BAB"/>
    <w:rsid w:val="004D207D"/>
    <w:rsid w:val="004D20CA"/>
    <w:rsid w:val="004D228A"/>
    <w:rsid w:val="004D2423"/>
    <w:rsid w:val="004D2457"/>
    <w:rsid w:val="004D2754"/>
    <w:rsid w:val="004D27A6"/>
    <w:rsid w:val="004D321E"/>
    <w:rsid w:val="004D3222"/>
    <w:rsid w:val="004D3302"/>
    <w:rsid w:val="004D3335"/>
    <w:rsid w:val="004D33C3"/>
    <w:rsid w:val="004D34CD"/>
    <w:rsid w:val="004D35D7"/>
    <w:rsid w:val="004D3783"/>
    <w:rsid w:val="004D3A35"/>
    <w:rsid w:val="004D3B8C"/>
    <w:rsid w:val="004D3C59"/>
    <w:rsid w:val="004D3C74"/>
    <w:rsid w:val="004D3E7B"/>
    <w:rsid w:val="004D3E7C"/>
    <w:rsid w:val="004D3F9E"/>
    <w:rsid w:val="004D413A"/>
    <w:rsid w:val="004D4275"/>
    <w:rsid w:val="004D43B0"/>
    <w:rsid w:val="004D4657"/>
    <w:rsid w:val="004D4BC5"/>
    <w:rsid w:val="004D4DFC"/>
    <w:rsid w:val="004D4F5B"/>
    <w:rsid w:val="004D4FFF"/>
    <w:rsid w:val="004D5220"/>
    <w:rsid w:val="004D590C"/>
    <w:rsid w:val="004D5B40"/>
    <w:rsid w:val="004D5B90"/>
    <w:rsid w:val="004D5E93"/>
    <w:rsid w:val="004D5F20"/>
    <w:rsid w:val="004D5FA5"/>
    <w:rsid w:val="004D600B"/>
    <w:rsid w:val="004D60C4"/>
    <w:rsid w:val="004D623E"/>
    <w:rsid w:val="004D6363"/>
    <w:rsid w:val="004D6519"/>
    <w:rsid w:val="004D65CB"/>
    <w:rsid w:val="004D66C1"/>
    <w:rsid w:val="004D6887"/>
    <w:rsid w:val="004D6BEC"/>
    <w:rsid w:val="004D7130"/>
    <w:rsid w:val="004D71C3"/>
    <w:rsid w:val="004D7248"/>
    <w:rsid w:val="004D7302"/>
    <w:rsid w:val="004D7488"/>
    <w:rsid w:val="004D752E"/>
    <w:rsid w:val="004D76F2"/>
    <w:rsid w:val="004D77DE"/>
    <w:rsid w:val="004D785A"/>
    <w:rsid w:val="004D7ABF"/>
    <w:rsid w:val="004D7BD3"/>
    <w:rsid w:val="004E018B"/>
    <w:rsid w:val="004E0280"/>
    <w:rsid w:val="004E0303"/>
    <w:rsid w:val="004E061B"/>
    <w:rsid w:val="004E0991"/>
    <w:rsid w:val="004E09C2"/>
    <w:rsid w:val="004E0DCA"/>
    <w:rsid w:val="004E0F2B"/>
    <w:rsid w:val="004E0F71"/>
    <w:rsid w:val="004E14AC"/>
    <w:rsid w:val="004E14C4"/>
    <w:rsid w:val="004E14EA"/>
    <w:rsid w:val="004E152D"/>
    <w:rsid w:val="004E1B16"/>
    <w:rsid w:val="004E1BA5"/>
    <w:rsid w:val="004E1C49"/>
    <w:rsid w:val="004E1C7C"/>
    <w:rsid w:val="004E1CAE"/>
    <w:rsid w:val="004E1F6E"/>
    <w:rsid w:val="004E1FDE"/>
    <w:rsid w:val="004E1FF6"/>
    <w:rsid w:val="004E201C"/>
    <w:rsid w:val="004E218E"/>
    <w:rsid w:val="004E23D3"/>
    <w:rsid w:val="004E2441"/>
    <w:rsid w:val="004E2442"/>
    <w:rsid w:val="004E253E"/>
    <w:rsid w:val="004E273B"/>
    <w:rsid w:val="004E2A3E"/>
    <w:rsid w:val="004E2E0F"/>
    <w:rsid w:val="004E2F87"/>
    <w:rsid w:val="004E3058"/>
    <w:rsid w:val="004E3145"/>
    <w:rsid w:val="004E31C2"/>
    <w:rsid w:val="004E3367"/>
    <w:rsid w:val="004E35E7"/>
    <w:rsid w:val="004E3707"/>
    <w:rsid w:val="004E371C"/>
    <w:rsid w:val="004E3726"/>
    <w:rsid w:val="004E3743"/>
    <w:rsid w:val="004E3852"/>
    <w:rsid w:val="004E3ACC"/>
    <w:rsid w:val="004E3C58"/>
    <w:rsid w:val="004E3D28"/>
    <w:rsid w:val="004E3EAE"/>
    <w:rsid w:val="004E43C6"/>
    <w:rsid w:val="004E43DE"/>
    <w:rsid w:val="004E4430"/>
    <w:rsid w:val="004E454A"/>
    <w:rsid w:val="004E4676"/>
    <w:rsid w:val="004E491B"/>
    <w:rsid w:val="004E4B4E"/>
    <w:rsid w:val="004E4C3C"/>
    <w:rsid w:val="004E4C6E"/>
    <w:rsid w:val="004E4D12"/>
    <w:rsid w:val="004E4D21"/>
    <w:rsid w:val="004E4E11"/>
    <w:rsid w:val="004E5243"/>
    <w:rsid w:val="004E5422"/>
    <w:rsid w:val="004E5BC0"/>
    <w:rsid w:val="004E5BDF"/>
    <w:rsid w:val="004E5C33"/>
    <w:rsid w:val="004E5C8E"/>
    <w:rsid w:val="004E61E2"/>
    <w:rsid w:val="004E631E"/>
    <w:rsid w:val="004E641B"/>
    <w:rsid w:val="004E6434"/>
    <w:rsid w:val="004E64E6"/>
    <w:rsid w:val="004E65E6"/>
    <w:rsid w:val="004E66B5"/>
    <w:rsid w:val="004E682B"/>
    <w:rsid w:val="004E69B0"/>
    <w:rsid w:val="004E6AFE"/>
    <w:rsid w:val="004E6C73"/>
    <w:rsid w:val="004E6DAE"/>
    <w:rsid w:val="004E6FE5"/>
    <w:rsid w:val="004E7112"/>
    <w:rsid w:val="004E73C2"/>
    <w:rsid w:val="004E7481"/>
    <w:rsid w:val="004E7616"/>
    <w:rsid w:val="004E7678"/>
    <w:rsid w:val="004E7994"/>
    <w:rsid w:val="004E7BC8"/>
    <w:rsid w:val="004E7C72"/>
    <w:rsid w:val="004E7F56"/>
    <w:rsid w:val="004E7FBD"/>
    <w:rsid w:val="004F010A"/>
    <w:rsid w:val="004F017E"/>
    <w:rsid w:val="004F0228"/>
    <w:rsid w:val="004F0406"/>
    <w:rsid w:val="004F0446"/>
    <w:rsid w:val="004F07D6"/>
    <w:rsid w:val="004F0868"/>
    <w:rsid w:val="004F087E"/>
    <w:rsid w:val="004F093A"/>
    <w:rsid w:val="004F0987"/>
    <w:rsid w:val="004F0B64"/>
    <w:rsid w:val="004F0B98"/>
    <w:rsid w:val="004F0F16"/>
    <w:rsid w:val="004F1058"/>
    <w:rsid w:val="004F1706"/>
    <w:rsid w:val="004F1948"/>
    <w:rsid w:val="004F1950"/>
    <w:rsid w:val="004F1971"/>
    <w:rsid w:val="004F19BC"/>
    <w:rsid w:val="004F1C62"/>
    <w:rsid w:val="004F1C6B"/>
    <w:rsid w:val="004F1DA8"/>
    <w:rsid w:val="004F1E1B"/>
    <w:rsid w:val="004F2C8B"/>
    <w:rsid w:val="004F2CF4"/>
    <w:rsid w:val="004F2E70"/>
    <w:rsid w:val="004F30AA"/>
    <w:rsid w:val="004F33D9"/>
    <w:rsid w:val="004F3566"/>
    <w:rsid w:val="004F35DC"/>
    <w:rsid w:val="004F36CC"/>
    <w:rsid w:val="004F39FB"/>
    <w:rsid w:val="004F3A7C"/>
    <w:rsid w:val="004F3B54"/>
    <w:rsid w:val="004F3CD7"/>
    <w:rsid w:val="004F3DBA"/>
    <w:rsid w:val="004F4039"/>
    <w:rsid w:val="004F40DA"/>
    <w:rsid w:val="004F4176"/>
    <w:rsid w:val="004F421B"/>
    <w:rsid w:val="004F4664"/>
    <w:rsid w:val="004F4BEE"/>
    <w:rsid w:val="004F4D29"/>
    <w:rsid w:val="004F4D52"/>
    <w:rsid w:val="004F4E39"/>
    <w:rsid w:val="004F4F9C"/>
    <w:rsid w:val="004F515B"/>
    <w:rsid w:val="004F51CD"/>
    <w:rsid w:val="004F5203"/>
    <w:rsid w:val="004F5245"/>
    <w:rsid w:val="004F5259"/>
    <w:rsid w:val="004F525A"/>
    <w:rsid w:val="004F5326"/>
    <w:rsid w:val="004F5545"/>
    <w:rsid w:val="004F57E5"/>
    <w:rsid w:val="004F58C2"/>
    <w:rsid w:val="004F59A0"/>
    <w:rsid w:val="004F5AB5"/>
    <w:rsid w:val="004F5D46"/>
    <w:rsid w:val="004F6515"/>
    <w:rsid w:val="004F685C"/>
    <w:rsid w:val="004F6933"/>
    <w:rsid w:val="004F69E4"/>
    <w:rsid w:val="004F6FDB"/>
    <w:rsid w:val="004F70E5"/>
    <w:rsid w:val="004F7298"/>
    <w:rsid w:val="004F7368"/>
    <w:rsid w:val="004F7387"/>
    <w:rsid w:val="004F73C7"/>
    <w:rsid w:val="004F77A9"/>
    <w:rsid w:val="004F7821"/>
    <w:rsid w:val="004F795C"/>
    <w:rsid w:val="004F7EE0"/>
    <w:rsid w:val="004F7FCF"/>
    <w:rsid w:val="004F7FFA"/>
    <w:rsid w:val="004F7FFC"/>
    <w:rsid w:val="0050012C"/>
    <w:rsid w:val="0050030B"/>
    <w:rsid w:val="00500388"/>
    <w:rsid w:val="0050049B"/>
    <w:rsid w:val="0050077A"/>
    <w:rsid w:val="005007D6"/>
    <w:rsid w:val="005007F9"/>
    <w:rsid w:val="00500A30"/>
    <w:rsid w:val="00500C71"/>
    <w:rsid w:val="00500DCA"/>
    <w:rsid w:val="00500F0F"/>
    <w:rsid w:val="005010D8"/>
    <w:rsid w:val="0050120E"/>
    <w:rsid w:val="005012F4"/>
    <w:rsid w:val="00501464"/>
    <w:rsid w:val="00501621"/>
    <w:rsid w:val="00501692"/>
    <w:rsid w:val="00501883"/>
    <w:rsid w:val="005018D4"/>
    <w:rsid w:val="00501A40"/>
    <w:rsid w:val="00501AD7"/>
    <w:rsid w:val="00501AE2"/>
    <w:rsid w:val="00501C41"/>
    <w:rsid w:val="00501F25"/>
    <w:rsid w:val="00501FAD"/>
    <w:rsid w:val="0050208C"/>
    <w:rsid w:val="00502213"/>
    <w:rsid w:val="0050221D"/>
    <w:rsid w:val="0050227E"/>
    <w:rsid w:val="005022D3"/>
    <w:rsid w:val="00502462"/>
    <w:rsid w:val="0050284E"/>
    <w:rsid w:val="00502BFE"/>
    <w:rsid w:val="00502D7B"/>
    <w:rsid w:val="00502F7A"/>
    <w:rsid w:val="00502FAC"/>
    <w:rsid w:val="005034EF"/>
    <w:rsid w:val="00503670"/>
    <w:rsid w:val="00503953"/>
    <w:rsid w:val="00503966"/>
    <w:rsid w:val="00503A16"/>
    <w:rsid w:val="00503A2B"/>
    <w:rsid w:val="00503A34"/>
    <w:rsid w:val="00503C97"/>
    <w:rsid w:val="00503E83"/>
    <w:rsid w:val="00503FCF"/>
    <w:rsid w:val="0050401B"/>
    <w:rsid w:val="00504090"/>
    <w:rsid w:val="00504342"/>
    <w:rsid w:val="00504373"/>
    <w:rsid w:val="005045CD"/>
    <w:rsid w:val="00504608"/>
    <w:rsid w:val="0050468A"/>
    <w:rsid w:val="00504981"/>
    <w:rsid w:val="00504A33"/>
    <w:rsid w:val="00504B51"/>
    <w:rsid w:val="00504C7F"/>
    <w:rsid w:val="00504D65"/>
    <w:rsid w:val="00505098"/>
    <w:rsid w:val="005050CA"/>
    <w:rsid w:val="0050548B"/>
    <w:rsid w:val="0050559C"/>
    <w:rsid w:val="00505808"/>
    <w:rsid w:val="00505FDE"/>
    <w:rsid w:val="0050602E"/>
    <w:rsid w:val="00506267"/>
    <w:rsid w:val="00506499"/>
    <w:rsid w:val="00506565"/>
    <w:rsid w:val="00506584"/>
    <w:rsid w:val="0050691D"/>
    <w:rsid w:val="00506C4B"/>
    <w:rsid w:val="00506D08"/>
    <w:rsid w:val="00506D1E"/>
    <w:rsid w:val="005071DF"/>
    <w:rsid w:val="00507461"/>
    <w:rsid w:val="00507498"/>
    <w:rsid w:val="0050749F"/>
    <w:rsid w:val="00507674"/>
    <w:rsid w:val="00507819"/>
    <w:rsid w:val="00507874"/>
    <w:rsid w:val="005079C0"/>
    <w:rsid w:val="005079D1"/>
    <w:rsid w:val="00507B9E"/>
    <w:rsid w:val="00507C0E"/>
    <w:rsid w:val="00507C13"/>
    <w:rsid w:val="00507CA6"/>
    <w:rsid w:val="00507CC9"/>
    <w:rsid w:val="00507D96"/>
    <w:rsid w:val="00507DA2"/>
    <w:rsid w:val="00507DCA"/>
    <w:rsid w:val="00510189"/>
    <w:rsid w:val="005102F9"/>
    <w:rsid w:val="00510322"/>
    <w:rsid w:val="00510337"/>
    <w:rsid w:val="0051033C"/>
    <w:rsid w:val="005103F6"/>
    <w:rsid w:val="0051041B"/>
    <w:rsid w:val="00510469"/>
    <w:rsid w:val="00510535"/>
    <w:rsid w:val="00510997"/>
    <w:rsid w:val="00510A4D"/>
    <w:rsid w:val="00510AE3"/>
    <w:rsid w:val="00510B17"/>
    <w:rsid w:val="00510C07"/>
    <w:rsid w:val="00510E02"/>
    <w:rsid w:val="00510F2A"/>
    <w:rsid w:val="005110E0"/>
    <w:rsid w:val="00511124"/>
    <w:rsid w:val="00511202"/>
    <w:rsid w:val="0051132E"/>
    <w:rsid w:val="0051151F"/>
    <w:rsid w:val="00511629"/>
    <w:rsid w:val="00511707"/>
    <w:rsid w:val="005117E8"/>
    <w:rsid w:val="00511A0C"/>
    <w:rsid w:val="00511A66"/>
    <w:rsid w:val="00511AAC"/>
    <w:rsid w:val="00511C9E"/>
    <w:rsid w:val="00511E45"/>
    <w:rsid w:val="00512113"/>
    <w:rsid w:val="005123D5"/>
    <w:rsid w:val="0051243D"/>
    <w:rsid w:val="005125F0"/>
    <w:rsid w:val="00512743"/>
    <w:rsid w:val="00512784"/>
    <w:rsid w:val="005129D2"/>
    <w:rsid w:val="00512A69"/>
    <w:rsid w:val="00512A9E"/>
    <w:rsid w:val="00512B58"/>
    <w:rsid w:val="00512D19"/>
    <w:rsid w:val="00513492"/>
    <w:rsid w:val="00513663"/>
    <w:rsid w:val="00513742"/>
    <w:rsid w:val="005139A5"/>
    <w:rsid w:val="00513A37"/>
    <w:rsid w:val="00513FDA"/>
    <w:rsid w:val="00513FE8"/>
    <w:rsid w:val="00514067"/>
    <w:rsid w:val="005140FB"/>
    <w:rsid w:val="005141B9"/>
    <w:rsid w:val="0051448B"/>
    <w:rsid w:val="00514769"/>
    <w:rsid w:val="005148FC"/>
    <w:rsid w:val="005149E9"/>
    <w:rsid w:val="00514B5B"/>
    <w:rsid w:val="00514C6E"/>
    <w:rsid w:val="00514CA7"/>
    <w:rsid w:val="00514EF7"/>
    <w:rsid w:val="00515159"/>
    <w:rsid w:val="005151DF"/>
    <w:rsid w:val="0051544B"/>
    <w:rsid w:val="00515695"/>
    <w:rsid w:val="0051569C"/>
    <w:rsid w:val="00515793"/>
    <w:rsid w:val="0051597B"/>
    <w:rsid w:val="00515A2B"/>
    <w:rsid w:val="00515AA8"/>
    <w:rsid w:val="00515BDF"/>
    <w:rsid w:val="00515BED"/>
    <w:rsid w:val="00515D44"/>
    <w:rsid w:val="00515EB9"/>
    <w:rsid w:val="00516324"/>
    <w:rsid w:val="005164D9"/>
    <w:rsid w:val="005164ED"/>
    <w:rsid w:val="005165AA"/>
    <w:rsid w:val="00516880"/>
    <w:rsid w:val="005168BB"/>
    <w:rsid w:val="00516CBE"/>
    <w:rsid w:val="00516F0C"/>
    <w:rsid w:val="00516F83"/>
    <w:rsid w:val="00516FC0"/>
    <w:rsid w:val="0051704A"/>
    <w:rsid w:val="0051708D"/>
    <w:rsid w:val="005170C8"/>
    <w:rsid w:val="0051730D"/>
    <w:rsid w:val="00517981"/>
    <w:rsid w:val="00517A2A"/>
    <w:rsid w:val="00517B50"/>
    <w:rsid w:val="00517E9E"/>
    <w:rsid w:val="00517EEA"/>
    <w:rsid w:val="00517F9E"/>
    <w:rsid w:val="00517FDF"/>
    <w:rsid w:val="00520219"/>
    <w:rsid w:val="00520589"/>
    <w:rsid w:val="0052061A"/>
    <w:rsid w:val="0052082A"/>
    <w:rsid w:val="005208B5"/>
    <w:rsid w:val="00520963"/>
    <w:rsid w:val="00520CE0"/>
    <w:rsid w:val="00520F17"/>
    <w:rsid w:val="00520F27"/>
    <w:rsid w:val="00520FDE"/>
    <w:rsid w:val="00521138"/>
    <w:rsid w:val="00521367"/>
    <w:rsid w:val="00521412"/>
    <w:rsid w:val="0052148B"/>
    <w:rsid w:val="0052173B"/>
    <w:rsid w:val="00521C57"/>
    <w:rsid w:val="00521D0A"/>
    <w:rsid w:val="00521D3B"/>
    <w:rsid w:val="00521D6F"/>
    <w:rsid w:val="00521F21"/>
    <w:rsid w:val="00521F7B"/>
    <w:rsid w:val="00522047"/>
    <w:rsid w:val="00522139"/>
    <w:rsid w:val="00522287"/>
    <w:rsid w:val="00522400"/>
    <w:rsid w:val="005225B6"/>
    <w:rsid w:val="005225DA"/>
    <w:rsid w:val="00522760"/>
    <w:rsid w:val="0052285C"/>
    <w:rsid w:val="00522963"/>
    <w:rsid w:val="00522B9F"/>
    <w:rsid w:val="00522C1C"/>
    <w:rsid w:val="00522CBA"/>
    <w:rsid w:val="00522E0B"/>
    <w:rsid w:val="00522FE8"/>
    <w:rsid w:val="00523037"/>
    <w:rsid w:val="0052334E"/>
    <w:rsid w:val="005235A5"/>
    <w:rsid w:val="00523677"/>
    <w:rsid w:val="005239D4"/>
    <w:rsid w:val="00523A29"/>
    <w:rsid w:val="00523AFB"/>
    <w:rsid w:val="00523B8D"/>
    <w:rsid w:val="00523BCF"/>
    <w:rsid w:val="00523BF6"/>
    <w:rsid w:val="00523C28"/>
    <w:rsid w:val="00523D18"/>
    <w:rsid w:val="00523D2F"/>
    <w:rsid w:val="00523DC7"/>
    <w:rsid w:val="00523FA8"/>
    <w:rsid w:val="0052411F"/>
    <w:rsid w:val="00524236"/>
    <w:rsid w:val="00524435"/>
    <w:rsid w:val="005244C8"/>
    <w:rsid w:val="0052461B"/>
    <w:rsid w:val="0052478E"/>
    <w:rsid w:val="00524DF4"/>
    <w:rsid w:val="00524EAF"/>
    <w:rsid w:val="00524EFD"/>
    <w:rsid w:val="00524FE8"/>
    <w:rsid w:val="005250B1"/>
    <w:rsid w:val="005250D4"/>
    <w:rsid w:val="0052515F"/>
    <w:rsid w:val="005251AE"/>
    <w:rsid w:val="00525369"/>
    <w:rsid w:val="005255CE"/>
    <w:rsid w:val="005256C6"/>
    <w:rsid w:val="0052574F"/>
    <w:rsid w:val="005258EF"/>
    <w:rsid w:val="00525B1B"/>
    <w:rsid w:val="00525BE0"/>
    <w:rsid w:val="00525D61"/>
    <w:rsid w:val="00525D79"/>
    <w:rsid w:val="00525E0C"/>
    <w:rsid w:val="005261C8"/>
    <w:rsid w:val="005261EC"/>
    <w:rsid w:val="0052645C"/>
    <w:rsid w:val="0052646A"/>
    <w:rsid w:val="00526B51"/>
    <w:rsid w:val="00526E23"/>
    <w:rsid w:val="00526ED1"/>
    <w:rsid w:val="00526F60"/>
    <w:rsid w:val="00527047"/>
    <w:rsid w:val="0052705A"/>
    <w:rsid w:val="00527309"/>
    <w:rsid w:val="00527495"/>
    <w:rsid w:val="005276D7"/>
    <w:rsid w:val="005277B2"/>
    <w:rsid w:val="00527847"/>
    <w:rsid w:val="00527915"/>
    <w:rsid w:val="00527919"/>
    <w:rsid w:val="00527982"/>
    <w:rsid w:val="005279E8"/>
    <w:rsid w:val="00527AA2"/>
    <w:rsid w:val="00527B30"/>
    <w:rsid w:val="00527BCA"/>
    <w:rsid w:val="00527BE2"/>
    <w:rsid w:val="00527C7F"/>
    <w:rsid w:val="00527D21"/>
    <w:rsid w:val="00527F22"/>
    <w:rsid w:val="0053004C"/>
    <w:rsid w:val="00530098"/>
    <w:rsid w:val="0053013F"/>
    <w:rsid w:val="005303AD"/>
    <w:rsid w:val="00530422"/>
    <w:rsid w:val="005304D7"/>
    <w:rsid w:val="0053056C"/>
    <w:rsid w:val="005306CC"/>
    <w:rsid w:val="00530701"/>
    <w:rsid w:val="00530757"/>
    <w:rsid w:val="00530837"/>
    <w:rsid w:val="00530A65"/>
    <w:rsid w:val="00530A76"/>
    <w:rsid w:val="00530D42"/>
    <w:rsid w:val="00530E67"/>
    <w:rsid w:val="0053105D"/>
    <w:rsid w:val="00531862"/>
    <w:rsid w:val="005318A5"/>
    <w:rsid w:val="005319AC"/>
    <w:rsid w:val="00531A9C"/>
    <w:rsid w:val="00531B6C"/>
    <w:rsid w:val="00531BB5"/>
    <w:rsid w:val="00531BCF"/>
    <w:rsid w:val="00531D5B"/>
    <w:rsid w:val="00532026"/>
    <w:rsid w:val="005323DA"/>
    <w:rsid w:val="00532413"/>
    <w:rsid w:val="00532494"/>
    <w:rsid w:val="005324CA"/>
    <w:rsid w:val="0053257E"/>
    <w:rsid w:val="00532611"/>
    <w:rsid w:val="0053269D"/>
    <w:rsid w:val="005326DA"/>
    <w:rsid w:val="0053292C"/>
    <w:rsid w:val="00532A85"/>
    <w:rsid w:val="00532AB8"/>
    <w:rsid w:val="00532B33"/>
    <w:rsid w:val="00532B9E"/>
    <w:rsid w:val="00532B9F"/>
    <w:rsid w:val="00532BB5"/>
    <w:rsid w:val="00532E22"/>
    <w:rsid w:val="00532E82"/>
    <w:rsid w:val="00533084"/>
    <w:rsid w:val="0053313E"/>
    <w:rsid w:val="00533156"/>
    <w:rsid w:val="0053326F"/>
    <w:rsid w:val="0053336E"/>
    <w:rsid w:val="0053349F"/>
    <w:rsid w:val="00533527"/>
    <w:rsid w:val="00533549"/>
    <w:rsid w:val="0053364A"/>
    <w:rsid w:val="00533712"/>
    <w:rsid w:val="00533823"/>
    <w:rsid w:val="005339F7"/>
    <w:rsid w:val="00533C58"/>
    <w:rsid w:val="00533DCC"/>
    <w:rsid w:val="00533E21"/>
    <w:rsid w:val="005340FB"/>
    <w:rsid w:val="005343C8"/>
    <w:rsid w:val="005344F2"/>
    <w:rsid w:val="0053471B"/>
    <w:rsid w:val="0053489A"/>
    <w:rsid w:val="005348A9"/>
    <w:rsid w:val="00534CBD"/>
    <w:rsid w:val="00534EAE"/>
    <w:rsid w:val="0053504A"/>
    <w:rsid w:val="005350C7"/>
    <w:rsid w:val="0053518D"/>
    <w:rsid w:val="0053552A"/>
    <w:rsid w:val="0053574C"/>
    <w:rsid w:val="005357A4"/>
    <w:rsid w:val="0053583C"/>
    <w:rsid w:val="00535962"/>
    <w:rsid w:val="005359B0"/>
    <w:rsid w:val="005359B4"/>
    <w:rsid w:val="00535ABA"/>
    <w:rsid w:val="00535CEF"/>
    <w:rsid w:val="00535E54"/>
    <w:rsid w:val="00535E7F"/>
    <w:rsid w:val="00536194"/>
    <w:rsid w:val="005363B7"/>
    <w:rsid w:val="005363E6"/>
    <w:rsid w:val="005364CE"/>
    <w:rsid w:val="0053687D"/>
    <w:rsid w:val="005368DD"/>
    <w:rsid w:val="00536913"/>
    <w:rsid w:val="00536BC7"/>
    <w:rsid w:val="00536EB2"/>
    <w:rsid w:val="00536F7B"/>
    <w:rsid w:val="00536FDF"/>
    <w:rsid w:val="005370B1"/>
    <w:rsid w:val="005370F4"/>
    <w:rsid w:val="00537266"/>
    <w:rsid w:val="005373A1"/>
    <w:rsid w:val="005373AC"/>
    <w:rsid w:val="005373BB"/>
    <w:rsid w:val="005373EC"/>
    <w:rsid w:val="00537463"/>
    <w:rsid w:val="00537474"/>
    <w:rsid w:val="005375AF"/>
    <w:rsid w:val="005376CD"/>
    <w:rsid w:val="00537992"/>
    <w:rsid w:val="00537998"/>
    <w:rsid w:val="00537A8F"/>
    <w:rsid w:val="00537DB2"/>
    <w:rsid w:val="0054053F"/>
    <w:rsid w:val="00540575"/>
    <w:rsid w:val="005405A5"/>
    <w:rsid w:val="0054085E"/>
    <w:rsid w:val="00540864"/>
    <w:rsid w:val="00540A41"/>
    <w:rsid w:val="00540CB7"/>
    <w:rsid w:val="00540E46"/>
    <w:rsid w:val="00540E5A"/>
    <w:rsid w:val="00541304"/>
    <w:rsid w:val="005414E7"/>
    <w:rsid w:val="00541522"/>
    <w:rsid w:val="00541950"/>
    <w:rsid w:val="00541B41"/>
    <w:rsid w:val="00541FB2"/>
    <w:rsid w:val="00542172"/>
    <w:rsid w:val="005421DB"/>
    <w:rsid w:val="00542591"/>
    <w:rsid w:val="0054279D"/>
    <w:rsid w:val="005427B3"/>
    <w:rsid w:val="00542ABF"/>
    <w:rsid w:val="00542B0E"/>
    <w:rsid w:val="00542BAB"/>
    <w:rsid w:val="00542BF4"/>
    <w:rsid w:val="00542CF5"/>
    <w:rsid w:val="005430BF"/>
    <w:rsid w:val="005433A6"/>
    <w:rsid w:val="00543549"/>
    <w:rsid w:val="00543741"/>
    <w:rsid w:val="005439A4"/>
    <w:rsid w:val="00543A3D"/>
    <w:rsid w:val="00543BCC"/>
    <w:rsid w:val="00543CCA"/>
    <w:rsid w:val="00543E51"/>
    <w:rsid w:val="00543EB8"/>
    <w:rsid w:val="00544044"/>
    <w:rsid w:val="005448B0"/>
    <w:rsid w:val="00544910"/>
    <w:rsid w:val="00544B0A"/>
    <w:rsid w:val="00545272"/>
    <w:rsid w:val="005454BD"/>
    <w:rsid w:val="0054550E"/>
    <w:rsid w:val="0054578F"/>
    <w:rsid w:val="0054585D"/>
    <w:rsid w:val="00545AFB"/>
    <w:rsid w:val="00545E31"/>
    <w:rsid w:val="00545F69"/>
    <w:rsid w:val="00545FC9"/>
    <w:rsid w:val="00546159"/>
    <w:rsid w:val="0054656C"/>
    <w:rsid w:val="005468DE"/>
    <w:rsid w:val="0054692D"/>
    <w:rsid w:val="00546C70"/>
    <w:rsid w:val="00546C82"/>
    <w:rsid w:val="00546DBC"/>
    <w:rsid w:val="00546DDE"/>
    <w:rsid w:val="0054701D"/>
    <w:rsid w:val="00547115"/>
    <w:rsid w:val="00547158"/>
    <w:rsid w:val="005479C9"/>
    <w:rsid w:val="00547AA7"/>
    <w:rsid w:val="005501F2"/>
    <w:rsid w:val="00550225"/>
    <w:rsid w:val="00550414"/>
    <w:rsid w:val="00550588"/>
    <w:rsid w:val="005508A0"/>
    <w:rsid w:val="005508AB"/>
    <w:rsid w:val="00550909"/>
    <w:rsid w:val="00550A1A"/>
    <w:rsid w:val="00550C69"/>
    <w:rsid w:val="00550D2F"/>
    <w:rsid w:val="00550DDF"/>
    <w:rsid w:val="0055116F"/>
    <w:rsid w:val="005511CB"/>
    <w:rsid w:val="005514AA"/>
    <w:rsid w:val="0055153C"/>
    <w:rsid w:val="00551569"/>
    <w:rsid w:val="005515C0"/>
    <w:rsid w:val="005515FE"/>
    <w:rsid w:val="00551629"/>
    <w:rsid w:val="00551819"/>
    <w:rsid w:val="00551992"/>
    <w:rsid w:val="00551A31"/>
    <w:rsid w:val="00551D68"/>
    <w:rsid w:val="00551ED0"/>
    <w:rsid w:val="00552242"/>
    <w:rsid w:val="005523CF"/>
    <w:rsid w:val="005526F5"/>
    <w:rsid w:val="00552714"/>
    <w:rsid w:val="005529A8"/>
    <w:rsid w:val="005529D2"/>
    <w:rsid w:val="00552C17"/>
    <w:rsid w:val="00552E87"/>
    <w:rsid w:val="00552F0A"/>
    <w:rsid w:val="0055303F"/>
    <w:rsid w:val="00553193"/>
    <w:rsid w:val="0055327B"/>
    <w:rsid w:val="0055333A"/>
    <w:rsid w:val="0055343A"/>
    <w:rsid w:val="005534E8"/>
    <w:rsid w:val="0055379D"/>
    <w:rsid w:val="00553A56"/>
    <w:rsid w:val="00553B58"/>
    <w:rsid w:val="00553C1B"/>
    <w:rsid w:val="00553CDE"/>
    <w:rsid w:val="00553D52"/>
    <w:rsid w:val="00553D6C"/>
    <w:rsid w:val="005541DD"/>
    <w:rsid w:val="005542B2"/>
    <w:rsid w:val="00554735"/>
    <w:rsid w:val="00554976"/>
    <w:rsid w:val="00554AC2"/>
    <w:rsid w:val="00554B59"/>
    <w:rsid w:val="00554EBB"/>
    <w:rsid w:val="00554ED4"/>
    <w:rsid w:val="00554F36"/>
    <w:rsid w:val="00555069"/>
    <w:rsid w:val="005550DB"/>
    <w:rsid w:val="005551A8"/>
    <w:rsid w:val="005551EF"/>
    <w:rsid w:val="0055547E"/>
    <w:rsid w:val="0055551F"/>
    <w:rsid w:val="00555772"/>
    <w:rsid w:val="00555789"/>
    <w:rsid w:val="0055584F"/>
    <w:rsid w:val="00555940"/>
    <w:rsid w:val="00555947"/>
    <w:rsid w:val="00555AA9"/>
    <w:rsid w:val="00555B88"/>
    <w:rsid w:val="00555CC8"/>
    <w:rsid w:val="00555D7C"/>
    <w:rsid w:val="005561CC"/>
    <w:rsid w:val="00556251"/>
    <w:rsid w:val="00556BA4"/>
    <w:rsid w:val="00556CBD"/>
    <w:rsid w:val="00556E49"/>
    <w:rsid w:val="00556E6C"/>
    <w:rsid w:val="00556EAF"/>
    <w:rsid w:val="00556FCE"/>
    <w:rsid w:val="005572EF"/>
    <w:rsid w:val="005574B7"/>
    <w:rsid w:val="0055758D"/>
    <w:rsid w:val="0055767C"/>
    <w:rsid w:val="00557693"/>
    <w:rsid w:val="005576FC"/>
    <w:rsid w:val="00557C5E"/>
    <w:rsid w:val="00557EF9"/>
    <w:rsid w:val="005602D2"/>
    <w:rsid w:val="00560566"/>
    <w:rsid w:val="005606DE"/>
    <w:rsid w:val="005606E9"/>
    <w:rsid w:val="00560706"/>
    <w:rsid w:val="00560AF3"/>
    <w:rsid w:val="00560AF4"/>
    <w:rsid w:val="00560DF3"/>
    <w:rsid w:val="00560F65"/>
    <w:rsid w:val="005610B1"/>
    <w:rsid w:val="00561401"/>
    <w:rsid w:val="005616FE"/>
    <w:rsid w:val="00561893"/>
    <w:rsid w:val="005618E6"/>
    <w:rsid w:val="00561B58"/>
    <w:rsid w:val="00561C71"/>
    <w:rsid w:val="00561D05"/>
    <w:rsid w:val="00561EB8"/>
    <w:rsid w:val="00561F43"/>
    <w:rsid w:val="0056214C"/>
    <w:rsid w:val="005621FA"/>
    <w:rsid w:val="00562390"/>
    <w:rsid w:val="005623BB"/>
    <w:rsid w:val="005625AC"/>
    <w:rsid w:val="00562664"/>
    <w:rsid w:val="005626B5"/>
    <w:rsid w:val="00562964"/>
    <w:rsid w:val="00562B22"/>
    <w:rsid w:val="00562BAD"/>
    <w:rsid w:val="00562D21"/>
    <w:rsid w:val="00562D87"/>
    <w:rsid w:val="00562D93"/>
    <w:rsid w:val="00562E4F"/>
    <w:rsid w:val="005630FD"/>
    <w:rsid w:val="00563109"/>
    <w:rsid w:val="00563301"/>
    <w:rsid w:val="0056334E"/>
    <w:rsid w:val="00563453"/>
    <w:rsid w:val="00563681"/>
    <w:rsid w:val="00563AF6"/>
    <w:rsid w:val="00563B22"/>
    <w:rsid w:val="00563B40"/>
    <w:rsid w:val="00563EFE"/>
    <w:rsid w:val="00564074"/>
    <w:rsid w:val="0056408C"/>
    <w:rsid w:val="00564490"/>
    <w:rsid w:val="0056468B"/>
    <w:rsid w:val="0056489E"/>
    <w:rsid w:val="00564926"/>
    <w:rsid w:val="0056493B"/>
    <w:rsid w:val="00564F7F"/>
    <w:rsid w:val="00564FF0"/>
    <w:rsid w:val="005655EB"/>
    <w:rsid w:val="00565947"/>
    <w:rsid w:val="00565A77"/>
    <w:rsid w:val="00565B4B"/>
    <w:rsid w:val="00565E1E"/>
    <w:rsid w:val="00565F4A"/>
    <w:rsid w:val="00565F86"/>
    <w:rsid w:val="00566038"/>
    <w:rsid w:val="005661A8"/>
    <w:rsid w:val="005661D4"/>
    <w:rsid w:val="00566339"/>
    <w:rsid w:val="005663E3"/>
    <w:rsid w:val="0056647A"/>
    <w:rsid w:val="005664EA"/>
    <w:rsid w:val="005664F5"/>
    <w:rsid w:val="005666C5"/>
    <w:rsid w:val="00566794"/>
    <w:rsid w:val="005668B5"/>
    <w:rsid w:val="00566971"/>
    <w:rsid w:val="00566A3B"/>
    <w:rsid w:val="00566C4A"/>
    <w:rsid w:val="00566D40"/>
    <w:rsid w:val="00566FF4"/>
    <w:rsid w:val="00567047"/>
    <w:rsid w:val="005670B7"/>
    <w:rsid w:val="005670EB"/>
    <w:rsid w:val="00567355"/>
    <w:rsid w:val="0056759F"/>
    <w:rsid w:val="005675BE"/>
    <w:rsid w:val="0056763A"/>
    <w:rsid w:val="005679ED"/>
    <w:rsid w:val="00567AB9"/>
    <w:rsid w:val="00567ACB"/>
    <w:rsid w:val="00567EE2"/>
    <w:rsid w:val="00567FED"/>
    <w:rsid w:val="00570141"/>
    <w:rsid w:val="005703B3"/>
    <w:rsid w:val="005703DE"/>
    <w:rsid w:val="0057040F"/>
    <w:rsid w:val="0057052D"/>
    <w:rsid w:val="00570538"/>
    <w:rsid w:val="00570555"/>
    <w:rsid w:val="00570780"/>
    <w:rsid w:val="005708E8"/>
    <w:rsid w:val="00570A12"/>
    <w:rsid w:val="00570AFD"/>
    <w:rsid w:val="00571024"/>
    <w:rsid w:val="00571069"/>
    <w:rsid w:val="005710D7"/>
    <w:rsid w:val="005711C8"/>
    <w:rsid w:val="0057122A"/>
    <w:rsid w:val="00571234"/>
    <w:rsid w:val="0057147E"/>
    <w:rsid w:val="0057153A"/>
    <w:rsid w:val="00571696"/>
    <w:rsid w:val="00571842"/>
    <w:rsid w:val="00571850"/>
    <w:rsid w:val="0057186D"/>
    <w:rsid w:val="00571892"/>
    <w:rsid w:val="00571C99"/>
    <w:rsid w:val="00571D74"/>
    <w:rsid w:val="00572966"/>
    <w:rsid w:val="005729E0"/>
    <w:rsid w:val="00572A5F"/>
    <w:rsid w:val="00572C98"/>
    <w:rsid w:val="00572DAC"/>
    <w:rsid w:val="00572EBF"/>
    <w:rsid w:val="005730BE"/>
    <w:rsid w:val="005731B4"/>
    <w:rsid w:val="005732C4"/>
    <w:rsid w:val="00573308"/>
    <w:rsid w:val="00573508"/>
    <w:rsid w:val="005735DF"/>
    <w:rsid w:val="00573687"/>
    <w:rsid w:val="005736DD"/>
    <w:rsid w:val="005736FE"/>
    <w:rsid w:val="005738EE"/>
    <w:rsid w:val="005739F0"/>
    <w:rsid w:val="00573A52"/>
    <w:rsid w:val="00573A93"/>
    <w:rsid w:val="00573A9A"/>
    <w:rsid w:val="00573C24"/>
    <w:rsid w:val="00573C99"/>
    <w:rsid w:val="00573CC7"/>
    <w:rsid w:val="005740D7"/>
    <w:rsid w:val="00574158"/>
    <w:rsid w:val="00574249"/>
    <w:rsid w:val="005746BB"/>
    <w:rsid w:val="005747C1"/>
    <w:rsid w:val="00574ABA"/>
    <w:rsid w:val="00574AC0"/>
    <w:rsid w:val="00574B47"/>
    <w:rsid w:val="00574DAC"/>
    <w:rsid w:val="00574DC2"/>
    <w:rsid w:val="00574EC4"/>
    <w:rsid w:val="00574F2A"/>
    <w:rsid w:val="00574F3A"/>
    <w:rsid w:val="00574F4F"/>
    <w:rsid w:val="00574F58"/>
    <w:rsid w:val="005751C8"/>
    <w:rsid w:val="005751D7"/>
    <w:rsid w:val="00575212"/>
    <w:rsid w:val="005753C6"/>
    <w:rsid w:val="00575485"/>
    <w:rsid w:val="00575686"/>
    <w:rsid w:val="005756CC"/>
    <w:rsid w:val="005756DE"/>
    <w:rsid w:val="00575709"/>
    <w:rsid w:val="0057579A"/>
    <w:rsid w:val="005759A9"/>
    <w:rsid w:val="00575B07"/>
    <w:rsid w:val="00575BDD"/>
    <w:rsid w:val="00575DB3"/>
    <w:rsid w:val="00575E06"/>
    <w:rsid w:val="0057644C"/>
    <w:rsid w:val="00576859"/>
    <w:rsid w:val="005769C6"/>
    <w:rsid w:val="00576A46"/>
    <w:rsid w:val="00576F79"/>
    <w:rsid w:val="0057704B"/>
    <w:rsid w:val="005770BD"/>
    <w:rsid w:val="00577110"/>
    <w:rsid w:val="005775B1"/>
    <w:rsid w:val="005775F7"/>
    <w:rsid w:val="00577679"/>
    <w:rsid w:val="00577782"/>
    <w:rsid w:val="005777B7"/>
    <w:rsid w:val="005778C8"/>
    <w:rsid w:val="00577A75"/>
    <w:rsid w:val="00577AA6"/>
    <w:rsid w:val="00577B8E"/>
    <w:rsid w:val="00577BFD"/>
    <w:rsid w:val="00580081"/>
    <w:rsid w:val="00580118"/>
    <w:rsid w:val="005801EA"/>
    <w:rsid w:val="0058035F"/>
    <w:rsid w:val="00580442"/>
    <w:rsid w:val="00580479"/>
    <w:rsid w:val="005804F4"/>
    <w:rsid w:val="00580521"/>
    <w:rsid w:val="005807BC"/>
    <w:rsid w:val="00580B00"/>
    <w:rsid w:val="00580DDA"/>
    <w:rsid w:val="00580E25"/>
    <w:rsid w:val="00580E78"/>
    <w:rsid w:val="00580F60"/>
    <w:rsid w:val="00581061"/>
    <w:rsid w:val="00581064"/>
    <w:rsid w:val="00581104"/>
    <w:rsid w:val="0058116C"/>
    <w:rsid w:val="0058144F"/>
    <w:rsid w:val="005815BE"/>
    <w:rsid w:val="00581939"/>
    <w:rsid w:val="005819EA"/>
    <w:rsid w:val="00581AAC"/>
    <w:rsid w:val="00581C2E"/>
    <w:rsid w:val="00581CBC"/>
    <w:rsid w:val="00581E88"/>
    <w:rsid w:val="00581F82"/>
    <w:rsid w:val="00581FA3"/>
    <w:rsid w:val="005821EF"/>
    <w:rsid w:val="00582412"/>
    <w:rsid w:val="0058249D"/>
    <w:rsid w:val="00582632"/>
    <w:rsid w:val="0058284A"/>
    <w:rsid w:val="00582859"/>
    <w:rsid w:val="00582A58"/>
    <w:rsid w:val="00582B39"/>
    <w:rsid w:val="00582EEC"/>
    <w:rsid w:val="00582FE1"/>
    <w:rsid w:val="00582FEE"/>
    <w:rsid w:val="0058301B"/>
    <w:rsid w:val="005830E8"/>
    <w:rsid w:val="00583111"/>
    <w:rsid w:val="005831AE"/>
    <w:rsid w:val="005833D8"/>
    <w:rsid w:val="00583446"/>
    <w:rsid w:val="0058359F"/>
    <w:rsid w:val="005839F9"/>
    <w:rsid w:val="00583BC9"/>
    <w:rsid w:val="00583BF9"/>
    <w:rsid w:val="00583C2C"/>
    <w:rsid w:val="00583D65"/>
    <w:rsid w:val="00583DDD"/>
    <w:rsid w:val="00583E2D"/>
    <w:rsid w:val="00583E6F"/>
    <w:rsid w:val="00583FDD"/>
    <w:rsid w:val="00584172"/>
    <w:rsid w:val="005842E8"/>
    <w:rsid w:val="005842EF"/>
    <w:rsid w:val="005846C6"/>
    <w:rsid w:val="005848FE"/>
    <w:rsid w:val="00584BD5"/>
    <w:rsid w:val="00584CEA"/>
    <w:rsid w:val="00584D3F"/>
    <w:rsid w:val="00584E7E"/>
    <w:rsid w:val="0058500F"/>
    <w:rsid w:val="0058509B"/>
    <w:rsid w:val="00585174"/>
    <w:rsid w:val="005851C6"/>
    <w:rsid w:val="005852A6"/>
    <w:rsid w:val="00585345"/>
    <w:rsid w:val="00585440"/>
    <w:rsid w:val="0058550E"/>
    <w:rsid w:val="00585522"/>
    <w:rsid w:val="0058571C"/>
    <w:rsid w:val="005857E2"/>
    <w:rsid w:val="00585CEA"/>
    <w:rsid w:val="00585E3B"/>
    <w:rsid w:val="00585F6E"/>
    <w:rsid w:val="0058613A"/>
    <w:rsid w:val="00586209"/>
    <w:rsid w:val="00586393"/>
    <w:rsid w:val="00586411"/>
    <w:rsid w:val="0058681D"/>
    <w:rsid w:val="00586C89"/>
    <w:rsid w:val="00586EC2"/>
    <w:rsid w:val="00586F4A"/>
    <w:rsid w:val="005879E6"/>
    <w:rsid w:val="00587CEC"/>
    <w:rsid w:val="0059000D"/>
    <w:rsid w:val="0059013D"/>
    <w:rsid w:val="00590445"/>
    <w:rsid w:val="005904F3"/>
    <w:rsid w:val="0059079E"/>
    <w:rsid w:val="005907AD"/>
    <w:rsid w:val="00590A5B"/>
    <w:rsid w:val="00590B5D"/>
    <w:rsid w:val="00590D9F"/>
    <w:rsid w:val="00591384"/>
    <w:rsid w:val="0059159C"/>
    <w:rsid w:val="00591703"/>
    <w:rsid w:val="00591A36"/>
    <w:rsid w:val="00591DEC"/>
    <w:rsid w:val="00591E55"/>
    <w:rsid w:val="00591EB3"/>
    <w:rsid w:val="005920F6"/>
    <w:rsid w:val="005923A7"/>
    <w:rsid w:val="0059261C"/>
    <w:rsid w:val="0059294A"/>
    <w:rsid w:val="005929A6"/>
    <w:rsid w:val="00592A05"/>
    <w:rsid w:val="00592A1A"/>
    <w:rsid w:val="00592BC0"/>
    <w:rsid w:val="00592BC2"/>
    <w:rsid w:val="00592CBD"/>
    <w:rsid w:val="00592E08"/>
    <w:rsid w:val="00593243"/>
    <w:rsid w:val="00593367"/>
    <w:rsid w:val="005934BE"/>
    <w:rsid w:val="005936AC"/>
    <w:rsid w:val="00593D28"/>
    <w:rsid w:val="0059409C"/>
    <w:rsid w:val="005940A9"/>
    <w:rsid w:val="00594172"/>
    <w:rsid w:val="005943F9"/>
    <w:rsid w:val="00594585"/>
    <w:rsid w:val="005945C4"/>
    <w:rsid w:val="0059465A"/>
    <w:rsid w:val="00594921"/>
    <w:rsid w:val="00594A2B"/>
    <w:rsid w:val="00594B1E"/>
    <w:rsid w:val="00594D03"/>
    <w:rsid w:val="00594E72"/>
    <w:rsid w:val="00595088"/>
    <w:rsid w:val="005950EA"/>
    <w:rsid w:val="0059538E"/>
    <w:rsid w:val="005955E7"/>
    <w:rsid w:val="005957BE"/>
    <w:rsid w:val="005958DD"/>
    <w:rsid w:val="005958FD"/>
    <w:rsid w:val="0059592E"/>
    <w:rsid w:val="00595993"/>
    <w:rsid w:val="005959FE"/>
    <w:rsid w:val="00595B2E"/>
    <w:rsid w:val="00595CAC"/>
    <w:rsid w:val="00596128"/>
    <w:rsid w:val="005963ED"/>
    <w:rsid w:val="005965E3"/>
    <w:rsid w:val="0059668D"/>
    <w:rsid w:val="005967B4"/>
    <w:rsid w:val="00596C94"/>
    <w:rsid w:val="00596CE8"/>
    <w:rsid w:val="00596E1F"/>
    <w:rsid w:val="005971CF"/>
    <w:rsid w:val="005972DD"/>
    <w:rsid w:val="0059736F"/>
    <w:rsid w:val="005976CD"/>
    <w:rsid w:val="00597746"/>
    <w:rsid w:val="00597830"/>
    <w:rsid w:val="00597A2F"/>
    <w:rsid w:val="00597ADE"/>
    <w:rsid w:val="00597BD0"/>
    <w:rsid w:val="00597C59"/>
    <w:rsid w:val="00597DC4"/>
    <w:rsid w:val="00597F0E"/>
    <w:rsid w:val="005A01D9"/>
    <w:rsid w:val="005A01F7"/>
    <w:rsid w:val="005A0210"/>
    <w:rsid w:val="005A036D"/>
    <w:rsid w:val="005A04D5"/>
    <w:rsid w:val="005A054E"/>
    <w:rsid w:val="005A0793"/>
    <w:rsid w:val="005A0975"/>
    <w:rsid w:val="005A0C43"/>
    <w:rsid w:val="005A0DDD"/>
    <w:rsid w:val="005A0E01"/>
    <w:rsid w:val="005A0EB1"/>
    <w:rsid w:val="005A1129"/>
    <w:rsid w:val="005A12EE"/>
    <w:rsid w:val="005A15F2"/>
    <w:rsid w:val="005A15FB"/>
    <w:rsid w:val="005A1688"/>
    <w:rsid w:val="005A1902"/>
    <w:rsid w:val="005A195A"/>
    <w:rsid w:val="005A19EE"/>
    <w:rsid w:val="005A1AB1"/>
    <w:rsid w:val="005A1BF1"/>
    <w:rsid w:val="005A1C82"/>
    <w:rsid w:val="005A1EFD"/>
    <w:rsid w:val="005A2004"/>
    <w:rsid w:val="005A2182"/>
    <w:rsid w:val="005A2192"/>
    <w:rsid w:val="005A22BC"/>
    <w:rsid w:val="005A2612"/>
    <w:rsid w:val="005A263A"/>
    <w:rsid w:val="005A26D1"/>
    <w:rsid w:val="005A2B2B"/>
    <w:rsid w:val="005A2B59"/>
    <w:rsid w:val="005A2B97"/>
    <w:rsid w:val="005A30D7"/>
    <w:rsid w:val="005A32ED"/>
    <w:rsid w:val="005A331D"/>
    <w:rsid w:val="005A3381"/>
    <w:rsid w:val="005A3490"/>
    <w:rsid w:val="005A356D"/>
    <w:rsid w:val="005A3664"/>
    <w:rsid w:val="005A3688"/>
    <w:rsid w:val="005A382D"/>
    <w:rsid w:val="005A3A72"/>
    <w:rsid w:val="005A3E03"/>
    <w:rsid w:val="005A3F57"/>
    <w:rsid w:val="005A4028"/>
    <w:rsid w:val="005A40D0"/>
    <w:rsid w:val="005A4490"/>
    <w:rsid w:val="005A45C9"/>
    <w:rsid w:val="005A472A"/>
    <w:rsid w:val="005A47DE"/>
    <w:rsid w:val="005A47F6"/>
    <w:rsid w:val="005A493A"/>
    <w:rsid w:val="005A4A68"/>
    <w:rsid w:val="005A4AB8"/>
    <w:rsid w:val="005A4CD3"/>
    <w:rsid w:val="005A4E10"/>
    <w:rsid w:val="005A4EB7"/>
    <w:rsid w:val="005A5107"/>
    <w:rsid w:val="005A51E5"/>
    <w:rsid w:val="005A5200"/>
    <w:rsid w:val="005A58F4"/>
    <w:rsid w:val="005A593A"/>
    <w:rsid w:val="005A5B8F"/>
    <w:rsid w:val="005A653B"/>
    <w:rsid w:val="005A67E7"/>
    <w:rsid w:val="005A6A7B"/>
    <w:rsid w:val="005A6B38"/>
    <w:rsid w:val="005A713F"/>
    <w:rsid w:val="005A71B4"/>
    <w:rsid w:val="005A73C1"/>
    <w:rsid w:val="005A7409"/>
    <w:rsid w:val="005A7516"/>
    <w:rsid w:val="005A75AD"/>
    <w:rsid w:val="005A76F4"/>
    <w:rsid w:val="005A7721"/>
    <w:rsid w:val="005A776A"/>
    <w:rsid w:val="005A7BA6"/>
    <w:rsid w:val="005A7D30"/>
    <w:rsid w:val="005A7E00"/>
    <w:rsid w:val="005B024C"/>
    <w:rsid w:val="005B0490"/>
    <w:rsid w:val="005B07CA"/>
    <w:rsid w:val="005B09AE"/>
    <w:rsid w:val="005B0C87"/>
    <w:rsid w:val="005B0D4E"/>
    <w:rsid w:val="005B0F2B"/>
    <w:rsid w:val="005B0FE5"/>
    <w:rsid w:val="005B1046"/>
    <w:rsid w:val="005B1103"/>
    <w:rsid w:val="005B1126"/>
    <w:rsid w:val="005B1215"/>
    <w:rsid w:val="005B1319"/>
    <w:rsid w:val="005B15A8"/>
    <w:rsid w:val="005B15D1"/>
    <w:rsid w:val="005B18DC"/>
    <w:rsid w:val="005B1A23"/>
    <w:rsid w:val="005B1A50"/>
    <w:rsid w:val="005B1ADF"/>
    <w:rsid w:val="005B1D96"/>
    <w:rsid w:val="005B2134"/>
    <w:rsid w:val="005B21D3"/>
    <w:rsid w:val="005B227D"/>
    <w:rsid w:val="005B2339"/>
    <w:rsid w:val="005B2553"/>
    <w:rsid w:val="005B25F3"/>
    <w:rsid w:val="005B2613"/>
    <w:rsid w:val="005B2674"/>
    <w:rsid w:val="005B26F6"/>
    <w:rsid w:val="005B27F8"/>
    <w:rsid w:val="005B2A0C"/>
    <w:rsid w:val="005B2F88"/>
    <w:rsid w:val="005B30F2"/>
    <w:rsid w:val="005B30F6"/>
    <w:rsid w:val="005B310B"/>
    <w:rsid w:val="005B3128"/>
    <w:rsid w:val="005B3194"/>
    <w:rsid w:val="005B31C1"/>
    <w:rsid w:val="005B31ED"/>
    <w:rsid w:val="005B344A"/>
    <w:rsid w:val="005B34FF"/>
    <w:rsid w:val="005B3554"/>
    <w:rsid w:val="005B364D"/>
    <w:rsid w:val="005B37F9"/>
    <w:rsid w:val="005B3888"/>
    <w:rsid w:val="005B39B2"/>
    <w:rsid w:val="005B39F4"/>
    <w:rsid w:val="005B3A3C"/>
    <w:rsid w:val="005B3A4D"/>
    <w:rsid w:val="005B3B21"/>
    <w:rsid w:val="005B3F5E"/>
    <w:rsid w:val="005B4227"/>
    <w:rsid w:val="005B427E"/>
    <w:rsid w:val="005B4398"/>
    <w:rsid w:val="005B43BE"/>
    <w:rsid w:val="005B44D9"/>
    <w:rsid w:val="005B48D6"/>
    <w:rsid w:val="005B4956"/>
    <w:rsid w:val="005B4999"/>
    <w:rsid w:val="005B4CA7"/>
    <w:rsid w:val="005B4D9D"/>
    <w:rsid w:val="005B4D9F"/>
    <w:rsid w:val="005B4DBF"/>
    <w:rsid w:val="005B4DF2"/>
    <w:rsid w:val="005B4F67"/>
    <w:rsid w:val="005B4F7C"/>
    <w:rsid w:val="005B53EE"/>
    <w:rsid w:val="005B5421"/>
    <w:rsid w:val="005B54D4"/>
    <w:rsid w:val="005B552C"/>
    <w:rsid w:val="005B5597"/>
    <w:rsid w:val="005B5741"/>
    <w:rsid w:val="005B5782"/>
    <w:rsid w:val="005B586C"/>
    <w:rsid w:val="005B5BC1"/>
    <w:rsid w:val="005B5BE2"/>
    <w:rsid w:val="005B5DE5"/>
    <w:rsid w:val="005B5DFE"/>
    <w:rsid w:val="005B5ECF"/>
    <w:rsid w:val="005B5EE1"/>
    <w:rsid w:val="005B607C"/>
    <w:rsid w:val="005B610D"/>
    <w:rsid w:val="005B6133"/>
    <w:rsid w:val="005B641C"/>
    <w:rsid w:val="005B652A"/>
    <w:rsid w:val="005B6630"/>
    <w:rsid w:val="005B6632"/>
    <w:rsid w:val="005B671D"/>
    <w:rsid w:val="005B6902"/>
    <w:rsid w:val="005B6A4D"/>
    <w:rsid w:val="005B6B78"/>
    <w:rsid w:val="005B6C93"/>
    <w:rsid w:val="005B6EBD"/>
    <w:rsid w:val="005B6F02"/>
    <w:rsid w:val="005B6FCD"/>
    <w:rsid w:val="005B712D"/>
    <w:rsid w:val="005B73CD"/>
    <w:rsid w:val="005B761B"/>
    <w:rsid w:val="005B7A1F"/>
    <w:rsid w:val="005B7C3B"/>
    <w:rsid w:val="005B7D14"/>
    <w:rsid w:val="005B7DF3"/>
    <w:rsid w:val="005C00A7"/>
    <w:rsid w:val="005C0151"/>
    <w:rsid w:val="005C0210"/>
    <w:rsid w:val="005C0227"/>
    <w:rsid w:val="005C059F"/>
    <w:rsid w:val="005C0823"/>
    <w:rsid w:val="005C08A9"/>
    <w:rsid w:val="005C096C"/>
    <w:rsid w:val="005C0EFD"/>
    <w:rsid w:val="005C103A"/>
    <w:rsid w:val="005C104C"/>
    <w:rsid w:val="005C145B"/>
    <w:rsid w:val="005C1802"/>
    <w:rsid w:val="005C1982"/>
    <w:rsid w:val="005C1C22"/>
    <w:rsid w:val="005C1C33"/>
    <w:rsid w:val="005C1DA6"/>
    <w:rsid w:val="005C1E70"/>
    <w:rsid w:val="005C1F98"/>
    <w:rsid w:val="005C217E"/>
    <w:rsid w:val="005C22D3"/>
    <w:rsid w:val="005C2544"/>
    <w:rsid w:val="005C2615"/>
    <w:rsid w:val="005C2797"/>
    <w:rsid w:val="005C279F"/>
    <w:rsid w:val="005C27CB"/>
    <w:rsid w:val="005C2947"/>
    <w:rsid w:val="005C2AEC"/>
    <w:rsid w:val="005C2BBD"/>
    <w:rsid w:val="005C2E92"/>
    <w:rsid w:val="005C2EEC"/>
    <w:rsid w:val="005C2F42"/>
    <w:rsid w:val="005C30DB"/>
    <w:rsid w:val="005C3255"/>
    <w:rsid w:val="005C3556"/>
    <w:rsid w:val="005C36B9"/>
    <w:rsid w:val="005C37C5"/>
    <w:rsid w:val="005C38DD"/>
    <w:rsid w:val="005C39F8"/>
    <w:rsid w:val="005C3ABE"/>
    <w:rsid w:val="005C3B24"/>
    <w:rsid w:val="005C3E87"/>
    <w:rsid w:val="005C3FB3"/>
    <w:rsid w:val="005C3FC7"/>
    <w:rsid w:val="005C4029"/>
    <w:rsid w:val="005C4070"/>
    <w:rsid w:val="005C4085"/>
    <w:rsid w:val="005C4322"/>
    <w:rsid w:val="005C43C8"/>
    <w:rsid w:val="005C444D"/>
    <w:rsid w:val="005C453D"/>
    <w:rsid w:val="005C470E"/>
    <w:rsid w:val="005C4966"/>
    <w:rsid w:val="005C4A47"/>
    <w:rsid w:val="005C4A53"/>
    <w:rsid w:val="005C4AD5"/>
    <w:rsid w:val="005C4C23"/>
    <w:rsid w:val="005C4C94"/>
    <w:rsid w:val="005C4F0A"/>
    <w:rsid w:val="005C50A0"/>
    <w:rsid w:val="005C50AA"/>
    <w:rsid w:val="005C51B5"/>
    <w:rsid w:val="005C5226"/>
    <w:rsid w:val="005C5350"/>
    <w:rsid w:val="005C5637"/>
    <w:rsid w:val="005C5657"/>
    <w:rsid w:val="005C5B1C"/>
    <w:rsid w:val="005C5B80"/>
    <w:rsid w:val="005C5BCE"/>
    <w:rsid w:val="005C5CB9"/>
    <w:rsid w:val="005C5D0F"/>
    <w:rsid w:val="005C5F91"/>
    <w:rsid w:val="005C610E"/>
    <w:rsid w:val="005C6313"/>
    <w:rsid w:val="005C66B1"/>
    <w:rsid w:val="005C6806"/>
    <w:rsid w:val="005C6A4C"/>
    <w:rsid w:val="005C6BB0"/>
    <w:rsid w:val="005C6D58"/>
    <w:rsid w:val="005C6D72"/>
    <w:rsid w:val="005C7194"/>
    <w:rsid w:val="005C738E"/>
    <w:rsid w:val="005C73CC"/>
    <w:rsid w:val="005C7501"/>
    <w:rsid w:val="005C754B"/>
    <w:rsid w:val="005C763A"/>
    <w:rsid w:val="005C76BF"/>
    <w:rsid w:val="005C775A"/>
    <w:rsid w:val="005C7972"/>
    <w:rsid w:val="005C7BEA"/>
    <w:rsid w:val="005C7C16"/>
    <w:rsid w:val="005D00AD"/>
    <w:rsid w:val="005D08AB"/>
    <w:rsid w:val="005D0A02"/>
    <w:rsid w:val="005D0DA3"/>
    <w:rsid w:val="005D1007"/>
    <w:rsid w:val="005D129D"/>
    <w:rsid w:val="005D12FD"/>
    <w:rsid w:val="005D13B6"/>
    <w:rsid w:val="005D16F6"/>
    <w:rsid w:val="005D18E6"/>
    <w:rsid w:val="005D19E8"/>
    <w:rsid w:val="005D1B63"/>
    <w:rsid w:val="005D1BF8"/>
    <w:rsid w:val="005D1D6F"/>
    <w:rsid w:val="005D1E0F"/>
    <w:rsid w:val="005D1F99"/>
    <w:rsid w:val="005D1FCD"/>
    <w:rsid w:val="005D2109"/>
    <w:rsid w:val="005D21F7"/>
    <w:rsid w:val="005D22D9"/>
    <w:rsid w:val="005D251C"/>
    <w:rsid w:val="005D2576"/>
    <w:rsid w:val="005D2591"/>
    <w:rsid w:val="005D25CF"/>
    <w:rsid w:val="005D28F9"/>
    <w:rsid w:val="005D2921"/>
    <w:rsid w:val="005D2953"/>
    <w:rsid w:val="005D2A8F"/>
    <w:rsid w:val="005D2AA6"/>
    <w:rsid w:val="005D2BAE"/>
    <w:rsid w:val="005D2D70"/>
    <w:rsid w:val="005D2E08"/>
    <w:rsid w:val="005D303B"/>
    <w:rsid w:val="005D3418"/>
    <w:rsid w:val="005D3515"/>
    <w:rsid w:val="005D35A2"/>
    <w:rsid w:val="005D35FC"/>
    <w:rsid w:val="005D36B6"/>
    <w:rsid w:val="005D3DBF"/>
    <w:rsid w:val="005D3E17"/>
    <w:rsid w:val="005D40F5"/>
    <w:rsid w:val="005D4307"/>
    <w:rsid w:val="005D4384"/>
    <w:rsid w:val="005D4671"/>
    <w:rsid w:val="005D467C"/>
    <w:rsid w:val="005D4790"/>
    <w:rsid w:val="005D486D"/>
    <w:rsid w:val="005D4B80"/>
    <w:rsid w:val="005D4BAE"/>
    <w:rsid w:val="005D4C48"/>
    <w:rsid w:val="005D4E62"/>
    <w:rsid w:val="005D516B"/>
    <w:rsid w:val="005D51C0"/>
    <w:rsid w:val="005D5564"/>
    <w:rsid w:val="005D57BA"/>
    <w:rsid w:val="005D59B0"/>
    <w:rsid w:val="005D5A78"/>
    <w:rsid w:val="005D5D79"/>
    <w:rsid w:val="005D601E"/>
    <w:rsid w:val="005D61B4"/>
    <w:rsid w:val="005D6214"/>
    <w:rsid w:val="005D62CB"/>
    <w:rsid w:val="005D6966"/>
    <w:rsid w:val="005D6A5D"/>
    <w:rsid w:val="005D6B82"/>
    <w:rsid w:val="005D6CBB"/>
    <w:rsid w:val="005D6D3F"/>
    <w:rsid w:val="005D6E8C"/>
    <w:rsid w:val="005D6EE1"/>
    <w:rsid w:val="005D758F"/>
    <w:rsid w:val="005D76A9"/>
    <w:rsid w:val="005D78C3"/>
    <w:rsid w:val="005D7A07"/>
    <w:rsid w:val="005D7B9B"/>
    <w:rsid w:val="005D7C2E"/>
    <w:rsid w:val="005D7CB0"/>
    <w:rsid w:val="005D7F21"/>
    <w:rsid w:val="005E035E"/>
    <w:rsid w:val="005E03EE"/>
    <w:rsid w:val="005E040A"/>
    <w:rsid w:val="005E04E5"/>
    <w:rsid w:val="005E04FD"/>
    <w:rsid w:val="005E05B0"/>
    <w:rsid w:val="005E05BC"/>
    <w:rsid w:val="005E0642"/>
    <w:rsid w:val="005E076F"/>
    <w:rsid w:val="005E0980"/>
    <w:rsid w:val="005E0A82"/>
    <w:rsid w:val="005E0DD8"/>
    <w:rsid w:val="005E0FC6"/>
    <w:rsid w:val="005E1038"/>
    <w:rsid w:val="005E1146"/>
    <w:rsid w:val="005E130E"/>
    <w:rsid w:val="005E14DA"/>
    <w:rsid w:val="005E157F"/>
    <w:rsid w:val="005E186A"/>
    <w:rsid w:val="005E18B0"/>
    <w:rsid w:val="005E1949"/>
    <w:rsid w:val="005E1F7B"/>
    <w:rsid w:val="005E211E"/>
    <w:rsid w:val="005E21B3"/>
    <w:rsid w:val="005E21CC"/>
    <w:rsid w:val="005E225B"/>
    <w:rsid w:val="005E2A62"/>
    <w:rsid w:val="005E2DAD"/>
    <w:rsid w:val="005E2ED0"/>
    <w:rsid w:val="005E2F0F"/>
    <w:rsid w:val="005E301D"/>
    <w:rsid w:val="005E3069"/>
    <w:rsid w:val="005E31BF"/>
    <w:rsid w:val="005E367A"/>
    <w:rsid w:val="005E373A"/>
    <w:rsid w:val="005E38D8"/>
    <w:rsid w:val="005E39E6"/>
    <w:rsid w:val="005E3A14"/>
    <w:rsid w:val="005E3B5D"/>
    <w:rsid w:val="005E3DEE"/>
    <w:rsid w:val="005E40CE"/>
    <w:rsid w:val="005E4298"/>
    <w:rsid w:val="005E433E"/>
    <w:rsid w:val="005E43C0"/>
    <w:rsid w:val="005E4455"/>
    <w:rsid w:val="005E451E"/>
    <w:rsid w:val="005E45B3"/>
    <w:rsid w:val="005E47B1"/>
    <w:rsid w:val="005E48B1"/>
    <w:rsid w:val="005E4986"/>
    <w:rsid w:val="005E4B81"/>
    <w:rsid w:val="005E4C62"/>
    <w:rsid w:val="005E4DD9"/>
    <w:rsid w:val="005E4E6C"/>
    <w:rsid w:val="005E52CB"/>
    <w:rsid w:val="005E5375"/>
    <w:rsid w:val="005E538F"/>
    <w:rsid w:val="005E5427"/>
    <w:rsid w:val="005E57CE"/>
    <w:rsid w:val="005E59BE"/>
    <w:rsid w:val="005E652B"/>
    <w:rsid w:val="005E6893"/>
    <w:rsid w:val="005E6A7B"/>
    <w:rsid w:val="005E6C12"/>
    <w:rsid w:val="005E6DCF"/>
    <w:rsid w:val="005E6F3D"/>
    <w:rsid w:val="005E7326"/>
    <w:rsid w:val="005E7365"/>
    <w:rsid w:val="005E73D7"/>
    <w:rsid w:val="005E73FD"/>
    <w:rsid w:val="005E7444"/>
    <w:rsid w:val="005E771B"/>
    <w:rsid w:val="005E7B41"/>
    <w:rsid w:val="005E7B91"/>
    <w:rsid w:val="005E7CD1"/>
    <w:rsid w:val="005E7D33"/>
    <w:rsid w:val="005E7D48"/>
    <w:rsid w:val="005F003C"/>
    <w:rsid w:val="005F007F"/>
    <w:rsid w:val="005F0164"/>
    <w:rsid w:val="005F029E"/>
    <w:rsid w:val="005F04AA"/>
    <w:rsid w:val="005F04EA"/>
    <w:rsid w:val="005F0959"/>
    <w:rsid w:val="005F0A7E"/>
    <w:rsid w:val="005F0AD1"/>
    <w:rsid w:val="005F0CBC"/>
    <w:rsid w:val="005F0ED3"/>
    <w:rsid w:val="005F1198"/>
    <w:rsid w:val="005F11BE"/>
    <w:rsid w:val="005F11D7"/>
    <w:rsid w:val="005F127A"/>
    <w:rsid w:val="005F1702"/>
    <w:rsid w:val="005F179D"/>
    <w:rsid w:val="005F180C"/>
    <w:rsid w:val="005F185B"/>
    <w:rsid w:val="005F1A52"/>
    <w:rsid w:val="005F1CAF"/>
    <w:rsid w:val="005F1D2E"/>
    <w:rsid w:val="005F1D49"/>
    <w:rsid w:val="005F203B"/>
    <w:rsid w:val="005F2107"/>
    <w:rsid w:val="005F2346"/>
    <w:rsid w:val="005F2402"/>
    <w:rsid w:val="005F24FA"/>
    <w:rsid w:val="005F291C"/>
    <w:rsid w:val="005F2A68"/>
    <w:rsid w:val="005F2AB6"/>
    <w:rsid w:val="005F2DD3"/>
    <w:rsid w:val="005F2E35"/>
    <w:rsid w:val="005F2E7D"/>
    <w:rsid w:val="005F3253"/>
    <w:rsid w:val="005F3323"/>
    <w:rsid w:val="005F337D"/>
    <w:rsid w:val="005F33C2"/>
    <w:rsid w:val="005F36D4"/>
    <w:rsid w:val="005F3907"/>
    <w:rsid w:val="005F3981"/>
    <w:rsid w:val="005F3EC8"/>
    <w:rsid w:val="005F3F1F"/>
    <w:rsid w:val="005F3F45"/>
    <w:rsid w:val="005F3FAD"/>
    <w:rsid w:val="005F414E"/>
    <w:rsid w:val="005F41C6"/>
    <w:rsid w:val="005F41ED"/>
    <w:rsid w:val="005F42CB"/>
    <w:rsid w:val="005F49E6"/>
    <w:rsid w:val="005F4A52"/>
    <w:rsid w:val="005F4AE5"/>
    <w:rsid w:val="005F4B36"/>
    <w:rsid w:val="005F4B60"/>
    <w:rsid w:val="005F4E4E"/>
    <w:rsid w:val="005F4E70"/>
    <w:rsid w:val="005F4F1B"/>
    <w:rsid w:val="005F4FB4"/>
    <w:rsid w:val="005F5096"/>
    <w:rsid w:val="005F5139"/>
    <w:rsid w:val="005F5221"/>
    <w:rsid w:val="005F52AB"/>
    <w:rsid w:val="005F54DA"/>
    <w:rsid w:val="005F55D9"/>
    <w:rsid w:val="005F5A38"/>
    <w:rsid w:val="005F5AB4"/>
    <w:rsid w:val="005F5B27"/>
    <w:rsid w:val="005F5CBB"/>
    <w:rsid w:val="005F5EB0"/>
    <w:rsid w:val="005F5EB1"/>
    <w:rsid w:val="005F5F05"/>
    <w:rsid w:val="005F5FE9"/>
    <w:rsid w:val="005F5FFD"/>
    <w:rsid w:val="005F610A"/>
    <w:rsid w:val="005F659C"/>
    <w:rsid w:val="005F66CC"/>
    <w:rsid w:val="005F66F8"/>
    <w:rsid w:val="005F6A05"/>
    <w:rsid w:val="005F6B84"/>
    <w:rsid w:val="005F6BD1"/>
    <w:rsid w:val="005F6CA7"/>
    <w:rsid w:val="005F6CE3"/>
    <w:rsid w:val="005F6FD5"/>
    <w:rsid w:val="005F73C1"/>
    <w:rsid w:val="005F74BC"/>
    <w:rsid w:val="005F7695"/>
    <w:rsid w:val="005F77E8"/>
    <w:rsid w:val="005F7954"/>
    <w:rsid w:val="005F7B3B"/>
    <w:rsid w:val="005F7C42"/>
    <w:rsid w:val="005F7CA6"/>
    <w:rsid w:val="005F7D33"/>
    <w:rsid w:val="005F7E44"/>
    <w:rsid w:val="00600017"/>
    <w:rsid w:val="00600368"/>
    <w:rsid w:val="006003A9"/>
    <w:rsid w:val="006003C9"/>
    <w:rsid w:val="0060042F"/>
    <w:rsid w:val="0060049F"/>
    <w:rsid w:val="00600576"/>
    <w:rsid w:val="00600593"/>
    <w:rsid w:val="00600772"/>
    <w:rsid w:val="00600A61"/>
    <w:rsid w:val="00600B67"/>
    <w:rsid w:val="00600C2C"/>
    <w:rsid w:val="00600D0C"/>
    <w:rsid w:val="00600F0B"/>
    <w:rsid w:val="006012BF"/>
    <w:rsid w:val="0060135B"/>
    <w:rsid w:val="00601463"/>
    <w:rsid w:val="006015BE"/>
    <w:rsid w:val="0060162E"/>
    <w:rsid w:val="006017F0"/>
    <w:rsid w:val="00601946"/>
    <w:rsid w:val="00601948"/>
    <w:rsid w:val="00601AB3"/>
    <w:rsid w:val="00601CFD"/>
    <w:rsid w:val="00602109"/>
    <w:rsid w:val="0060214D"/>
    <w:rsid w:val="00602296"/>
    <w:rsid w:val="006024DC"/>
    <w:rsid w:val="00602714"/>
    <w:rsid w:val="00602768"/>
    <w:rsid w:val="00602ABC"/>
    <w:rsid w:val="00602D4A"/>
    <w:rsid w:val="00602EB6"/>
    <w:rsid w:val="00603082"/>
    <w:rsid w:val="00603197"/>
    <w:rsid w:val="006031CD"/>
    <w:rsid w:val="00603247"/>
    <w:rsid w:val="006032E2"/>
    <w:rsid w:val="0060338D"/>
    <w:rsid w:val="00603509"/>
    <w:rsid w:val="00603579"/>
    <w:rsid w:val="006037AF"/>
    <w:rsid w:val="00603A5F"/>
    <w:rsid w:val="00603CF5"/>
    <w:rsid w:val="00604023"/>
    <w:rsid w:val="00604053"/>
    <w:rsid w:val="006043A2"/>
    <w:rsid w:val="00604543"/>
    <w:rsid w:val="0060460D"/>
    <w:rsid w:val="006047AE"/>
    <w:rsid w:val="006047B1"/>
    <w:rsid w:val="006047FF"/>
    <w:rsid w:val="00604980"/>
    <w:rsid w:val="006049B0"/>
    <w:rsid w:val="006049B9"/>
    <w:rsid w:val="00604BA7"/>
    <w:rsid w:val="00604D22"/>
    <w:rsid w:val="00604F0D"/>
    <w:rsid w:val="00605049"/>
    <w:rsid w:val="00605058"/>
    <w:rsid w:val="00605119"/>
    <w:rsid w:val="00605237"/>
    <w:rsid w:val="00605657"/>
    <w:rsid w:val="00605B59"/>
    <w:rsid w:val="00605C18"/>
    <w:rsid w:val="00605C3A"/>
    <w:rsid w:val="00605C46"/>
    <w:rsid w:val="00605F33"/>
    <w:rsid w:val="006060ED"/>
    <w:rsid w:val="006061A5"/>
    <w:rsid w:val="00606290"/>
    <w:rsid w:val="0060649B"/>
    <w:rsid w:val="00606826"/>
    <w:rsid w:val="00606A30"/>
    <w:rsid w:val="00606D53"/>
    <w:rsid w:val="0060718F"/>
    <w:rsid w:val="006074A4"/>
    <w:rsid w:val="006074CE"/>
    <w:rsid w:val="0060754B"/>
    <w:rsid w:val="0060759A"/>
    <w:rsid w:val="00607719"/>
    <w:rsid w:val="00607B14"/>
    <w:rsid w:val="00607B52"/>
    <w:rsid w:val="00607B8C"/>
    <w:rsid w:val="00607CAD"/>
    <w:rsid w:val="00607E3D"/>
    <w:rsid w:val="00610118"/>
    <w:rsid w:val="006101D1"/>
    <w:rsid w:val="006102F1"/>
    <w:rsid w:val="00610305"/>
    <w:rsid w:val="00610312"/>
    <w:rsid w:val="0061042D"/>
    <w:rsid w:val="0061043F"/>
    <w:rsid w:val="0061063E"/>
    <w:rsid w:val="006106F4"/>
    <w:rsid w:val="0061071D"/>
    <w:rsid w:val="0061074E"/>
    <w:rsid w:val="00610817"/>
    <w:rsid w:val="00610875"/>
    <w:rsid w:val="00610A30"/>
    <w:rsid w:val="00610AD7"/>
    <w:rsid w:val="00611024"/>
    <w:rsid w:val="006110C1"/>
    <w:rsid w:val="006110F4"/>
    <w:rsid w:val="0061113F"/>
    <w:rsid w:val="00611303"/>
    <w:rsid w:val="0061159F"/>
    <w:rsid w:val="006115B7"/>
    <w:rsid w:val="006115DA"/>
    <w:rsid w:val="0061170B"/>
    <w:rsid w:val="00611A80"/>
    <w:rsid w:val="00611E7C"/>
    <w:rsid w:val="00611EF3"/>
    <w:rsid w:val="006120D5"/>
    <w:rsid w:val="00612193"/>
    <w:rsid w:val="0061224C"/>
    <w:rsid w:val="0061237A"/>
    <w:rsid w:val="00612393"/>
    <w:rsid w:val="006125F3"/>
    <w:rsid w:val="006128BB"/>
    <w:rsid w:val="006128EE"/>
    <w:rsid w:val="0061291A"/>
    <w:rsid w:val="00612A1F"/>
    <w:rsid w:val="00612A83"/>
    <w:rsid w:val="00612BF7"/>
    <w:rsid w:val="00612D09"/>
    <w:rsid w:val="00613027"/>
    <w:rsid w:val="0061318E"/>
    <w:rsid w:val="0061320D"/>
    <w:rsid w:val="00613214"/>
    <w:rsid w:val="00613300"/>
    <w:rsid w:val="0061339E"/>
    <w:rsid w:val="0061358A"/>
    <w:rsid w:val="0061362D"/>
    <w:rsid w:val="00613640"/>
    <w:rsid w:val="006137A6"/>
    <w:rsid w:val="00613A73"/>
    <w:rsid w:val="00613CD9"/>
    <w:rsid w:val="00613E3B"/>
    <w:rsid w:val="00614044"/>
    <w:rsid w:val="006140ED"/>
    <w:rsid w:val="00614296"/>
    <w:rsid w:val="00614444"/>
    <w:rsid w:val="0061465F"/>
    <w:rsid w:val="0061468E"/>
    <w:rsid w:val="00614733"/>
    <w:rsid w:val="00614756"/>
    <w:rsid w:val="006147AE"/>
    <w:rsid w:val="00614879"/>
    <w:rsid w:val="006149CD"/>
    <w:rsid w:val="00614C05"/>
    <w:rsid w:val="00614C36"/>
    <w:rsid w:val="00615078"/>
    <w:rsid w:val="006151F7"/>
    <w:rsid w:val="0061532E"/>
    <w:rsid w:val="00615627"/>
    <w:rsid w:val="00615723"/>
    <w:rsid w:val="00615B08"/>
    <w:rsid w:val="00615BC6"/>
    <w:rsid w:val="00615C87"/>
    <w:rsid w:val="00615EB7"/>
    <w:rsid w:val="006160C4"/>
    <w:rsid w:val="006165E6"/>
    <w:rsid w:val="0061675C"/>
    <w:rsid w:val="00616823"/>
    <w:rsid w:val="006168A7"/>
    <w:rsid w:val="00616A37"/>
    <w:rsid w:val="00616B6C"/>
    <w:rsid w:val="00616EB8"/>
    <w:rsid w:val="00616F67"/>
    <w:rsid w:val="00617112"/>
    <w:rsid w:val="00617288"/>
    <w:rsid w:val="00617650"/>
    <w:rsid w:val="0061770D"/>
    <w:rsid w:val="0061773C"/>
    <w:rsid w:val="006177E4"/>
    <w:rsid w:val="00617922"/>
    <w:rsid w:val="00617EBE"/>
    <w:rsid w:val="00620028"/>
    <w:rsid w:val="00620245"/>
    <w:rsid w:val="00620275"/>
    <w:rsid w:val="006202AD"/>
    <w:rsid w:val="00620349"/>
    <w:rsid w:val="0062034D"/>
    <w:rsid w:val="006203BE"/>
    <w:rsid w:val="006206D3"/>
    <w:rsid w:val="00620758"/>
    <w:rsid w:val="00620765"/>
    <w:rsid w:val="006209F3"/>
    <w:rsid w:val="00620A0A"/>
    <w:rsid w:val="00620B03"/>
    <w:rsid w:val="00621216"/>
    <w:rsid w:val="006212C3"/>
    <w:rsid w:val="00621404"/>
    <w:rsid w:val="006216ED"/>
    <w:rsid w:val="0062199F"/>
    <w:rsid w:val="006219D3"/>
    <w:rsid w:val="00621ADA"/>
    <w:rsid w:val="00621BBB"/>
    <w:rsid w:val="00621CB5"/>
    <w:rsid w:val="00621D01"/>
    <w:rsid w:val="00621D22"/>
    <w:rsid w:val="00621DA4"/>
    <w:rsid w:val="00622042"/>
    <w:rsid w:val="006221A1"/>
    <w:rsid w:val="00622314"/>
    <w:rsid w:val="00622693"/>
    <w:rsid w:val="00622A48"/>
    <w:rsid w:val="00622AC5"/>
    <w:rsid w:val="00622BB2"/>
    <w:rsid w:val="00622F0B"/>
    <w:rsid w:val="006233E2"/>
    <w:rsid w:val="006235EF"/>
    <w:rsid w:val="006237F6"/>
    <w:rsid w:val="006238E8"/>
    <w:rsid w:val="00623932"/>
    <w:rsid w:val="00623A59"/>
    <w:rsid w:val="00623C0B"/>
    <w:rsid w:val="00623CB4"/>
    <w:rsid w:val="00623D99"/>
    <w:rsid w:val="00623DC1"/>
    <w:rsid w:val="00623E4F"/>
    <w:rsid w:val="00624042"/>
    <w:rsid w:val="00624094"/>
    <w:rsid w:val="006240C1"/>
    <w:rsid w:val="006240E6"/>
    <w:rsid w:val="0062413C"/>
    <w:rsid w:val="006242DA"/>
    <w:rsid w:val="00624304"/>
    <w:rsid w:val="006244BC"/>
    <w:rsid w:val="006244E0"/>
    <w:rsid w:val="0062476F"/>
    <w:rsid w:val="00624A0E"/>
    <w:rsid w:val="00624BDD"/>
    <w:rsid w:val="00624F55"/>
    <w:rsid w:val="0062513B"/>
    <w:rsid w:val="00625316"/>
    <w:rsid w:val="00625355"/>
    <w:rsid w:val="00625628"/>
    <w:rsid w:val="006259F1"/>
    <w:rsid w:val="00625A71"/>
    <w:rsid w:val="00625CDE"/>
    <w:rsid w:val="00625D08"/>
    <w:rsid w:val="00625EC3"/>
    <w:rsid w:val="006260C7"/>
    <w:rsid w:val="00626120"/>
    <w:rsid w:val="0062615A"/>
    <w:rsid w:val="00626170"/>
    <w:rsid w:val="00626378"/>
    <w:rsid w:val="00626489"/>
    <w:rsid w:val="006264E2"/>
    <w:rsid w:val="0062673B"/>
    <w:rsid w:val="00626949"/>
    <w:rsid w:val="006269B3"/>
    <w:rsid w:val="00626A06"/>
    <w:rsid w:val="00626BBC"/>
    <w:rsid w:val="00626D55"/>
    <w:rsid w:val="00626E75"/>
    <w:rsid w:val="00626EF9"/>
    <w:rsid w:val="00627287"/>
    <w:rsid w:val="006272D9"/>
    <w:rsid w:val="0062737B"/>
    <w:rsid w:val="006275E7"/>
    <w:rsid w:val="0063024E"/>
    <w:rsid w:val="00630374"/>
    <w:rsid w:val="006309FA"/>
    <w:rsid w:val="00630A26"/>
    <w:rsid w:val="00630AC5"/>
    <w:rsid w:val="00630CB5"/>
    <w:rsid w:val="00630D25"/>
    <w:rsid w:val="0063128A"/>
    <w:rsid w:val="0063133F"/>
    <w:rsid w:val="00631604"/>
    <w:rsid w:val="0063168A"/>
    <w:rsid w:val="00631AE3"/>
    <w:rsid w:val="00631B36"/>
    <w:rsid w:val="00631C3B"/>
    <w:rsid w:val="00631C5E"/>
    <w:rsid w:val="00631D1F"/>
    <w:rsid w:val="00632091"/>
    <w:rsid w:val="006321C0"/>
    <w:rsid w:val="00632277"/>
    <w:rsid w:val="00632A97"/>
    <w:rsid w:val="00632AC9"/>
    <w:rsid w:val="00632C04"/>
    <w:rsid w:val="00632D4A"/>
    <w:rsid w:val="00632EA8"/>
    <w:rsid w:val="00633067"/>
    <w:rsid w:val="00633169"/>
    <w:rsid w:val="006331B7"/>
    <w:rsid w:val="006331BE"/>
    <w:rsid w:val="00633332"/>
    <w:rsid w:val="006335F1"/>
    <w:rsid w:val="00633669"/>
    <w:rsid w:val="00633671"/>
    <w:rsid w:val="0063379D"/>
    <w:rsid w:val="00633810"/>
    <w:rsid w:val="00633A3B"/>
    <w:rsid w:val="00633C0F"/>
    <w:rsid w:val="00633E7D"/>
    <w:rsid w:val="00633EFE"/>
    <w:rsid w:val="00633FBB"/>
    <w:rsid w:val="006340C6"/>
    <w:rsid w:val="006342CC"/>
    <w:rsid w:val="0063431C"/>
    <w:rsid w:val="00634429"/>
    <w:rsid w:val="00634A8A"/>
    <w:rsid w:val="00634B17"/>
    <w:rsid w:val="00634BB7"/>
    <w:rsid w:val="00634C02"/>
    <w:rsid w:val="00634D99"/>
    <w:rsid w:val="00635046"/>
    <w:rsid w:val="0063508B"/>
    <w:rsid w:val="00635135"/>
    <w:rsid w:val="0063527C"/>
    <w:rsid w:val="00635350"/>
    <w:rsid w:val="006353A1"/>
    <w:rsid w:val="0063560B"/>
    <w:rsid w:val="00635BBC"/>
    <w:rsid w:val="00635D2F"/>
    <w:rsid w:val="00635D77"/>
    <w:rsid w:val="00635E31"/>
    <w:rsid w:val="00635E86"/>
    <w:rsid w:val="00636067"/>
    <w:rsid w:val="006363E1"/>
    <w:rsid w:val="006364D9"/>
    <w:rsid w:val="0063666C"/>
    <w:rsid w:val="00636670"/>
    <w:rsid w:val="006366B9"/>
    <w:rsid w:val="0063681B"/>
    <w:rsid w:val="00636946"/>
    <w:rsid w:val="00636977"/>
    <w:rsid w:val="00636D21"/>
    <w:rsid w:val="00636F41"/>
    <w:rsid w:val="00636F9B"/>
    <w:rsid w:val="0063707F"/>
    <w:rsid w:val="006371E4"/>
    <w:rsid w:val="00637391"/>
    <w:rsid w:val="006374C1"/>
    <w:rsid w:val="006376A1"/>
    <w:rsid w:val="00637A18"/>
    <w:rsid w:val="00637B61"/>
    <w:rsid w:val="00637D2C"/>
    <w:rsid w:val="00637D3D"/>
    <w:rsid w:val="0064002E"/>
    <w:rsid w:val="0064003E"/>
    <w:rsid w:val="006407AE"/>
    <w:rsid w:val="00640915"/>
    <w:rsid w:val="00640919"/>
    <w:rsid w:val="0064091C"/>
    <w:rsid w:val="006409DB"/>
    <w:rsid w:val="00640A00"/>
    <w:rsid w:val="00640A0F"/>
    <w:rsid w:val="00640C0C"/>
    <w:rsid w:val="00640C7D"/>
    <w:rsid w:val="00640D3C"/>
    <w:rsid w:val="00640F33"/>
    <w:rsid w:val="00641011"/>
    <w:rsid w:val="0064119D"/>
    <w:rsid w:val="0064131A"/>
    <w:rsid w:val="00641517"/>
    <w:rsid w:val="00641541"/>
    <w:rsid w:val="006415CD"/>
    <w:rsid w:val="00641731"/>
    <w:rsid w:val="00641771"/>
    <w:rsid w:val="00641803"/>
    <w:rsid w:val="006418E7"/>
    <w:rsid w:val="0064196E"/>
    <w:rsid w:val="00641A2E"/>
    <w:rsid w:val="00641D1D"/>
    <w:rsid w:val="00641D35"/>
    <w:rsid w:val="00641DD8"/>
    <w:rsid w:val="0064212B"/>
    <w:rsid w:val="006421EC"/>
    <w:rsid w:val="00642330"/>
    <w:rsid w:val="0064236D"/>
    <w:rsid w:val="00642400"/>
    <w:rsid w:val="00642424"/>
    <w:rsid w:val="006424C7"/>
    <w:rsid w:val="0064258F"/>
    <w:rsid w:val="006425A0"/>
    <w:rsid w:val="006425EF"/>
    <w:rsid w:val="00642867"/>
    <w:rsid w:val="00642942"/>
    <w:rsid w:val="00642B69"/>
    <w:rsid w:val="00642C27"/>
    <w:rsid w:val="00642C46"/>
    <w:rsid w:val="00642D3D"/>
    <w:rsid w:val="00643141"/>
    <w:rsid w:val="006431AC"/>
    <w:rsid w:val="00643391"/>
    <w:rsid w:val="006435B5"/>
    <w:rsid w:val="006436A7"/>
    <w:rsid w:val="0064376C"/>
    <w:rsid w:val="006437D1"/>
    <w:rsid w:val="00643B58"/>
    <w:rsid w:val="00643E01"/>
    <w:rsid w:val="006441C6"/>
    <w:rsid w:val="00644264"/>
    <w:rsid w:val="00644509"/>
    <w:rsid w:val="00644710"/>
    <w:rsid w:val="0064491D"/>
    <w:rsid w:val="006449D0"/>
    <w:rsid w:val="00644D08"/>
    <w:rsid w:val="00644D83"/>
    <w:rsid w:val="00644DB7"/>
    <w:rsid w:val="006452A2"/>
    <w:rsid w:val="006452A4"/>
    <w:rsid w:val="006454C3"/>
    <w:rsid w:val="006459AC"/>
    <w:rsid w:val="00645A0A"/>
    <w:rsid w:val="00645FAA"/>
    <w:rsid w:val="00646045"/>
    <w:rsid w:val="00646198"/>
    <w:rsid w:val="0064626F"/>
    <w:rsid w:val="006465DD"/>
    <w:rsid w:val="006466F5"/>
    <w:rsid w:val="00646A94"/>
    <w:rsid w:val="00646D14"/>
    <w:rsid w:val="00646DFD"/>
    <w:rsid w:val="00646E0A"/>
    <w:rsid w:val="00646EF6"/>
    <w:rsid w:val="006471DF"/>
    <w:rsid w:val="00647313"/>
    <w:rsid w:val="006473CB"/>
    <w:rsid w:val="0064748D"/>
    <w:rsid w:val="006476CF"/>
    <w:rsid w:val="0064789C"/>
    <w:rsid w:val="0064792C"/>
    <w:rsid w:val="00647970"/>
    <w:rsid w:val="006479AE"/>
    <w:rsid w:val="006479D0"/>
    <w:rsid w:val="00647EB3"/>
    <w:rsid w:val="00647EE1"/>
    <w:rsid w:val="00647FD6"/>
    <w:rsid w:val="00650203"/>
    <w:rsid w:val="006506EF"/>
    <w:rsid w:val="00650CDD"/>
    <w:rsid w:val="00650F82"/>
    <w:rsid w:val="0065103E"/>
    <w:rsid w:val="00651251"/>
    <w:rsid w:val="00651402"/>
    <w:rsid w:val="00651405"/>
    <w:rsid w:val="006515CB"/>
    <w:rsid w:val="00651637"/>
    <w:rsid w:val="006517EC"/>
    <w:rsid w:val="00651D98"/>
    <w:rsid w:val="0065233B"/>
    <w:rsid w:val="00652410"/>
    <w:rsid w:val="00652558"/>
    <w:rsid w:val="006525A3"/>
    <w:rsid w:val="0065267A"/>
    <w:rsid w:val="006526D9"/>
    <w:rsid w:val="00652B7B"/>
    <w:rsid w:val="00652C05"/>
    <w:rsid w:val="00652C64"/>
    <w:rsid w:val="00652CD2"/>
    <w:rsid w:val="00652D0D"/>
    <w:rsid w:val="00652D5E"/>
    <w:rsid w:val="00652DF7"/>
    <w:rsid w:val="00652E3F"/>
    <w:rsid w:val="00653860"/>
    <w:rsid w:val="006538C2"/>
    <w:rsid w:val="006539FE"/>
    <w:rsid w:val="00653A70"/>
    <w:rsid w:val="00653E02"/>
    <w:rsid w:val="00653F49"/>
    <w:rsid w:val="0065429F"/>
    <w:rsid w:val="0065432C"/>
    <w:rsid w:val="00654389"/>
    <w:rsid w:val="0065439D"/>
    <w:rsid w:val="00654697"/>
    <w:rsid w:val="0065472C"/>
    <w:rsid w:val="00654884"/>
    <w:rsid w:val="006549C3"/>
    <w:rsid w:val="00654F00"/>
    <w:rsid w:val="00655018"/>
    <w:rsid w:val="00655118"/>
    <w:rsid w:val="006555E5"/>
    <w:rsid w:val="006557FB"/>
    <w:rsid w:val="0065590D"/>
    <w:rsid w:val="00655AF2"/>
    <w:rsid w:val="00655D3D"/>
    <w:rsid w:val="00655D62"/>
    <w:rsid w:val="00655DDE"/>
    <w:rsid w:val="00656238"/>
    <w:rsid w:val="00656526"/>
    <w:rsid w:val="0065676E"/>
    <w:rsid w:val="00656D20"/>
    <w:rsid w:val="00656DAF"/>
    <w:rsid w:val="00656E1F"/>
    <w:rsid w:val="00657379"/>
    <w:rsid w:val="006573AD"/>
    <w:rsid w:val="006573C2"/>
    <w:rsid w:val="006573CD"/>
    <w:rsid w:val="0065749F"/>
    <w:rsid w:val="006578D6"/>
    <w:rsid w:val="00657964"/>
    <w:rsid w:val="00657C28"/>
    <w:rsid w:val="00657DC5"/>
    <w:rsid w:val="00657FAB"/>
    <w:rsid w:val="006600E7"/>
    <w:rsid w:val="006603A4"/>
    <w:rsid w:val="00660546"/>
    <w:rsid w:val="006606BA"/>
    <w:rsid w:val="0066082D"/>
    <w:rsid w:val="00660835"/>
    <w:rsid w:val="006608D6"/>
    <w:rsid w:val="00660B34"/>
    <w:rsid w:val="00660C4C"/>
    <w:rsid w:val="00660C7E"/>
    <w:rsid w:val="00660DDF"/>
    <w:rsid w:val="006611F9"/>
    <w:rsid w:val="00661297"/>
    <w:rsid w:val="006613BF"/>
    <w:rsid w:val="006615B8"/>
    <w:rsid w:val="006617A7"/>
    <w:rsid w:val="00661919"/>
    <w:rsid w:val="00661A26"/>
    <w:rsid w:val="00661A44"/>
    <w:rsid w:val="00661C64"/>
    <w:rsid w:val="00661D91"/>
    <w:rsid w:val="00661FEF"/>
    <w:rsid w:val="006621D0"/>
    <w:rsid w:val="00662293"/>
    <w:rsid w:val="00662300"/>
    <w:rsid w:val="00662628"/>
    <w:rsid w:val="0066272D"/>
    <w:rsid w:val="0066278D"/>
    <w:rsid w:val="0066285D"/>
    <w:rsid w:val="00662A01"/>
    <w:rsid w:val="00662BD1"/>
    <w:rsid w:val="00662F4A"/>
    <w:rsid w:val="0066316B"/>
    <w:rsid w:val="0066319A"/>
    <w:rsid w:val="006634AC"/>
    <w:rsid w:val="006636A0"/>
    <w:rsid w:val="00663750"/>
    <w:rsid w:val="00663EE0"/>
    <w:rsid w:val="00664187"/>
    <w:rsid w:val="006643A4"/>
    <w:rsid w:val="0066441E"/>
    <w:rsid w:val="00664441"/>
    <w:rsid w:val="00664520"/>
    <w:rsid w:val="006645D1"/>
    <w:rsid w:val="006645E3"/>
    <w:rsid w:val="00664C7F"/>
    <w:rsid w:val="00664E17"/>
    <w:rsid w:val="00664E23"/>
    <w:rsid w:val="00664E67"/>
    <w:rsid w:val="00665054"/>
    <w:rsid w:val="006650FF"/>
    <w:rsid w:val="00665224"/>
    <w:rsid w:val="006652F1"/>
    <w:rsid w:val="00665409"/>
    <w:rsid w:val="0066542A"/>
    <w:rsid w:val="006654F1"/>
    <w:rsid w:val="006655D6"/>
    <w:rsid w:val="006655F2"/>
    <w:rsid w:val="00665662"/>
    <w:rsid w:val="00665836"/>
    <w:rsid w:val="006658B0"/>
    <w:rsid w:val="0066591E"/>
    <w:rsid w:val="0066599F"/>
    <w:rsid w:val="00665A76"/>
    <w:rsid w:val="00665CB6"/>
    <w:rsid w:val="00665CE4"/>
    <w:rsid w:val="00665F82"/>
    <w:rsid w:val="00666269"/>
    <w:rsid w:val="00666677"/>
    <w:rsid w:val="00666763"/>
    <w:rsid w:val="006667AF"/>
    <w:rsid w:val="00666804"/>
    <w:rsid w:val="006669EB"/>
    <w:rsid w:val="00666E8F"/>
    <w:rsid w:val="00666FFD"/>
    <w:rsid w:val="006671B9"/>
    <w:rsid w:val="006671F5"/>
    <w:rsid w:val="00667211"/>
    <w:rsid w:val="00667245"/>
    <w:rsid w:val="0066724E"/>
    <w:rsid w:val="006672E0"/>
    <w:rsid w:val="00667347"/>
    <w:rsid w:val="00667522"/>
    <w:rsid w:val="00667619"/>
    <w:rsid w:val="006676EF"/>
    <w:rsid w:val="00667778"/>
    <w:rsid w:val="00667EC2"/>
    <w:rsid w:val="00670585"/>
    <w:rsid w:val="006705AC"/>
    <w:rsid w:val="00670605"/>
    <w:rsid w:val="00670623"/>
    <w:rsid w:val="006706C8"/>
    <w:rsid w:val="006706FC"/>
    <w:rsid w:val="00670704"/>
    <w:rsid w:val="00670805"/>
    <w:rsid w:val="00670A03"/>
    <w:rsid w:val="00670A37"/>
    <w:rsid w:val="00670E84"/>
    <w:rsid w:val="00670FD9"/>
    <w:rsid w:val="00671062"/>
    <w:rsid w:val="0067109D"/>
    <w:rsid w:val="0067178B"/>
    <w:rsid w:val="006717A5"/>
    <w:rsid w:val="00671C3A"/>
    <w:rsid w:val="00671CC1"/>
    <w:rsid w:val="0067207A"/>
    <w:rsid w:val="0067218E"/>
    <w:rsid w:val="00672561"/>
    <w:rsid w:val="0067258A"/>
    <w:rsid w:val="0067266C"/>
    <w:rsid w:val="0067289B"/>
    <w:rsid w:val="00672BCD"/>
    <w:rsid w:val="00672C82"/>
    <w:rsid w:val="00672D76"/>
    <w:rsid w:val="00672DEB"/>
    <w:rsid w:val="00672E0A"/>
    <w:rsid w:val="00672E3D"/>
    <w:rsid w:val="00672E81"/>
    <w:rsid w:val="00672EE2"/>
    <w:rsid w:val="00673319"/>
    <w:rsid w:val="0067341A"/>
    <w:rsid w:val="006738F5"/>
    <w:rsid w:val="00673B40"/>
    <w:rsid w:val="00673BE5"/>
    <w:rsid w:val="00673DD6"/>
    <w:rsid w:val="006740AF"/>
    <w:rsid w:val="0067416B"/>
    <w:rsid w:val="006741F5"/>
    <w:rsid w:val="006742EA"/>
    <w:rsid w:val="00674391"/>
    <w:rsid w:val="006744D9"/>
    <w:rsid w:val="006744FF"/>
    <w:rsid w:val="006746E9"/>
    <w:rsid w:val="0067471B"/>
    <w:rsid w:val="006747B5"/>
    <w:rsid w:val="006747C7"/>
    <w:rsid w:val="00674C29"/>
    <w:rsid w:val="00674E80"/>
    <w:rsid w:val="00675081"/>
    <w:rsid w:val="0067529F"/>
    <w:rsid w:val="006753AC"/>
    <w:rsid w:val="0067545D"/>
    <w:rsid w:val="006755C2"/>
    <w:rsid w:val="00675870"/>
    <w:rsid w:val="00675A47"/>
    <w:rsid w:val="00675A4F"/>
    <w:rsid w:val="00675B27"/>
    <w:rsid w:val="00675D95"/>
    <w:rsid w:val="00675E00"/>
    <w:rsid w:val="00675E4B"/>
    <w:rsid w:val="00675FC4"/>
    <w:rsid w:val="006763DE"/>
    <w:rsid w:val="00676499"/>
    <w:rsid w:val="006768F1"/>
    <w:rsid w:val="00676B39"/>
    <w:rsid w:val="00676DA2"/>
    <w:rsid w:val="00676E84"/>
    <w:rsid w:val="00676FEC"/>
    <w:rsid w:val="00677041"/>
    <w:rsid w:val="006770B4"/>
    <w:rsid w:val="0067726A"/>
    <w:rsid w:val="00677388"/>
    <w:rsid w:val="00677613"/>
    <w:rsid w:val="006777AC"/>
    <w:rsid w:val="00677842"/>
    <w:rsid w:val="0067791F"/>
    <w:rsid w:val="00677979"/>
    <w:rsid w:val="00677A81"/>
    <w:rsid w:val="00677B20"/>
    <w:rsid w:val="00677D88"/>
    <w:rsid w:val="00677E59"/>
    <w:rsid w:val="00680166"/>
    <w:rsid w:val="006801EA"/>
    <w:rsid w:val="00680226"/>
    <w:rsid w:val="006803C5"/>
    <w:rsid w:val="006803C9"/>
    <w:rsid w:val="00680467"/>
    <w:rsid w:val="006804AD"/>
    <w:rsid w:val="00680501"/>
    <w:rsid w:val="006805ED"/>
    <w:rsid w:val="006805EE"/>
    <w:rsid w:val="006806A8"/>
    <w:rsid w:val="00680909"/>
    <w:rsid w:val="00680924"/>
    <w:rsid w:val="006809E0"/>
    <w:rsid w:val="00680C8D"/>
    <w:rsid w:val="00680D7F"/>
    <w:rsid w:val="00680DA4"/>
    <w:rsid w:val="00680F3E"/>
    <w:rsid w:val="006810FB"/>
    <w:rsid w:val="00681371"/>
    <w:rsid w:val="006815A7"/>
    <w:rsid w:val="00681729"/>
    <w:rsid w:val="00681750"/>
    <w:rsid w:val="00681898"/>
    <w:rsid w:val="00681C84"/>
    <w:rsid w:val="00681D6E"/>
    <w:rsid w:val="00681E6B"/>
    <w:rsid w:val="00681EEC"/>
    <w:rsid w:val="00681F43"/>
    <w:rsid w:val="006820F6"/>
    <w:rsid w:val="006821A5"/>
    <w:rsid w:val="00682234"/>
    <w:rsid w:val="00682D27"/>
    <w:rsid w:val="00682FF1"/>
    <w:rsid w:val="0068301B"/>
    <w:rsid w:val="0068325D"/>
    <w:rsid w:val="00683276"/>
    <w:rsid w:val="006832F1"/>
    <w:rsid w:val="00683325"/>
    <w:rsid w:val="0068337F"/>
    <w:rsid w:val="006833E6"/>
    <w:rsid w:val="0068345C"/>
    <w:rsid w:val="00683555"/>
    <w:rsid w:val="00683855"/>
    <w:rsid w:val="0068391D"/>
    <w:rsid w:val="00683966"/>
    <w:rsid w:val="00683DBD"/>
    <w:rsid w:val="00683DFB"/>
    <w:rsid w:val="00683ECF"/>
    <w:rsid w:val="00683F1C"/>
    <w:rsid w:val="00683F4C"/>
    <w:rsid w:val="0068404D"/>
    <w:rsid w:val="0068410F"/>
    <w:rsid w:val="006841DA"/>
    <w:rsid w:val="00684361"/>
    <w:rsid w:val="0068438B"/>
    <w:rsid w:val="006843E0"/>
    <w:rsid w:val="006843F1"/>
    <w:rsid w:val="00684617"/>
    <w:rsid w:val="006847D0"/>
    <w:rsid w:val="00684964"/>
    <w:rsid w:val="00684AA2"/>
    <w:rsid w:val="00684ACB"/>
    <w:rsid w:val="00684B4B"/>
    <w:rsid w:val="00684F7E"/>
    <w:rsid w:val="00684F88"/>
    <w:rsid w:val="0068510C"/>
    <w:rsid w:val="00685148"/>
    <w:rsid w:val="006853A1"/>
    <w:rsid w:val="006854F0"/>
    <w:rsid w:val="00685676"/>
    <w:rsid w:val="0068570E"/>
    <w:rsid w:val="00685A6C"/>
    <w:rsid w:val="00685ADC"/>
    <w:rsid w:val="00685D80"/>
    <w:rsid w:val="00685F51"/>
    <w:rsid w:val="00685FD7"/>
    <w:rsid w:val="0068608E"/>
    <w:rsid w:val="006860D7"/>
    <w:rsid w:val="006860E1"/>
    <w:rsid w:val="006862B1"/>
    <w:rsid w:val="006863CB"/>
    <w:rsid w:val="006865F9"/>
    <w:rsid w:val="006867CC"/>
    <w:rsid w:val="0068693E"/>
    <w:rsid w:val="006869CC"/>
    <w:rsid w:val="00686E50"/>
    <w:rsid w:val="00686F68"/>
    <w:rsid w:val="006870FF"/>
    <w:rsid w:val="0068732C"/>
    <w:rsid w:val="00687367"/>
    <w:rsid w:val="006873E5"/>
    <w:rsid w:val="0068741C"/>
    <w:rsid w:val="00687440"/>
    <w:rsid w:val="00687510"/>
    <w:rsid w:val="006875EB"/>
    <w:rsid w:val="006875F0"/>
    <w:rsid w:val="006877E4"/>
    <w:rsid w:val="00687993"/>
    <w:rsid w:val="00687A12"/>
    <w:rsid w:val="00687A45"/>
    <w:rsid w:val="00687B31"/>
    <w:rsid w:val="00687CB3"/>
    <w:rsid w:val="00687DD3"/>
    <w:rsid w:val="00690018"/>
    <w:rsid w:val="0069018F"/>
    <w:rsid w:val="00690218"/>
    <w:rsid w:val="00690306"/>
    <w:rsid w:val="006903CC"/>
    <w:rsid w:val="006903CF"/>
    <w:rsid w:val="0069049F"/>
    <w:rsid w:val="006905D4"/>
    <w:rsid w:val="00690785"/>
    <w:rsid w:val="00690816"/>
    <w:rsid w:val="0069089C"/>
    <w:rsid w:val="006908C3"/>
    <w:rsid w:val="00690915"/>
    <w:rsid w:val="0069093C"/>
    <w:rsid w:val="00690A4B"/>
    <w:rsid w:val="00690C51"/>
    <w:rsid w:val="00690D8B"/>
    <w:rsid w:val="00690E5E"/>
    <w:rsid w:val="00690EC0"/>
    <w:rsid w:val="00691125"/>
    <w:rsid w:val="00691141"/>
    <w:rsid w:val="00691263"/>
    <w:rsid w:val="00691292"/>
    <w:rsid w:val="006912E6"/>
    <w:rsid w:val="006913E5"/>
    <w:rsid w:val="0069153B"/>
    <w:rsid w:val="00691752"/>
    <w:rsid w:val="00691808"/>
    <w:rsid w:val="00691E6D"/>
    <w:rsid w:val="00692003"/>
    <w:rsid w:val="00692069"/>
    <w:rsid w:val="006920E9"/>
    <w:rsid w:val="00692189"/>
    <w:rsid w:val="00692219"/>
    <w:rsid w:val="006924C9"/>
    <w:rsid w:val="006926C4"/>
    <w:rsid w:val="00692741"/>
    <w:rsid w:val="00692756"/>
    <w:rsid w:val="00692844"/>
    <w:rsid w:val="006928BA"/>
    <w:rsid w:val="00692A7C"/>
    <w:rsid w:val="00692AD5"/>
    <w:rsid w:val="00692AFE"/>
    <w:rsid w:val="00692C39"/>
    <w:rsid w:val="00692EB6"/>
    <w:rsid w:val="00692EF5"/>
    <w:rsid w:val="00692F3B"/>
    <w:rsid w:val="00693176"/>
    <w:rsid w:val="00693625"/>
    <w:rsid w:val="00693945"/>
    <w:rsid w:val="00693985"/>
    <w:rsid w:val="006939B5"/>
    <w:rsid w:val="00693A5B"/>
    <w:rsid w:val="00693AB4"/>
    <w:rsid w:val="00693BD7"/>
    <w:rsid w:val="00693BEC"/>
    <w:rsid w:val="00693D75"/>
    <w:rsid w:val="00693DCE"/>
    <w:rsid w:val="0069415F"/>
    <w:rsid w:val="00694196"/>
    <w:rsid w:val="00694330"/>
    <w:rsid w:val="006943F8"/>
    <w:rsid w:val="006944C8"/>
    <w:rsid w:val="0069455D"/>
    <w:rsid w:val="0069470B"/>
    <w:rsid w:val="0069493A"/>
    <w:rsid w:val="00694D4D"/>
    <w:rsid w:val="00694DAB"/>
    <w:rsid w:val="00694EE6"/>
    <w:rsid w:val="00695191"/>
    <w:rsid w:val="006951EE"/>
    <w:rsid w:val="006954F2"/>
    <w:rsid w:val="00695561"/>
    <w:rsid w:val="0069558C"/>
    <w:rsid w:val="00695612"/>
    <w:rsid w:val="0069578D"/>
    <w:rsid w:val="0069579B"/>
    <w:rsid w:val="006958C8"/>
    <w:rsid w:val="00695926"/>
    <w:rsid w:val="00695ACD"/>
    <w:rsid w:val="00695B1E"/>
    <w:rsid w:val="00695CBA"/>
    <w:rsid w:val="00695D2A"/>
    <w:rsid w:val="00695E11"/>
    <w:rsid w:val="00695EB5"/>
    <w:rsid w:val="00695FF1"/>
    <w:rsid w:val="00696000"/>
    <w:rsid w:val="0069608A"/>
    <w:rsid w:val="006961BB"/>
    <w:rsid w:val="006963E8"/>
    <w:rsid w:val="00696519"/>
    <w:rsid w:val="0069694D"/>
    <w:rsid w:val="00696973"/>
    <w:rsid w:val="00696A20"/>
    <w:rsid w:val="00696AA8"/>
    <w:rsid w:val="00696D65"/>
    <w:rsid w:val="00697023"/>
    <w:rsid w:val="00697449"/>
    <w:rsid w:val="006977FE"/>
    <w:rsid w:val="006979A9"/>
    <w:rsid w:val="00697BB4"/>
    <w:rsid w:val="00697D14"/>
    <w:rsid w:val="00697EAB"/>
    <w:rsid w:val="00697F2C"/>
    <w:rsid w:val="006A0047"/>
    <w:rsid w:val="006A00DB"/>
    <w:rsid w:val="006A0557"/>
    <w:rsid w:val="006A0665"/>
    <w:rsid w:val="006A0B9A"/>
    <w:rsid w:val="006A0E54"/>
    <w:rsid w:val="006A11F3"/>
    <w:rsid w:val="006A149E"/>
    <w:rsid w:val="006A1542"/>
    <w:rsid w:val="006A1579"/>
    <w:rsid w:val="006A15AF"/>
    <w:rsid w:val="006A1727"/>
    <w:rsid w:val="006A181D"/>
    <w:rsid w:val="006A199B"/>
    <w:rsid w:val="006A1CEF"/>
    <w:rsid w:val="006A1D90"/>
    <w:rsid w:val="006A1DAF"/>
    <w:rsid w:val="006A1EE7"/>
    <w:rsid w:val="006A203F"/>
    <w:rsid w:val="006A21A3"/>
    <w:rsid w:val="006A21ED"/>
    <w:rsid w:val="006A2470"/>
    <w:rsid w:val="006A24A1"/>
    <w:rsid w:val="006A2615"/>
    <w:rsid w:val="006A26E3"/>
    <w:rsid w:val="006A28CF"/>
    <w:rsid w:val="006A2A83"/>
    <w:rsid w:val="006A2ABF"/>
    <w:rsid w:val="006A2B1D"/>
    <w:rsid w:val="006A2B6A"/>
    <w:rsid w:val="006A2BA1"/>
    <w:rsid w:val="006A2C13"/>
    <w:rsid w:val="006A2C16"/>
    <w:rsid w:val="006A2EF3"/>
    <w:rsid w:val="006A2FC2"/>
    <w:rsid w:val="006A30BE"/>
    <w:rsid w:val="006A32FA"/>
    <w:rsid w:val="006A3501"/>
    <w:rsid w:val="006A3676"/>
    <w:rsid w:val="006A3867"/>
    <w:rsid w:val="006A3A8F"/>
    <w:rsid w:val="006A3AC2"/>
    <w:rsid w:val="006A3AC5"/>
    <w:rsid w:val="006A3B7B"/>
    <w:rsid w:val="006A3BCA"/>
    <w:rsid w:val="006A3BD4"/>
    <w:rsid w:val="006A3C2A"/>
    <w:rsid w:val="006A3C94"/>
    <w:rsid w:val="006A3DB6"/>
    <w:rsid w:val="006A3DC7"/>
    <w:rsid w:val="006A3F19"/>
    <w:rsid w:val="006A3F99"/>
    <w:rsid w:val="006A3FA5"/>
    <w:rsid w:val="006A4000"/>
    <w:rsid w:val="006A41AA"/>
    <w:rsid w:val="006A441B"/>
    <w:rsid w:val="006A44C1"/>
    <w:rsid w:val="006A44E9"/>
    <w:rsid w:val="006A44FC"/>
    <w:rsid w:val="006A47BD"/>
    <w:rsid w:val="006A47D3"/>
    <w:rsid w:val="006A48FD"/>
    <w:rsid w:val="006A4981"/>
    <w:rsid w:val="006A49E8"/>
    <w:rsid w:val="006A4A05"/>
    <w:rsid w:val="006A4B99"/>
    <w:rsid w:val="006A4F33"/>
    <w:rsid w:val="006A4F9C"/>
    <w:rsid w:val="006A5120"/>
    <w:rsid w:val="006A522B"/>
    <w:rsid w:val="006A523B"/>
    <w:rsid w:val="006A53A0"/>
    <w:rsid w:val="006A544F"/>
    <w:rsid w:val="006A5895"/>
    <w:rsid w:val="006A59A8"/>
    <w:rsid w:val="006A5AD5"/>
    <w:rsid w:val="006A5E91"/>
    <w:rsid w:val="006A5FD6"/>
    <w:rsid w:val="006A619E"/>
    <w:rsid w:val="006A640C"/>
    <w:rsid w:val="006A64CE"/>
    <w:rsid w:val="006A65A1"/>
    <w:rsid w:val="006A6794"/>
    <w:rsid w:val="006A6795"/>
    <w:rsid w:val="006A6965"/>
    <w:rsid w:val="006A6C5E"/>
    <w:rsid w:val="006A6EC2"/>
    <w:rsid w:val="006A6EF4"/>
    <w:rsid w:val="006A6FB8"/>
    <w:rsid w:val="006A71FC"/>
    <w:rsid w:val="006A728E"/>
    <w:rsid w:val="006A72E1"/>
    <w:rsid w:val="006A7375"/>
    <w:rsid w:val="006A7420"/>
    <w:rsid w:val="006A7431"/>
    <w:rsid w:val="006A7644"/>
    <w:rsid w:val="006A7665"/>
    <w:rsid w:val="006A77F2"/>
    <w:rsid w:val="006A787A"/>
    <w:rsid w:val="006A79AD"/>
    <w:rsid w:val="006A7A2F"/>
    <w:rsid w:val="006A7AF1"/>
    <w:rsid w:val="006A7E8A"/>
    <w:rsid w:val="006B027E"/>
    <w:rsid w:val="006B0723"/>
    <w:rsid w:val="006B0777"/>
    <w:rsid w:val="006B07B7"/>
    <w:rsid w:val="006B0A76"/>
    <w:rsid w:val="006B0ACD"/>
    <w:rsid w:val="006B0B67"/>
    <w:rsid w:val="006B0C97"/>
    <w:rsid w:val="006B0E71"/>
    <w:rsid w:val="006B0EAC"/>
    <w:rsid w:val="006B0FA1"/>
    <w:rsid w:val="006B1120"/>
    <w:rsid w:val="006B146B"/>
    <w:rsid w:val="006B1475"/>
    <w:rsid w:val="006B152A"/>
    <w:rsid w:val="006B153F"/>
    <w:rsid w:val="006B162C"/>
    <w:rsid w:val="006B16B4"/>
    <w:rsid w:val="006B17CD"/>
    <w:rsid w:val="006B1964"/>
    <w:rsid w:val="006B1985"/>
    <w:rsid w:val="006B1B27"/>
    <w:rsid w:val="006B1C79"/>
    <w:rsid w:val="006B1C97"/>
    <w:rsid w:val="006B1CB6"/>
    <w:rsid w:val="006B1E34"/>
    <w:rsid w:val="006B1F36"/>
    <w:rsid w:val="006B209B"/>
    <w:rsid w:val="006B21BC"/>
    <w:rsid w:val="006B26D8"/>
    <w:rsid w:val="006B2924"/>
    <w:rsid w:val="006B2D4C"/>
    <w:rsid w:val="006B3049"/>
    <w:rsid w:val="006B3241"/>
    <w:rsid w:val="006B34B0"/>
    <w:rsid w:val="006B3B40"/>
    <w:rsid w:val="006B3D83"/>
    <w:rsid w:val="006B3F11"/>
    <w:rsid w:val="006B40B0"/>
    <w:rsid w:val="006B4258"/>
    <w:rsid w:val="006B43AE"/>
    <w:rsid w:val="006B44A9"/>
    <w:rsid w:val="006B4648"/>
    <w:rsid w:val="006B47A0"/>
    <w:rsid w:val="006B47D5"/>
    <w:rsid w:val="006B4931"/>
    <w:rsid w:val="006B4A3C"/>
    <w:rsid w:val="006B4A6A"/>
    <w:rsid w:val="006B4C04"/>
    <w:rsid w:val="006B4C46"/>
    <w:rsid w:val="006B4CD0"/>
    <w:rsid w:val="006B4FB1"/>
    <w:rsid w:val="006B50B4"/>
    <w:rsid w:val="006B50C1"/>
    <w:rsid w:val="006B517A"/>
    <w:rsid w:val="006B51AD"/>
    <w:rsid w:val="006B5464"/>
    <w:rsid w:val="006B5502"/>
    <w:rsid w:val="006B5CAC"/>
    <w:rsid w:val="006B5CC6"/>
    <w:rsid w:val="006B5DCB"/>
    <w:rsid w:val="006B5E9A"/>
    <w:rsid w:val="006B5FC0"/>
    <w:rsid w:val="006B62F4"/>
    <w:rsid w:val="006B63AB"/>
    <w:rsid w:val="006B6520"/>
    <w:rsid w:val="006B65DC"/>
    <w:rsid w:val="006B6601"/>
    <w:rsid w:val="006B66B0"/>
    <w:rsid w:val="006B687A"/>
    <w:rsid w:val="006B6A84"/>
    <w:rsid w:val="006B6CC2"/>
    <w:rsid w:val="006B6DA6"/>
    <w:rsid w:val="006B6EBB"/>
    <w:rsid w:val="006B7045"/>
    <w:rsid w:val="006B70EA"/>
    <w:rsid w:val="006B737A"/>
    <w:rsid w:val="006B7396"/>
    <w:rsid w:val="006B74FC"/>
    <w:rsid w:val="006B764E"/>
    <w:rsid w:val="006B782E"/>
    <w:rsid w:val="006B78CE"/>
    <w:rsid w:val="006B79BD"/>
    <w:rsid w:val="006B79C6"/>
    <w:rsid w:val="006B7A38"/>
    <w:rsid w:val="006C027C"/>
    <w:rsid w:val="006C06B8"/>
    <w:rsid w:val="006C0F26"/>
    <w:rsid w:val="006C0F35"/>
    <w:rsid w:val="006C0FBD"/>
    <w:rsid w:val="006C1307"/>
    <w:rsid w:val="006C1380"/>
    <w:rsid w:val="006C139C"/>
    <w:rsid w:val="006C1547"/>
    <w:rsid w:val="006C15CC"/>
    <w:rsid w:val="006C169B"/>
    <w:rsid w:val="006C1F03"/>
    <w:rsid w:val="006C1F3A"/>
    <w:rsid w:val="006C201E"/>
    <w:rsid w:val="006C20DB"/>
    <w:rsid w:val="006C21D6"/>
    <w:rsid w:val="006C233F"/>
    <w:rsid w:val="006C2366"/>
    <w:rsid w:val="006C244C"/>
    <w:rsid w:val="006C244F"/>
    <w:rsid w:val="006C24C0"/>
    <w:rsid w:val="006C25EA"/>
    <w:rsid w:val="006C2767"/>
    <w:rsid w:val="006C2789"/>
    <w:rsid w:val="006C2CFD"/>
    <w:rsid w:val="006C31B3"/>
    <w:rsid w:val="006C3226"/>
    <w:rsid w:val="006C322D"/>
    <w:rsid w:val="006C32DE"/>
    <w:rsid w:val="006C330B"/>
    <w:rsid w:val="006C35A3"/>
    <w:rsid w:val="006C385F"/>
    <w:rsid w:val="006C38B5"/>
    <w:rsid w:val="006C3ABE"/>
    <w:rsid w:val="006C3B5F"/>
    <w:rsid w:val="006C3B6C"/>
    <w:rsid w:val="006C3FF2"/>
    <w:rsid w:val="006C4208"/>
    <w:rsid w:val="006C423D"/>
    <w:rsid w:val="006C4456"/>
    <w:rsid w:val="006C4527"/>
    <w:rsid w:val="006C4A12"/>
    <w:rsid w:val="006C4A75"/>
    <w:rsid w:val="006C4D0B"/>
    <w:rsid w:val="006C4D27"/>
    <w:rsid w:val="006C5138"/>
    <w:rsid w:val="006C523A"/>
    <w:rsid w:val="006C5334"/>
    <w:rsid w:val="006C53A0"/>
    <w:rsid w:val="006C542E"/>
    <w:rsid w:val="006C5466"/>
    <w:rsid w:val="006C5625"/>
    <w:rsid w:val="006C582C"/>
    <w:rsid w:val="006C5C03"/>
    <w:rsid w:val="006C5D69"/>
    <w:rsid w:val="006C5E99"/>
    <w:rsid w:val="006C632A"/>
    <w:rsid w:val="006C64E0"/>
    <w:rsid w:val="006C653A"/>
    <w:rsid w:val="006C658F"/>
    <w:rsid w:val="006C67BE"/>
    <w:rsid w:val="006C696D"/>
    <w:rsid w:val="006C6982"/>
    <w:rsid w:val="006C6AE6"/>
    <w:rsid w:val="006C6B7B"/>
    <w:rsid w:val="006C6C4D"/>
    <w:rsid w:val="006C6DFD"/>
    <w:rsid w:val="006C6E63"/>
    <w:rsid w:val="006C7233"/>
    <w:rsid w:val="006C74C1"/>
    <w:rsid w:val="006C77BC"/>
    <w:rsid w:val="006C77F3"/>
    <w:rsid w:val="006C78D8"/>
    <w:rsid w:val="006C7916"/>
    <w:rsid w:val="006C7FDC"/>
    <w:rsid w:val="006D00CD"/>
    <w:rsid w:val="006D02AA"/>
    <w:rsid w:val="006D0479"/>
    <w:rsid w:val="006D08E3"/>
    <w:rsid w:val="006D0B19"/>
    <w:rsid w:val="006D0C91"/>
    <w:rsid w:val="006D0CD9"/>
    <w:rsid w:val="006D12BB"/>
    <w:rsid w:val="006D12DE"/>
    <w:rsid w:val="006D131A"/>
    <w:rsid w:val="006D13CF"/>
    <w:rsid w:val="006D143E"/>
    <w:rsid w:val="006D16B6"/>
    <w:rsid w:val="006D16EE"/>
    <w:rsid w:val="006D1710"/>
    <w:rsid w:val="006D1742"/>
    <w:rsid w:val="006D17C1"/>
    <w:rsid w:val="006D1949"/>
    <w:rsid w:val="006D1995"/>
    <w:rsid w:val="006D1A83"/>
    <w:rsid w:val="006D1D44"/>
    <w:rsid w:val="006D1E1C"/>
    <w:rsid w:val="006D203C"/>
    <w:rsid w:val="006D20C9"/>
    <w:rsid w:val="006D218A"/>
    <w:rsid w:val="006D22A7"/>
    <w:rsid w:val="006D25A2"/>
    <w:rsid w:val="006D28C5"/>
    <w:rsid w:val="006D2B97"/>
    <w:rsid w:val="006D2C5B"/>
    <w:rsid w:val="006D2CD1"/>
    <w:rsid w:val="006D2ED6"/>
    <w:rsid w:val="006D307A"/>
    <w:rsid w:val="006D319F"/>
    <w:rsid w:val="006D3321"/>
    <w:rsid w:val="006D3481"/>
    <w:rsid w:val="006D34F7"/>
    <w:rsid w:val="006D36FE"/>
    <w:rsid w:val="006D37A0"/>
    <w:rsid w:val="006D37F5"/>
    <w:rsid w:val="006D3ABD"/>
    <w:rsid w:val="006D4077"/>
    <w:rsid w:val="006D4128"/>
    <w:rsid w:val="006D427C"/>
    <w:rsid w:val="006D42F9"/>
    <w:rsid w:val="006D439B"/>
    <w:rsid w:val="006D44B1"/>
    <w:rsid w:val="006D45A7"/>
    <w:rsid w:val="006D4665"/>
    <w:rsid w:val="006D4771"/>
    <w:rsid w:val="006D47FA"/>
    <w:rsid w:val="006D4850"/>
    <w:rsid w:val="006D49E3"/>
    <w:rsid w:val="006D4AA2"/>
    <w:rsid w:val="006D4AB2"/>
    <w:rsid w:val="006D4C34"/>
    <w:rsid w:val="006D4CC6"/>
    <w:rsid w:val="006D4F20"/>
    <w:rsid w:val="006D502E"/>
    <w:rsid w:val="006D508B"/>
    <w:rsid w:val="006D53EF"/>
    <w:rsid w:val="006D55BA"/>
    <w:rsid w:val="006D55FA"/>
    <w:rsid w:val="006D5730"/>
    <w:rsid w:val="006D59CC"/>
    <w:rsid w:val="006D5B46"/>
    <w:rsid w:val="006D5B93"/>
    <w:rsid w:val="006D5BD9"/>
    <w:rsid w:val="006D5D22"/>
    <w:rsid w:val="006D5DB8"/>
    <w:rsid w:val="006D5E4A"/>
    <w:rsid w:val="006D60B9"/>
    <w:rsid w:val="006D631D"/>
    <w:rsid w:val="006D633E"/>
    <w:rsid w:val="006D6429"/>
    <w:rsid w:val="006D6774"/>
    <w:rsid w:val="006D67CE"/>
    <w:rsid w:val="006D68DB"/>
    <w:rsid w:val="006D69B1"/>
    <w:rsid w:val="006D6BD6"/>
    <w:rsid w:val="006D6E98"/>
    <w:rsid w:val="006D70FE"/>
    <w:rsid w:val="006D7331"/>
    <w:rsid w:val="006D7334"/>
    <w:rsid w:val="006D734F"/>
    <w:rsid w:val="006D7352"/>
    <w:rsid w:val="006D738F"/>
    <w:rsid w:val="006D7421"/>
    <w:rsid w:val="006D75E6"/>
    <w:rsid w:val="006D76CE"/>
    <w:rsid w:val="006D77FE"/>
    <w:rsid w:val="006D78B4"/>
    <w:rsid w:val="006D797E"/>
    <w:rsid w:val="006D7A2F"/>
    <w:rsid w:val="006D7BC4"/>
    <w:rsid w:val="006D7BF7"/>
    <w:rsid w:val="006D7DE7"/>
    <w:rsid w:val="006E010A"/>
    <w:rsid w:val="006E0120"/>
    <w:rsid w:val="006E0127"/>
    <w:rsid w:val="006E0280"/>
    <w:rsid w:val="006E07E9"/>
    <w:rsid w:val="006E0859"/>
    <w:rsid w:val="006E0930"/>
    <w:rsid w:val="006E09DA"/>
    <w:rsid w:val="006E0ABA"/>
    <w:rsid w:val="006E0B0B"/>
    <w:rsid w:val="006E0BF8"/>
    <w:rsid w:val="006E0D70"/>
    <w:rsid w:val="006E0E31"/>
    <w:rsid w:val="006E0ECB"/>
    <w:rsid w:val="006E1002"/>
    <w:rsid w:val="006E1013"/>
    <w:rsid w:val="006E114A"/>
    <w:rsid w:val="006E13FF"/>
    <w:rsid w:val="006E1528"/>
    <w:rsid w:val="006E1611"/>
    <w:rsid w:val="006E1795"/>
    <w:rsid w:val="006E1A4B"/>
    <w:rsid w:val="006E1B37"/>
    <w:rsid w:val="006E1B94"/>
    <w:rsid w:val="006E1CF7"/>
    <w:rsid w:val="006E1DA0"/>
    <w:rsid w:val="006E1E16"/>
    <w:rsid w:val="006E1E99"/>
    <w:rsid w:val="006E20C8"/>
    <w:rsid w:val="006E2387"/>
    <w:rsid w:val="006E23CD"/>
    <w:rsid w:val="006E2449"/>
    <w:rsid w:val="006E250A"/>
    <w:rsid w:val="006E2533"/>
    <w:rsid w:val="006E25BB"/>
    <w:rsid w:val="006E263A"/>
    <w:rsid w:val="006E2650"/>
    <w:rsid w:val="006E267F"/>
    <w:rsid w:val="006E28E9"/>
    <w:rsid w:val="006E290F"/>
    <w:rsid w:val="006E295F"/>
    <w:rsid w:val="006E2C06"/>
    <w:rsid w:val="006E2C7E"/>
    <w:rsid w:val="006E2CDB"/>
    <w:rsid w:val="006E2CEB"/>
    <w:rsid w:val="006E2EEF"/>
    <w:rsid w:val="006E33A4"/>
    <w:rsid w:val="006E33D0"/>
    <w:rsid w:val="006E34D3"/>
    <w:rsid w:val="006E363A"/>
    <w:rsid w:val="006E37BD"/>
    <w:rsid w:val="006E39FB"/>
    <w:rsid w:val="006E3C2D"/>
    <w:rsid w:val="006E41E0"/>
    <w:rsid w:val="006E4285"/>
    <w:rsid w:val="006E4374"/>
    <w:rsid w:val="006E4529"/>
    <w:rsid w:val="006E45F8"/>
    <w:rsid w:val="006E4671"/>
    <w:rsid w:val="006E4821"/>
    <w:rsid w:val="006E488E"/>
    <w:rsid w:val="006E49D1"/>
    <w:rsid w:val="006E4A71"/>
    <w:rsid w:val="006E4B57"/>
    <w:rsid w:val="006E4BD4"/>
    <w:rsid w:val="006E4C6F"/>
    <w:rsid w:val="006E4C92"/>
    <w:rsid w:val="006E4CF4"/>
    <w:rsid w:val="006E4E6B"/>
    <w:rsid w:val="006E4E9C"/>
    <w:rsid w:val="006E4FF9"/>
    <w:rsid w:val="006E51E8"/>
    <w:rsid w:val="006E5418"/>
    <w:rsid w:val="006E551B"/>
    <w:rsid w:val="006E561F"/>
    <w:rsid w:val="006E562B"/>
    <w:rsid w:val="006E58CE"/>
    <w:rsid w:val="006E5A87"/>
    <w:rsid w:val="006E5B61"/>
    <w:rsid w:val="006E5B9E"/>
    <w:rsid w:val="006E5ECF"/>
    <w:rsid w:val="006E5F90"/>
    <w:rsid w:val="006E5FD9"/>
    <w:rsid w:val="006E63AE"/>
    <w:rsid w:val="006E64BF"/>
    <w:rsid w:val="006E6B3A"/>
    <w:rsid w:val="006E6BF8"/>
    <w:rsid w:val="006E6F04"/>
    <w:rsid w:val="006E700E"/>
    <w:rsid w:val="006E70CD"/>
    <w:rsid w:val="006E7198"/>
    <w:rsid w:val="006E7224"/>
    <w:rsid w:val="006E72DD"/>
    <w:rsid w:val="006E7802"/>
    <w:rsid w:val="006E78AB"/>
    <w:rsid w:val="006E78DC"/>
    <w:rsid w:val="006E7A7F"/>
    <w:rsid w:val="006E7C67"/>
    <w:rsid w:val="006E7D9A"/>
    <w:rsid w:val="006E7DA3"/>
    <w:rsid w:val="006E7DD0"/>
    <w:rsid w:val="006E7EAD"/>
    <w:rsid w:val="006E7F73"/>
    <w:rsid w:val="006E7FEF"/>
    <w:rsid w:val="006F0499"/>
    <w:rsid w:val="006F06EE"/>
    <w:rsid w:val="006F089A"/>
    <w:rsid w:val="006F0AE1"/>
    <w:rsid w:val="006F0C83"/>
    <w:rsid w:val="006F0EB9"/>
    <w:rsid w:val="006F0F07"/>
    <w:rsid w:val="006F0F97"/>
    <w:rsid w:val="006F0FC5"/>
    <w:rsid w:val="006F109D"/>
    <w:rsid w:val="006F1251"/>
    <w:rsid w:val="006F1327"/>
    <w:rsid w:val="006F1519"/>
    <w:rsid w:val="006F1893"/>
    <w:rsid w:val="006F191E"/>
    <w:rsid w:val="006F1D7D"/>
    <w:rsid w:val="006F20DC"/>
    <w:rsid w:val="006F217D"/>
    <w:rsid w:val="006F2544"/>
    <w:rsid w:val="006F254B"/>
    <w:rsid w:val="006F2585"/>
    <w:rsid w:val="006F273E"/>
    <w:rsid w:val="006F2745"/>
    <w:rsid w:val="006F2802"/>
    <w:rsid w:val="006F2A66"/>
    <w:rsid w:val="006F2AE3"/>
    <w:rsid w:val="006F2B0E"/>
    <w:rsid w:val="006F2D7E"/>
    <w:rsid w:val="006F2F6D"/>
    <w:rsid w:val="006F3180"/>
    <w:rsid w:val="006F318A"/>
    <w:rsid w:val="006F357C"/>
    <w:rsid w:val="006F36FF"/>
    <w:rsid w:val="006F39BC"/>
    <w:rsid w:val="006F3AF6"/>
    <w:rsid w:val="006F3B3F"/>
    <w:rsid w:val="006F3BF0"/>
    <w:rsid w:val="006F41FF"/>
    <w:rsid w:val="006F4332"/>
    <w:rsid w:val="006F4457"/>
    <w:rsid w:val="006F481E"/>
    <w:rsid w:val="006F4826"/>
    <w:rsid w:val="006F48F6"/>
    <w:rsid w:val="006F493A"/>
    <w:rsid w:val="006F4C90"/>
    <w:rsid w:val="006F4CDD"/>
    <w:rsid w:val="006F5043"/>
    <w:rsid w:val="006F50E7"/>
    <w:rsid w:val="006F5576"/>
    <w:rsid w:val="006F56C3"/>
    <w:rsid w:val="006F5860"/>
    <w:rsid w:val="006F5925"/>
    <w:rsid w:val="006F5A74"/>
    <w:rsid w:val="006F5C3B"/>
    <w:rsid w:val="006F5FB6"/>
    <w:rsid w:val="006F608E"/>
    <w:rsid w:val="006F60CF"/>
    <w:rsid w:val="006F621F"/>
    <w:rsid w:val="006F6244"/>
    <w:rsid w:val="006F62BD"/>
    <w:rsid w:val="006F65BB"/>
    <w:rsid w:val="006F65E3"/>
    <w:rsid w:val="006F6A81"/>
    <w:rsid w:val="006F6E63"/>
    <w:rsid w:val="006F6F81"/>
    <w:rsid w:val="006F714B"/>
    <w:rsid w:val="006F73CC"/>
    <w:rsid w:val="006F73F5"/>
    <w:rsid w:val="006F74B1"/>
    <w:rsid w:val="006F7799"/>
    <w:rsid w:val="006F7852"/>
    <w:rsid w:val="006F79AD"/>
    <w:rsid w:val="006F79ED"/>
    <w:rsid w:val="006F7C8E"/>
    <w:rsid w:val="006F7CCB"/>
    <w:rsid w:val="006F7DCB"/>
    <w:rsid w:val="006F7DEE"/>
    <w:rsid w:val="00700251"/>
    <w:rsid w:val="007005B4"/>
    <w:rsid w:val="007005D6"/>
    <w:rsid w:val="007009AB"/>
    <w:rsid w:val="00700A1D"/>
    <w:rsid w:val="00700CF3"/>
    <w:rsid w:val="00700E6E"/>
    <w:rsid w:val="00700F0F"/>
    <w:rsid w:val="0070109C"/>
    <w:rsid w:val="007010FC"/>
    <w:rsid w:val="007011BB"/>
    <w:rsid w:val="0070120A"/>
    <w:rsid w:val="00701219"/>
    <w:rsid w:val="00701429"/>
    <w:rsid w:val="00701560"/>
    <w:rsid w:val="00701605"/>
    <w:rsid w:val="0070178F"/>
    <w:rsid w:val="00701805"/>
    <w:rsid w:val="00701857"/>
    <w:rsid w:val="00701EFB"/>
    <w:rsid w:val="00701F22"/>
    <w:rsid w:val="00702197"/>
    <w:rsid w:val="00702280"/>
    <w:rsid w:val="00702415"/>
    <w:rsid w:val="0070250A"/>
    <w:rsid w:val="00702514"/>
    <w:rsid w:val="00702575"/>
    <w:rsid w:val="007028CD"/>
    <w:rsid w:val="00702ACB"/>
    <w:rsid w:val="00702B27"/>
    <w:rsid w:val="00702C69"/>
    <w:rsid w:val="00702DF2"/>
    <w:rsid w:val="00702EF7"/>
    <w:rsid w:val="00702FD4"/>
    <w:rsid w:val="0070308A"/>
    <w:rsid w:val="0070316E"/>
    <w:rsid w:val="00703175"/>
    <w:rsid w:val="007033EF"/>
    <w:rsid w:val="007035A3"/>
    <w:rsid w:val="007036DC"/>
    <w:rsid w:val="00703797"/>
    <w:rsid w:val="0070391B"/>
    <w:rsid w:val="007039AB"/>
    <w:rsid w:val="00703B12"/>
    <w:rsid w:val="00703C6C"/>
    <w:rsid w:val="00703CD5"/>
    <w:rsid w:val="00703D84"/>
    <w:rsid w:val="00703F33"/>
    <w:rsid w:val="007046B8"/>
    <w:rsid w:val="007047B6"/>
    <w:rsid w:val="0070481C"/>
    <w:rsid w:val="007048C1"/>
    <w:rsid w:val="0070490D"/>
    <w:rsid w:val="00704DB2"/>
    <w:rsid w:val="00704E3E"/>
    <w:rsid w:val="00704EE2"/>
    <w:rsid w:val="00704F87"/>
    <w:rsid w:val="007050C7"/>
    <w:rsid w:val="00705324"/>
    <w:rsid w:val="007053EB"/>
    <w:rsid w:val="0070547C"/>
    <w:rsid w:val="00705486"/>
    <w:rsid w:val="007054AC"/>
    <w:rsid w:val="007054E4"/>
    <w:rsid w:val="007054EF"/>
    <w:rsid w:val="007055B6"/>
    <w:rsid w:val="0070562C"/>
    <w:rsid w:val="007056E2"/>
    <w:rsid w:val="00705866"/>
    <w:rsid w:val="00705990"/>
    <w:rsid w:val="007059E7"/>
    <w:rsid w:val="007059F0"/>
    <w:rsid w:val="00705B23"/>
    <w:rsid w:val="00705B5B"/>
    <w:rsid w:val="00705DA9"/>
    <w:rsid w:val="00705E19"/>
    <w:rsid w:val="00705E44"/>
    <w:rsid w:val="00705EA9"/>
    <w:rsid w:val="00706033"/>
    <w:rsid w:val="00706222"/>
    <w:rsid w:val="00706291"/>
    <w:rsid w:val="0070633D"/>
    <w:rsid w:val="00706409"/>
    <w:rsid w:val="007064D4"/>
    <w:rsid w:val="00706507"/>
    <w:rsid w:val="0070661E"/>
    <w:rsid w:val="00706A49"/>
    <w:rsid w:val="00706E27"/>
    <w:rsid w:val="00706E67"/>
    <w:rsid w:val="0070704C"/>
    <w:rsid w:val="0070724B"/>
    <w:rsid w:val="007076DD"/>
    <w:rsid w:val="007077DB"/>
    <w:rsid w:val="00707A02"/>
    <w:rsid w:val="00707F07"/>
    <w:rsid w:val="00707F35"/>
    <w:rsid w:val="0071001E"/>
    <w:rsid w:val="007100E5"/>
    <w:rsid w:val="00710178"/>
    <w:rsid w:val="0071021D"/>
    <w:rsid w:val="007102B7"/>
    <w:rsid w:val="00710679"/>
    <w:rsid w:val="00710CB1"/>
    <w:rsid w:val="00710FBA"/>
    <w:rsid w:val="00710FCD"/>
    <w:rsid w:val="00711050"/>
    <w:rsid w:val="0071111B"/>
    <w:rsid w:val="007111A1"/>
    <w:rsid w:val="0071135A"/>
    <w:rsid w:val="00711713"/>
    <w:rsid w:val="00711896"/>
    <w:rsid w:val="00711A24"/>
    <w:rsid w:val="00711AD2"/>
    <w:rsid w:val="00711B77"/>
    <w:rsid w:val="00711D4F"/>
    <w:rsid w:val="00711DF1"/>
    <w:rsid w:val="00711F3A"/>
    <w:rsid w:val="00712091"/>
    <w:rsid w:val="007120D1"/>
    <w:rsid w:val="0071220D"/>
    <w:rsid w:val="00712226"/>
    <w:rsid w:val="00712403"/>
    <w:rsid w:val="0071241A"/>
    <w:rsid w:val="007125AF"/>
    <w:rsid w:val="007127A3"/>
    <w:rsid w:val="00712849"/>
    <w:rsid w:val="007129AD"/>
    <w:rsid w:val="00712BEF"/>
    <w:rsid w:val="00712CAF"/>
    <w:rsid w:val="00712DDB"/>
    <w:rsid w:val="007134E5"/>
    <w:rsid w:val="0071352A"/>
    <w:rsid w:val="00713808"/>
    <w:rsid w:val="00713915"/>
    <w:rsid w:val="00713CC5"/>
    <w:rsid w:val="00713CC7"/>
    <w:rsid w:val="00713D16"/>
    <w:rsid w:val="00713DE2"/>
    <w:rsid w:val="00713E7F"/>
    <w:rsid w:val="00713E96"/>
    <w:rsid w:val="0071425D"/>
    <w:rsid w:val="0071426B"/>
    <w:rsid w:val="00714292"/>
    <w:rsid w:val="007142A8"/>
    <w:rsid w:val="00714711"/>
    <w:rsid w:val="00714717"/>
    <w:rsid w:val="00714736"/>
    <w:rsid w:val="00714A2B"/>
    <w:rsid w:val="00714B2C"/>
    <w:rsid w:val="00714CA1"/>
    <w:rsid w:val="00714DD8"/>
    <w:rsid w:val="00714E1C"/>
    <w:rsid w:val="00715665"/>
    <w:rsid w:val="007159C6"/>
    <w:rsid w:val="00715B19"/>
    <w:rsid w:val="00715F77"/>
    <w:rsid w:val="007160CB"/>
    <w:rsid w:val="00716120"/>
    <w:rsid w:val="00716154"/>
    <w:rsid w:val="007163F8"/>
    <w:rsid w:val="00716579"/>
    <w:rsid w:val="0071673E"/>
    <w:rsid w:val="007169D0"/>
    <w:rsid w:val="007169D4"/>
    <w:rsid w:val="00716B90"/>
    <w:rsid w:val="00716BB4"/>
    <w:rsid w:val="00716CA4"/>
    <w:rsid w:val="00716D50"/>
    <w:rsid w:val="00716F25"/>
    <w:rsid w:val="00717059"/>
    <w:rsid w:val="007170DA"/>
    <w:rsid w:val="007172F2"/>
    <w:rsid w:val="00717398"/>
    <w:rsid w:val="00717507"/>
    <w:rsid w:val="007176DA"/>
    <w:rsid w:val="007178E2"/>
    <w:rsid w:val="00717E11"/>
    <w:rsid w:val="00717E78"/>
    <w:rsid w:val="007200AD"/>
    <w:rsid w:val="00720268"/>
    <w:rsid w:val="00720279"/>
    <w:rsid w:val="007202BB"/>
    <w:rsid w:val="00720531"/>
    <w:rsid w:val="00720545"/>
    <w:rsid w:val="0072075E"/>
    <w:rsid w:val="00720B4B"/>
    <w:rsid w:val="00720D57"/>
    <w:rsid w:val="00720E4A"/>
    <w:rsid w:val="00721061"/>
    <w:rsid w:val="0072108D"/>
    <w:rsid w:val="0072108E"/>
    <w:rsid w:val="0072118B"/>
    <w:rsid w:val="007215D1"/>
    <w:rsid w:val="00721694"/>
    <w:rsid w:val="0072178C"/>
    <w:rsid w:val="00721A61"/>
    <w:rsid w:val="00721C31"/>
    <w:rsid w:val="00721CAB"/>
    <w:rsid w:val="00721E1A"/>
    <w:rsid w:val="00721F51"/>
    <w:rsid w:val="00722048"/>
    <w:rsid w:val="00722115"/>
    <w:rsid w:val="007221F7"/>
    <w:rsid w:val="007223C2"/>
    <w:rsid w:val="0072260C"/>
    <w:rsid w:val="00722733"/>
    <w:rsid w:val="007228B7"/>
    <w:rsid w:val="007228F4"/>
    <w:rsid w:val="00722A2C"/>
    <w:rsid w:val="00722B36"/>
    <w:rsid w:val="00722C6A"/>
    <w:rsid w:val="00722DCE"/>
    <w:rsid w:val="00722E6E"/>
    <w:rsid w:val="00722F34"/>
    <w:rsid w:val="00723035"/>
    <w:rsid w:val="0072321D"/>
    <w:rsid w:val="007234F0"/>
    <w:rsid w:val="00723A9C"/>
    <w:rsid w:val="00723D4F"/>
    <w:rsid w:val="00723DD6"/>
    <w:rsid w:val="00723F3B"/>
    <w:rsid w:val="00723FB9"/>
    <w:rsid w:val="007240ED"/>
    <w:rsid w:val="00724106"/>
    <w:rsid w:val="00724272"/>
    <w:rsid w:val="00724415"/>
    <w:rsid w:val="0072458D"/>
    <w:rsid w:val="0072463C"/>
    <w:rsid w:val="00724891"/>
    <w:rsid w:val="007248D2"/>
    <w:rsid w:val="00724967"/>
    <w:rsid w:val="00724A75"/>
    <w:rsid w:val="00724B30"/>
    <w:rsid w:val="00724D25"/>
    <w:rsid w:val="00724E3D"/>
    <w:rsid w:val="00724E99"/>
    <w:rsid w:val="00724EEE"/>
    <w:rsid w:val="00724FDF"/>
    <w:rsid w:val="0072554C"/>
    <w:rsid w:val="0072554E"/>
    <w:rsid w:val="00725565"/>
    <w:rsid w:val="00725742"/>
    <w:rsid w:val="0072596A"/>
    <w:rsid w:val="00725AC1"/>
    <w:rsid w:val="00725F40"/>
    <w:rsid w:val="007260DE"/>
    <w:rsid w:val="007260EF"/>
    <w:rsid w:val="00726205"/>
    <w:rsid w:val="00726308"/>
    <w:rsid w:val="0072639A"/>
    <w:rsid w:val="007265D7"/>
    <w:rsid w:val="007265F9"/>
    <w:rsid w:val="0072675F"/>
    <w:rsid w:val="00726912"/>
    <w:rsid w:val="00726ED0"/>
    <w:rsid w:val="00726EEF"/>
    <w:rsid w:val="00727220"/>
    <w:rsid w:val="00727364"/>
    <w:rsid w:val="0072747D"/>
    <w:rsid w:val="007274AB"/>
    <w:rsid w:val="00727C68"/>
    <w:rsid w:val="00727D72"/>
    <w:rsid w:val="00727F31"/>
    <w:rsid w:val="00727F99"/>
    <w:rsid w:val="00730018"/>
    <w:rsid w:val="00730245"/>
    <w:rsid w:val="00730471"/>
    <w:rsid w:val="007304BB"/>
    <w:rsid w:val="007304D6"/>
    <w:rsid w:val="00730523"/>
    <w:rsid w:val="0073053D"/>
    <w:rsid w:val="007305DF"/>
    <w:rsid w:val="00730685"/>
    <w:rsid w:val="007306F1"/>
    <w:rsid w:val="00730814"/>
    <w:rsid w:val="00730854"/>
    <w:rsid w:val="00730AE0"/>
    <w:rsid w:val="00730B47"/>
    <w:rsid w:val="00730BC8"/>
    <w:rsid w:val="00730C25"/>
    <w:rsid w:val="00730CC1"/>
    <w:rsid w:val="00730D8C"/>
    <w:rsid w:val="00731207"/>
    <w:rsid w:val="0073124D"/>
    <w:rsid w:val="0073135F"/>
    <w:rsid w:val="00731581"/>
    <w:rsid w:val="007316F3"/>
    <w:rsid w:val="0073170C"/>
    <w:rsid w:val="00731B9D"/>
    <w:rsid w:val="00731BCC"/>
    <w:rsid w:val="00731C03"/>
    <w:rsid w:val="00731E3B"/>
    <w:rsid w:val="00731E45"/>
    <w:rsid w:val="00731EBA"/>
    <w:rsid w:val="00731FB5"/>
    <w:rsid w:val="00732055"/>
    <w:rsid w:val="0073213C"/>
    <w:rsid w:val="007322D8"/>
    <w:rsid w:val="007325B3"/>
    <w:rsid w:val="007328B1"/>
    <w:rsid w:val="0073296E"/>
    <w:rsid w:val="00732A8A"/>
    <w:rsid w:val="00732B40"/>
    <w:rsid w:val="0073305B"/>
    <w:rsid w:val="0073371E"/>
    <w:rsid w:val="0073375E"/>
    <w:rsid w:val="00733853"/>
    <w:rsid w:val="00733868"/>
    <w:rsid w:val="007338F4"/>
    <w:rsid w:val="00733B11"/>
    <w:rsid w:val="007340B2"/>
    <w:rsid w:val="007343C6"/>
    <w:rsid w:val="007344CD"/>
    <w:rsid w:val="0073465D"/>
    <w:rsid w:val="00734AE9"/>
    <w:rsid w:val="00734BD0"/>
    <w:rsid w:val="00734BE7"/>
    <w:rsid w:val="00734C5B"/>
    <w:rsid w:val="00734C84"/>
    <w:rsid w:val="00734D67"/>
    <w:rsid w:val="00735163"/>
    <w:rsid w:val="0073530E"/>
    <w:rsid w:val="00735356"/>
    <w:rsid w:val="007356D3"/>
    <w:rsid w:val="00735CBB"/>
    <w:rsid w:val="00735CFB"/>
    <w:rsid w:val="007361EC"/>
    <w:rsid w:val="007362BD"/>
    <w:rsid w:val="007364FA"/>
    <w:rsid w:val="00736524"/>
    <w:rsid w:val="00736612"/>
    <w:rsid w:val="00736670"/>
    <w:rsid w:val="0073677E"/>
    <w:rsid w:val="007367FD"/>
    <w:rsid w:val="00736900"/>
    <w:rsid w:val="00736C74"/>
    <w:rsid w:val="00736CB2"/>
    <w:rsid w:val="00736ECA"/>
    <w:rsid w:val="007370F4"/>
    <w:rsid w:val="007371E0"/>
    <w:rsid w:val="0073720A"/>
    <w:rsid w:val="007373BE"/>
    <w:rsid w:val="00737622"/>
    <w:rsid w:val="00737792"/>
    <w:rsid w:val="007377B9"/>
    <w:rsid w:val="007377C0"/>
    <w:rsid w:val="007378D3"/>
    <w:rsid w:val="007379EF"/>
    <w:rsid w:val="00737A32"/>
    <w:rsid w:val="00737B46"/>
    <w:rsid w:val="00737E3B"/>
    <w:rsid w:val="00737E9F"/>
    <w:rsid w:val="0074027B"/>
    <w:rsid w:val="00740423"/>
    <w:rsid w:val="00740494"/>
    <w:rsid w:val="00740730"/>
    <w:rsid w:val="007408DF"/>
    <w:rsid w:val="00740AC9"/>
    <w:rsid w:val="00740BEC"/>
    <w:rsid w:val="00740D69"/>
    <w:rsid w:val="007413FE"/>
    <w:rsid w:val="0074159A"/>
    <w:rsid w:val="00741898"/>
    <w:rsid w:val="007418E7"/>
    <w:rsid w:val="00741E5C"/>
    <w:rsid w:val="00741FCA"/>
    <w:rsid w:val="00742238"/>
    <w:rsid w:val="00742479"/>
    <w:rsid w:val="007426FC"/>
    <w:rsid w:val="00742730"/>
    <w:rsid w:val="00742949"/>
    <w:rsid w:val="00742DAE"/>
    <w:rsid w:val="00742E22"/>
    <w:rsid w:val="00742E93"/>
    <w:rsid w:val="00742FD7"/>
    <w:rsid w:val="00743521"/>
    <w:rsid w:val="00743559"/>
    <w:rsid w:val="00743682"/>
    <w:rsid w:val="007436D4"/>
    <w:rsid w:val="00743795"/>
    <w:rsid w:val="0074380B"/>
    <w:rsid w:val="0074381E"/>
    <w:rsid w:val="00743859"/>
    <w:rsid w:val="00743A47"/>
    <w:rsid w:val="00743C3B"/>
    <w:rsid w:val="00743C7B"/>
    <w:rsid w:val="00743DD7"/>
    <w:rsid w:val="00743E6E"/>
    <w:rsid w:val="00743EB0"/>
    <w:rsid w:val="00743FD5"/>
    <w:rsid w:val="007440C1"/>
    <w:rsid w:val="007446DB"/>
    <w:rsid w:val="00744722"/>
    <w:rsid w:val="00744856"/>
    <w:rsid w:val="007448FC"/>
    <w:rsid w:val="00744B11"/>
    <w:rsid w:val="00744D1D"/>
    <w:rsid w:val="00744DC6"/>
    <w:rsid w:val="00744E46"/>
    <w:rsid w:val="00744FF1"/>
    <w:rsid w:val="00745560"/>
    <w:rsid w:val="007455D4"/>
    <w:rsid w:val="0074579B"/>
    <w:rsid w:val="007457CD"/>
    <w:rsid w:val="00745B25"/>
    <w:rsid w:val="00745B55"/>
    <w:rsid w:val="00745D48"/>
    <w:rsid w:val="00745D7E"/>
    <w:rsid w:val="00745EF2"/>
    <w:rsid w:val="00745FEA"/>
    <w:rsid w:val="007460A9"/>
    <w:rsid w:val="007461EA"/>
    <w:rsid w:val="0074638D"/>
    <w:rsid w:val="00746433"/>
    <w:rsid w:val="007464B7"/>
    <w:rsid w:val="007464C3"/>
    <w:rsid w:val="00746515"/>
    <w:rsid w:val="007465D3"/>
    <w:rsid w:val="00746715"/>
    <w:rsid w:val="007468FC"/>
    <w:rsid w:val="00746A0E"/>
    <w:rsid w:val="00746B33"/>
    <w:rsid w:val="00746B52"/>
    <w:rsid w:val="00746B5F"/>
    <w:rsid w:val="00746E5A"/>
    <w:rsid w:val="00747008"/>
    <w:rsid w:val="007470E5"/>
    <w:rsid w:val="0074716E"/>
    <w:rsid w:val="0074721F"/>
    <w:rsid w:val="00747321"/>
    <w:rsid w:val="007474C1"/>
    <w:rsid w:val="0074793D"/>
    <w:rsid w:val="0074795A"/>
    <w:rsid w:val="0074796B"/>
    <w:rsid w:val="00747988"/>
    <w:rsid w:val="00747C0A"/>
    <w:rsid w:val="00747C7E"/>
    <w:rsid w:val="00747CD2"/>
    <w:rsid w:val="00747DA3"/>
    <w:rsid w:val="00747EBB"/>
    <w:rsid w:val="00747EFA"/>
    <w:rsid w:val="00747F6F"/>
    <w:rsid w:val="00747F8E"/>
    <w:rsid w:val="00747F92"/>
    <w:rsid w:val="007502F6"/>
    <w:rsid w:val="00750515"/>
    <w:rsid w:val="0075053A"/>
    <w:rsid w:val="0075067F"/>
    <w:rsid w:val="007506E5"/>
    <w:rsid w:val="007507CE"/>
    <w:rsid w:val="00750940"/>
    <w:rsid w:val="007509FA"/>
    <w:rsid w:val="00750A82"/>
    <w:rsid w:val="00750BAF"/>
    <w:rsid w:val="00750DCE"/>
    <w:rsid w:val="00750E30"/>
    <w:rsid w:val="00751016"/>
    <w:rsid w:val="00751181"/>
    <w:rsid w:val="00751344"/>
    <w:rsid w:val="007513AB"/>
    <w:rsid w:val="00751502"/>
    <w:rsid w:val="007515DF"/>
    <w:rsid w:val="00751800"/>
    <w:rsid w:val="00751941"/>
    <w:rsid w:val="007519EE"/>
    <w:rsid w:val="0075239E"/>
    <w:rsid w:val="00752BF8"/>
    <w:rsid w:val="00752CE8"/>
    <w:rsid w:val="00752D27"/>
    <w:rsid w:val="0075309B"/>
    <w:rsid w:val="00753332"/>
    <w:rsid w:val="00753447"/>
    <w:rsid w:val="0075350C"/>
    <w:rsid w:val="0075365A"/>
    <w:rsid w:val="007537A4"/>
    <w:rsid w:val="00753A3E"/>
    <w:rsid w:val="00753BE4"/>
    <w:rsid w:val="00753C94"/>
    <w:rsid w:val="00753CE8"/>
    <w:rsid w:val="00753DEA"/>
    <w:rsid w:val="00753FF7"/>
    <w:rsid w:val="007540EF"/>
    <w:rsid w:val="0075417C"/>
    <w:rsid w:val="00754212"/>
    <w:rsid w:val="007542F8"/>
    <w:rsid w:val="00754365"/>
    <w:rsid w:val="00754376"/>
    <w:rsid w:val="00754689"/>
    <w:rsid w:val="00754798"/>
    <w:rsid w:val="007547BF"/>
    <w:rsid w:val="0075481B"/>
    <w:rsid w:val="00754CBC"/>
    <w:rsid w:val="00754D31"/>
    <w:rsid w:val="0075510A"/>
    <w:rsid w:val="00755371"/>
    <w:rsid w:val="00755387"/>
    <w:rsid w:val="0075542F"/>
    <w:rsid w:val="0075566B"/>
    <w:rsid w:val="007557E2"/>
    <w:rsid w:val="00755B0D"/>
    <w:rsid w:val="00755DE5"/>
    <w:rsid w:val="00755E6F"/>
    <w:rsid w:val="00755F23"/>
    <w:rsid w:val="00755F7C"/>
    <w:rsid w:val="0075628F"/>
    <w:rsid w:val="007562DD"/>
    <w:rsid w:val="00756604"/>
    <w:rsid w:val="007566F3"/>
    <w:rsid w:val="00756A01"/>
    <w:rsid w:val="00756C84"/>
    <w:rsid w:val="00756CE2"/>
    <w:rsid w:val="00756EE7"/>
    <w:rsid w:val="007570DB"/>
    <w:rsid w:val="0075733F"/>
    <w:rsid w:val="00757344"/>
    <w:rsid w:val="00757480"/>
    <w:rsid w:val="00757568"/>
    <w:rsid w:val="0075766B"/>
    <w:rsid w:val="007577A6"/>
    <w:rsid w:val="00757AF8"/>
    <w:rsid w:val="00757E06"/>
    <w:rsid w:val="00757EBA"/>
    <w:rsid w:val="00757FF5"/>
    <w:rsid w:val="0076004C"/>
    <w:rsid w:val="007600F8"/>
    <w:rsid w:val="00760169"/>
    <w:rsid w:val="0076038C"/>
    <w:rsid w:val="007603A7"/>
    <w:rsid w:val="007603F3"/>
    <w:rsid w:val="0076044E"/>
    <w:rsid w:val="00760577"/>
    <w:rsid w:val="00760625"/>
    <w:rsid w:val="00760682"/>
    <w:rsid w:val="0076069B"/>
    <w:rsid w:val="007606C6"/>
    <w:rsid w:val="00760A70"/>
    <w:rsid w:val="00760CD2"/>
    <w:rsid w:val="00760EBD"/>
    <w:rsid w:val="00760F5F"/>
    <w:rsid w:val="00761119"/>
    <w:rsid w:val="007611DD"/>
    <w:rsid w:val="00761301"/>
    <w:rsid w:val="007615E1"/>
    <w:rsid w:val="00761721"/>
    <w:rsid w:val="007618C2"/>
    <w:rsid w:val="007619DE"/>
    <w:rsid w:val="00761A44"/>
    <w:rsid w:val="00761ADA"/>
    <w:rsid w:val="00761DE1"/>
    <w:rsid w:val="007620F1"/>
    <w:rsid w:val="00762126"/>
    <w:rsid w:val="00762453"/>
    <w:rsid w:val="0076256E"/>
    <w:rsid w:val="00762AD2"/>
    <w:rsid w:val="00762B0C"/>
    <w:rsid w:val="00762CC9"/>
    <w:rsid w:val="00762CD6"/>
    <w:rsid w:val="00762E66"/>
    <w:rsid w:val="00762E6C"/>
    <w:rsid w:val="00763102"/>
    <w:rsid w:val="0076316A"/>
    <w:rsid w:val="0076317E"/>
    <w:rsid w:val="00763181"/>
    <w:rsid w:val="0076346E"/>
    <w:rsid w:val="0076364F"/>
    <w:rsid w:val="007638C6"/>
    <w:rsid w:val="0076397E"/>
    <w:rsid w:val="00763B78"/>
    <w:rsid w:val="00763C80"/>
    <w:rsid w:val="00763D65"/>
    <w:rsid w:val="00763DA7"/>
    <w:rsid w:val="00763F0E"/>
    <w:rsid w:val="00763F4D"/>
    <w:rsid w:val="0076416D"/>
    <w:rsid w:val="0076416E"/>
    <w:rsid w:val="00764176"/>
    <w:rsid w:val="00764445"/>
    <w:rsid w:val="007647C5"/>
    <w:rsid w:val="007647CC"/>
    <w:rsid w:val="007649DD"/>
    <w:rsid w:val="00764ADE"/>
    <w:rsid w:val="00764BC4"/>
    <w:rsid w:val="00764D53"/>
    <w:rsid w:val="007650F1"/>
    <w:rsid w:val="00765389"/>
    <w:rsid w:val="0076545F"/>
    <w:rsid w:val="0076548D"/>
    <w:rsid w:val="00765559"/>
    <w:rsid w:val="00765572"/>
    <w:rsid w:val="0076596D"/>
    <w:rsid w:val="00765A37"/>
    <w:rsid w:val="00765D19"/>
    <w:rsid w:val="00765D98"/>
    <w:rsid w:val="00765F31"/>
    <w:rsid w:val="00765FE0"/>
    <w:rsid w:val="00766043"/>
    <w:rsid w:val="0076613A"/>
    <w:rsid w:val="0076614B"/>
    <w:rsid w:val="00766416"/>
    <w:rsid w:val="0076642F"/>
    <w:rsid w:val="0076659F"/>
    <w:rsid w:val="00766647"/>
    <w:rsid w:val="007666C3"/>
    <w:rsid w:val="00766721"/>
    <w:rsid w:val="007667D1"/>
    <w:rsid w:val="00766819"/>
    <w:rsid w:val="0076698E"/>
    <w:rsid w:val="007669EC"/>
    <w:rsid w:val="00766A5A"/>
    <w:rsid w:val="00766AD7"/>
    <w:rsid w:val="00766DA5"/>
    <w:rsid w:val="00766DD4"/>
    <w:rsid w:val="007670A7"/>
    <w:rsid w:val="00767173"/>
    <w:rsid w:val="00767280"/>
    <w:rsid w:val="007672BC"/>
    <w:rsid w:val="00767476"/>
    <w:rsid w:val="00767595"/>
    <w:rsid w:val="007675BF"/>
    <w:rsid w:val="007675CC"/>
    <w:rsid w:val="00767648"/>
    <w:rsid w:val="0076776A"/>
    <w:rsid w:val="00767BC0"/>
    <w:rsid w:val="00767C11"/>
    <w:rsid w:val="00767D87"/>
    <w:rsid w:val="00770258"/>
    <w:rsid w:val="00770607"/>
    <w:rsid w:val="00770687"/>
    <w:rsid w:val="00770C50"/>
    <w:rsid w:val="00770D8B"/>
    <w:rsid w:val="00770DB4"/>
    <w:rsid w:val="007710E0"/>
    <w:rsid w:val="007712C3"/>
    <w:rsid w:val="00771445"/>
    <w:rsid w:val="007718BA"/>
    <w:rsid w:val="00771F9E"/>
    <w:rsid w:val="00771FB7"/>
    <w:rsid w:val="00771FDE"/>
    <w:rsid w:val="00772019"/>
    <w:rsid w:val="00772148"/>
    <w:rsid w:val="007721A7"/>
    <w:rsid w:val="00772433"/>
    <w:rsid w:val="0077252F"/>
    <w:rsid w:val="00772665"/>
    <w:rsid w:val="00772952"/>
    <w:rsid w:val="00772A5A"/>
    <w:rsid w:val="00772A67"/>
    <w:rsid w:val="00772DE4"/>
    <w:rsid w:val="00773058"/>
    <w:rsid w:val="00773195"/>
    <w:rsid w:val="0077319F"/>
    <w:rsid w:val="0077326C"/>
    <w:rsid w:val="00773310"/>
    <w:rsid w:val="00773831"/>
    <w:rsid w:val="007738F6"/>
    <w:rsid w:val="007739D7"/>
    <w:rsid w:val="007739DF"/>
    <w:rsid w:val="00773AF3"/>
    <w:rsid w:val="00773B0F"/>
    <w:rsid w:val="00773E5D"/>
    <w:rsid w:val="00774079"/>
    <w:rsid w:val="007741AD"/>
    <w:rsid w:val="007741F7"/>
    <w:rsid w:val="007742C8"/>
    <w:rsid w:val="0077447C"/>
    <w:rsid w:val="00774521"/>
    <w:rsid w:val="007746CF"/>
    <w:rsid w:val="007748BC"/>
    <w:rsid w:val="00774B39"/>
    <w:rsid w:val="00774B3C"/>
    <w:rsid w:val="00774CCB"/>
    <w:rsid w:val="00774E6E"/>
    <w:rsid w:val="00774EAB"/>
    <w:rsid w:val="007750F7"/>
    <w:rsid w:val="007752EE"/>
    <w:rsid w:val="00775305"/>
    <w:rsid w:val="007755A8"/>
    <w:rsid w:val="007758F5"/>
    <w:rsid w:val="00775A39"/>
    <w:rsid w:val="00775AF8"/>
    <w:rsid w:val="00775E10"/>
    <w:rsid w:val="00775E12"/>
    <w:rsid w:val="00775F51"/>
    <w:rsid w:val="00776136"/>
    <w:rsid w:val="00776301"/>
    <w:rsid w:val="007763F1"/>
    <w:rsid w:val="007766C1"/>
    <w:rsid w:val="007767C5"/>
    <w:rsid w:val="00776816"/>
    <w:rsid w:val="0077697A"/>
    <w:rsid w:val="00776A35"/>
    <w:rsid w:val="00776A8E"/>
    <w:rsid w:val="00776E55"/>
    <w:rsid w:val="00776EC2"/>
    <w:rsid w:val="00777028"/>
    <w:rsid w:val="0077704D"/>
    <w:rsid w:val="007770CC"/>
    <w:rsid w:val="00777318"/>
    <w:rsid w:val="0077746B"/>
    <w:rsid w:val="007776EE"/>
    <w:rsid w:val="007777E6"/>
    <w:rsid w:val="00777905"/>
    <w:rsid w:val="0077798F"/>
    <w:rsid w:val="007779F7"/>
    <w:rsid w:val="00777A14"/>
    <w:rsid w:val="00777B2E"/>
    <w:rsid w:val="00777BC3"/>
    <w:rsid w:val="00777D8D"/>
    <w:rsid w:val="0078022F"/>
    <w:rsid w:val="0078030B"/>
    <w:rsid w:val="007809B7"/>
    <w:rsid w:val="00780B93"/>
    <w:rsid w:val="00780BEC"/>
    <w:rsid w:val="00780C52"/>
    <w:rsid w:val="00780D72"/>
    <w:rsid w:val="00780EA4"/>
    <w:rsid w:val="00780F4F"/>
    <w:rsid w:val="00780F65"/>
    <w:rsid w:val="00781079"/>
    <w:rsid w:val="007810BF"/>
    <w:rsid w:val="0078114A"/>
    <w:rsid w:val="0078118C"/>
    <w:rsid w:val="0078138C"/>
    <w:rsid w:val="00781494"/>
    <w:rsid w:val="00781574"/>
    <w:rsid w:val="007816B9"/>
    <w:rsid w:val="007817D7"/>
    <w:rsid w:val="0078194E"/>
    <w:rsid w:val="00781AD5"/>
    <w:rsid w:val="00781B3D"/>
    <w:rsid w:val="00781EAA"/>
    <w:rsid w:val="007824FE"/>
    <w:rsid w:val="0078273F"/>
    <w:rsid w:val="007827B0"/>
    <w:rsid w:val="00782BC0"/>
    <w:rsid w:val="00782C20"/>
    <w:rsid w:val="00782E0C"/>
    <w:rsid w:val="00782E60"/>
    <w:rsid w:val="00782F16"/>
    <w:rsid w:val="00782FE9"/>
    <w:rsid w:val="007830C6"/>
    <w:rsid w:val="007831EC"/>
    <w:rsid w:val="00783624"/>
    <w:rsid w:val="0078397B"/>
    <w:rsid w:val="00783984"/>
    <w:rsid w:val="00783998"/>
    <w:rsid w:val="00783DF9"/>
    <w:rsid w:val="00783F35"/>
    <w:rsid w:val="007841B5"/>
    <w:rsid w:val="00784222"/>
    <w:rsid w:val="007847D4"/>
    <w:rsid w:val="0078480A"/>
    <w:rsid w:val="00784845"/>
    <w:rsid w:val="00784BCB"/>
    <w:rsid w:val="00784D95"/>
    <w:rsid w:val="00784EBA"/>
    <w:rsid w:val="00784F34"/>
    <w:rsid w:val="00784F5D"/>
    <w:rsid w:val="00784F7B"/>
    <w:rsid w:val="0078511C"/>
    <w:rsid w:val="007851DC"/>
    <w:rsid w:val="007855F2"/>
    <w:rsid w:val="007856EC"/>
    <w:rsid w:val="007857B7"/>
    <w:rsid w:val="0078591F"/>
    <w:rsid w:val="00785931"/>
    <w:rsid w:val="00785E9E"/>
    <w:rsid w:val="0078613D"/>
    <w:rsid w:val="0078614F"/>
    <w:rsid w:val="00786182"/>
    <w:rsid w:val="007861D9"/>
    <w:rsid w:val="0078628F"/>
    <w:rsid w:val="007863C0"/>
    <w:rsid w:val="00786840"/>
    <w:rsid w:val="00786AA1"/>
    <w:rsid w:val="00786B07"/>
    <w:rsid w:val="00786C23"/>
    <w:rsid w:val="00786E61"/>
    <w:rsid w:val="00786E82"/>
    <w:rsid w:val="0078704E"/>
    <w:rsid w:val="00787477"/>
    <w:rsid w:val="0078768D"/>
    <w:rsid w:val="0078773A"/>
    <w:rsid w:val="00787822"/>
    <w:rsid w:val="00787A00"/>
    <w:rsid w:val="00787C3B"/>
    <w:rsid w:val="0079002E"/>
    <w:rsid w:val="00790051"/>
    <w:rsid w:val="007900DA"/>
    <w:rsid w:val="007901A8"/>
    <w:rsid w:val="0079032F"/>
    <w:rsid w:val="007903DC"/>
    <w:rsid w:val="007904CD"/>
    <w:rsid w:val="00790521"/>
    <w:rsid w:val="0079052F"/>
    <w:rsid w:val="0079089A"/>
    <w:rsid w:val="00790B0F"/>
    <w:rsid w:val="00790C69"/>
    <w:rsid w:val="00790DBF"/>
    <w:rsid w:val="00791182"/>
    <w:rsid w:val="00791361"/>
    <w:rsid w:val="00791427"/>
    <w:rsid w:val="00791992"/>
    <w:rsid w:val="00791CA7"/>
    <w:rsid w:val="00791DD1"/>
    <w:rsid w:val="00791DF4"/>
    <w:rsid w:val="00791F63"/>
    <w:rsid w:val="00792150"/>
    <w:rsid w:val="00792277"/>
    <w:rsid w:val="007922FB"/>
    <w:rsid w:val="00792721"/>
    <w:rsid w:val="00792942"/>
    <w:rsid w:val="00792A74"/>
    <w:rsid w:val="00792B31"/>
    <w:rsid w:val="00792C8E"/>
    <w:rsid w:val="00792DF3"/>
    <w:rsid w:val="00792E9B"/>
    <w:rsid w:val="00792EEA"/>
    <w:rsid w:val="00792FC6"/>
    <w:rsid w:val="00793099"/>
    <w:rsid w:val="00793140"/>
    <w:rsid w:val="0079327A"/>
    <w:rsid w:val="007933BD"/>
    <w:rsid w:val="00793742"/>
    <w:rsid w:val="007937EC"/>
    <w:rsid w:val="00793833"/>
    <w:rsid w:val="0079392E"/>
    <w:rsid w:val="0079399A"/>
    <w:rsid w:val="00793A08"/>
    <w:rsid w:val="00793A4F"/>
    <w:rsid w:val="00793A87"/>
    <w:rsid w:val="00793B36"/>
    <w:rsid w:val="00793BF3"/>
    <w:rsid w:val="00793E6C"/>
    <w:rsid w:val="00793E72"/>
    <w:rsid w:val="0079413F"/>
    <w:rsid w:val="007941F3"/>
    <w:rsid w:val="007944FB"/>
    <w:rsid w:val="00794555"/>
    <w:rsid w:val="0079497B"/>
    <w:rsid w:val="007949F6"/>
    <w:rsid w:val="00794A21"/>
    <w:rsid w:val="00794BC8"/>
    <w:rsid w:val="00794C61"/>
    <w:rsid w:val="00794E38"/>
    <w:rsid w:val="00794E65"/>
    <w:rsid w:val="00795072"/>
    <w:rsid w:val="00795162"/>
    <w:rsid w:val="00795236"/>
    <w:rsid w:val="00795453"/>
    <w:rsid w:val="00795663"/>
    <w:rsid w:val="00795785"/>
    <w:rsid w:val="00795922"/>
    <w:rsid w:val="00795992"/>
    <w:rsid w:val="007959FD"/>
    <w:rsid w:val="00795A21"/>
    <w:rsid w:val="00795B06"/>
    <w:rsid w:val="00795D98"/>
    <w:rsid w:val="00795E43"/>
    <w:rsid w:val="00795F68"/>
    <w:rsid w:val="00796010"/>
    <w:rsid w:val="00796093"/>
    <w:rsid w:val="007961A0"/>
    <w:rsid w:val="00796514"/>
    <w:rsid w:val="00796551"/>
    <w:rsid w:val="00796670"/>
    <w:rsid w:val="00796880"/>
    <w:rsid w:val="00796892"/>
    <w:rsid w:val="00796963"/>
    <w:rsid w:val="00796CCF"/>
    <w:rsid w:val="00796CE4"/>
    <w:rsid w:val="00796D57"/>
    <w:rsid w:val="00796DF6"/>
    <w:rsid w:val="00796E39"/>
    <w:rsid w:val="00796E8F"/>
    <w:rsid w:val="00797076"/>
    <w:rsid w:val="007970E9"/>
    <w:rsid w:val="007971F8"/>
    <w:rsid w:val="00797371"/>
    <w:rsid w:val="007973CB"/>
    <w:rsid w:val="007974FB"/>
    <w:rsid w:val="00797815"/>
    <w:rsid w:val="00797C85"/>
    <w:rsid w:val="00797C97"/>
    <w:rsid w:val="007A011E"/>
    <w:rsid w:val="007A0189"/>
    <w:rsid w:val="007A01F2"/>
    <w:rsid w:val="007A024C"/>
    <w:rsid w:val="007A057A"/>
    <w:rsid w:val="007A062E"/>
    <w:rsid w:val="007A0690"/>
    <w:rsid w:val="007A06CA"/>
    <w:rsid w:val="007A09E9"/>
    <w:rsid w:val="007A0A6A"/>
    <w:rsid w:val="007A0C58"/>
    <w:rsid w:val="007A1214"/>
    <w:rsid w:val="007A137D"/>
    <w:rsid w:val="007A15AD"/>
    <w:rsid w:val="007A1736"/>
    <w:rsid w:val="007A17A5"/>
    <w:rsid w:val="007A18DF"/>
    <w:rsid w:val="007A1A9B"/>
    <w:rsid w:val="007A1C94"/>
    <w:rsid w:val="007A1CF6"/>
    <w:rsid w:val="007A1D1A"/>
    <w:rsid w:val="007A1EDB"/>
    <w:rsid w:val="007A1F95"/>
    <w:rsid w:val="007A1FE1"/>
    <w:rsid w:val="007A20FD"/>
    <w:rsid w:val="007A265D"/>
    <w:rsid w:val="007A2B90"/>
    <w:rsid w:val="007A2E83"/>
    <w:rsid w:val="007A302F"/>
    <w:rsid w:val="007A312B"/>
    <w:rsid w:val="007A331C"/>
    <w:rsid w:val="007A35A1"/>
    <w:rsid w:val="007A3615"/>
    <w:rsid w:val="007A38F9"/>
    <w:rsid w:val="007A3ACE"/>
    <w:rsid w:val="007A3E69"/>
    <w:rsid w:val="007A4017"/>
    <w:rsid w:val="007A404B"/>
    <w:rsid w:val="007A4123"/>
    <w:rsid w:val="007A4218"/>
    <w:rsid w:val="007A4286"/>
    <w:rsid w:val="007A43A4"/>
    <w:rsid w:val="007A46BE"/>
    <w:rsid w:val="007A4731"/>
    <w:rsid w:val="007A486F"/>
    <w:rsid w:val="007A4E36"/>
    <w:rsid w:val="007A538E"/>
    <w:rsid w:val="007A556B"/>
    <w:rsid w:val="007A5612"/>
    <w:rsid w:val="007A5863"/>
    <w:rsid w:val="007A593F"/>
    <w:rsid w:val="007A5996"/>
    <w:rsid w:val="007A5B16"/>
    <w:rsid w:val="007A5F39"/>
    <w:rsid w:val="007A5FB0"/>
    <w:rsid w:val="007A61BD"/>
    <w:rsid w:val="007A6280"/>
    <w:rsid w:val="007A63D0"/>
    <w:rsid w:val="007A640C"/>
    <w:rsid w:val="007A6467"/>
    <w:rsid w:val="007A649C"/>
    <w:rsid w:val="007A65FB"/>
    <w:rsid w:val="007A6866"/>
    <w:rsid w:val="007A69A3"/>
    <w:rsid w:val="007A69C4"/>
    <w:rsid w:val="007A6A90"/>
    <w:rsid w:val="007A6AAD"/>
    <w:rsid w:val="007A6AD9"/>
    <w:rsid w:val="007A7109"/>
    <w:rsid w:val="007A7127"/>
    <w:rsid w:val="007A7647"/>
    <w:rsid w:val="007A770B"/>
    <w:rsid w:val="007A7809"/>
    <w:rsid w:val="007A7988"/>
    <w:rsid w:val="007A79C6"/>
    <w:rsid w:val="007B020B"/>
    <w:rsid w:val="007B025C"/>
    <w:rsid w:val="007B02D8"/>
    <w:rsid w:val="007B03EE"/>
    <w:rsid w:val="007B046C"/>
    <w:rsid w:val="007B0942"/>
    <w:rsid w:val="007B0A1E"/>
    <w:rsid w:val="007B0A82"/>
    <w:rsid w:val="007B0E0E"/>
    <w:rsid w:val="007B0E32"/>
    <w:rsid w:val="007B0FCD"/>
    <w:rsid w:val="007B104C"/>
    <w:rsid w:val="007B116D"/>
    <w:rsid w:val="007B12AD"/>
    <w:rsid w:val="007B12D7"/>
    <w:rsid w:val="007B162B"/>
    <w:rsid w:val="007B16F8"/>
    <w:rsid w:val="007B17A8"/>
    <w:rsid w:val="007B17CF"/>
    <w:rsid w:val="007B1A57"/>
    <w:rsid w:val="007B1C41"/>
    <w:rsid w:val="007B1D2A"/>
    <w:rsid w:val="007B1EAB"/>
    <w:rsid w:val="007B214B"/>
    <w:rsid w:val="007B22C8"/>
    <w:rsid w:val="007B22E9"/>
    <w:rsid w:val="007B22EF"/>
    <w:rsid w:val="007B2413"/>
    <w:rsid w:val="007B24D9"/>
    <w:rsid w:val="007B2968"/>
    <w:rsid w:val="007B2A78"/>
    <w:rsid w:val="007B2CD6"/>
    <w:rsid w:val="007B2EB3"/>
    <w:rsid w:val="007B2F0D"/>
    <w:rsid w:val="007B358B"/>
    <w:rsid w:val="007B36E2"/>
    <w:rsid w:val="007B37C6"/>
    <w:rsid w:val="007B38E4"/>
    <w:rsid w:val="007B3A0E"/>
    <w:rsid w:val="007B3B74"/>
    <w:rsid w:val="007B3C16"/>
    <w:rsid w:val="007B4020"/>
    <w:rsid w:val="007B4030"/>
    <w:rsid w:val="007B4461"/>
    <w:rsid w:val="007B464F"/>
    <w:rsid w:val="007B4684"/>
    <w:rsid w:val="007B46D1"/>
    <w:rsid w:val="007B478A"/>
    <w:rsid w:val="007B4890"/>
    <w:rsid w:val="007B4938"/>
    <w:rsid w:val="007B49BB"/>
    <w:rsid w:val="007B4A7E"/>
    <w:rsid w:val="007B4B7F"/>
    <w:rsid w:val="007B4CA4"/>
    <w:rsid w:val="007B4D3B"/>
    <w:rsid w:val="007B4DC1"/>
    <w:rsid w:val="007B4F14"/>
    <w:rsid w:val="007B500D"/>
    <w:rsid w:val="007B514A"/>
    <w:rsid w:val="007B538F"/>
    <w:rsid w:val="007B53C6"/>
    <w:rsid w:val="007B5483"/>
    <w:rsid w:val="007B54B4"/>
    <w:rsid w:val="007B5545"/>
    <w:rsid w:val="007B55B3"/>
    <w:rsid w:val="007B578A"/>
    <w:rsid w:val="007B5F38"/>
    <w:rsid w:val="007B5FA2"/>
    <w:rsid w:val="007B5FAF"/>
    <w:rsid w:val="007B61BC"/>
    <w:rsid w:val="007B6260"/>
    <w:rsid w:val="007B63DD"/>
    <w:rsid w:val="007B64C7"/>
    <w:rsid w:val="007B66AB"/>
    <w:rsid w:val="007B6754"/>
    <w:rsid w:val="007B6816"/>
    <w:rsid w:val="007B6BA3"/>
    <w:rsid w:val="007B6BF8"/>
    <w:rsid w:val="007B6F2C"/>
    <w:rsid w:val="007B7100"/>
    <w:rsid w:val="007B717D"/>
    <w:rsid w:val="007B7240"/>
    <w:rsid w:val="007B7242"/>
    <w:rsid w:val="007B7435"/>
    <w:rsid w:val="007B783F"/>
    <w:rsid w:val="007B7913"/>
    <w:rsid w:val="007B793B"/>
    <w:rsid w:val="007B7B1B"/>
    <w:rsid w:val="007B7E57"/>
    <w:rsid w:val="007B7F79"/>
    <w:rsid w:val="007C03F7"/>
    <w:rsid w:val="007C054F"/>
    <w:rsid w:val="007C0638"/>
    <w:rsid w:val="007C0644"/>
    <w:rsid w:val="007C06D0"/>
    <w:rsid w:val="007C079B"/>
    <w:rsid w:val="007C0A05"/>
    <w:rsid w:val="007C0D8F"/>
    <w:rsid w:val="007C0E23"/>
    <w:rsid w:val="007C0E46"/>
    <w:rsid w:val="007C0F49"/>
    <w:rsid w:val="007C0F9B"/>
    <w:rsid w:val="007C1126"/>
    <w:rsid w:val="007C1253"/>
    <w:rsid w:val="007C15AD"/>
    <w:rsid w:val="007C1A40"/>
    <w:rsid w:val="007C1CA8"/>
    <w:rsid w:val="007C1D03"/>
    <w:rsid w:val="007C1EED"/>
    <w:rsid w:val="007C223D"/>
    <w:rsid w:val="007C251A"/>
    <w:rsid w:val="007C251E"/>
    <w:rsid w:val="007C2559"/>
    <w:rsid w:val="007C256B"/>
    <w:rsid w:val="007C2583"/>
    <w:rsid w:val="007C2AA1"/>
    <w:rsid w:val="007C2D03"/>
    <w:rsid w:val="007C2EA9"/>
    <w:rsid w:val="007C2FE4"/>
    <w:rsid w:val="007C31D1"/>
    <w:rsid w:val="007C32B5"/>
    <w:rsid w:val="007C32E3"/>
    <w:rsid w:val="007C36D7"/>
    <w:rsid w:val="007C3734"/>
    <w:rsid w:val="007C3A0D"/>
    <w:rsid w:val="007C3CD3"/>
    <w:rsid w:val="007C3E9A"/>
    <w:rsid w:val="007C3FE5"/>
    <w:rsid w:val="007C407C"/>
    <w:rsid w:val="007C45D7"/>
    <w:rsid w:val="007C46FB"/>
    <w:rsid w:val="007C4A8A"/>
    <w:rsid w:val="007C4B09"/>
    <w:rsid w:val="007C4B1A"/>
    <w:rsid w:val="007C4BA3"/>
    <w:rsid w:val="007C4BDD"/>
    <w:rsid w:val="007C4E17"/>
    <w:rsid w:val="007C4F1A"/>
    <w:rsid w:val="007C4F4C"/>
    <w:rsid w:val="007C50B3"/>
    <w:rsid w:val="007C50C5"/>
    <w:rsid w:val="007C52CE"/>
    <w:rsid w:val="007C5452"/>
    <w:rsid w:val="007C55D1"/>
    <w:rsid w:val="007C5709"/>
    <w:rsid w:val="007C5A1C"/>
    <w:rsid w:val="007C5CA1"/>
    <w:rsid w:val="007C5CF1"/>
    <w:rsid w:val="007C5CFF"/>
    <w:rsid w:val="007C660C"/>
    <w:rsid w:val="007C67AA"/>
    <w:rsid w:val="007C695E"/>
    <w:rsid w:val="007C6A40"/>
    <w:rsid w:val="007C6AB8"/>
    <w:rsid w:val="007C6B63"/>
    <w:rsid w:val="007C7367"/>
    <w:rsid w:val="007C7457"/>
    <w:rsid w:val="007C74D0"/>
    <w:rsid w:val="007C7742"/>
    <w:rsid w:val="007C7748"/>
    <w:rsid w:val="007C7A32"/>
    <w:rsid w:val="007C7B25"/>
    <w:rsid w:val="007C7C43"/>
    <w:rsid w:val="007C7C5A"/>
    <w:rsid w:val="007C7DA3"/>
    <w:rsid w:val="007C7DFF"/>
    <w:rsid w:val="007C7FA8"/>
    <w:rsid w:val="007D009E"/>
    <w:rsid w:val="007D00CA"/>
    <w:rsid w:val="007D02E2"/>
    <w:rsid w:val="007D047B"/>
    <w:rsid w:val="007D065E"/>
    <w:rsid w:val="007D0964"/>
    <w:rsid w:val="007D0B79"/>
    <w:rsid w:val="007D0C15"/>
    <w:rsid w:val="007D0E6E"/>
    <w:rsid w:val="007D0EEC"/>
    <w:rsid w:val="007D0EF9"/>
    <w:rsid w:val="007D1056"/>
    <w:rsid w:val="007D1184"/>
    <w:rsid w:val="007D11B3"/>
    <w:rsid w:val="007D11F2"/>
    <w:rsid w:val="007D121C"/>
    <w:rsid w:val="007D12B6"/>
    <w:rsid w:val="007D14BE"/>
    <w:rsid w:val="007D1529"/>
    <w:rsid w:val="007D171A"/>
    <w:rsid w:val="007D1869"/>
    <w:rsid w:val="007D19A5"/>
    <w:rsid w:val="007D1B03"/>
    <w:rsid w:val="007D1EE6"/>
    <w:rsid w:val="007D1F70"/>
    <w:rsid w:val="007D208D"/>
    <w:rsid w:val="007D228C"/>
    <w:rsid w:val="007D2462"/>
    <w:rsid w:val="007D2604"/>
    <w:rsid w:val="007D2669"/>
    <w:rsid w:val="007D2690"/>
    <w:rsid w:val="007D26A4"/>
    <w:rsid w:val="007D2942"/>
    <w:rsid w:val="007D2A32"/>
    <w:rsid w:val="007D2CBE"/>
    <w:rsid w:val="007D2DF8"/>
    <w:rsid w:val="007D2E49"/>
    <w:rsid w:val="007D30F1"/>
    <w:rsid w:val="007D3224"/>
    <w:rsid w:val="007D36EC"/>
    <w:rsid w:val="007D37A2"/>
    <w:rsid w:val="007D3B6A"/>
    <w:rsid w:val="007D3CED"/>
    <w:rsid w:val="007D46AF"/>
    <w:rsid w:val="007D46C2"/>
    <w:rsid w:val="007D49B4"/>
    <w:rsid w:val="007D49EB"/>
    <w:rsid w:val="007D4AC3"/>
    <w:rsid w:val="007D4AF1"/>
    <w:rsid w:val="007D4D46"/>
    <w:rsid w:val="007D4D9C"/>
    <w:rsid w:val="007D4DD1"/>
    <w:rsid w:val="007D50B1"/>
    <w:rsid w:val="007D546B"/>
    <w:rsid w:val="007D56F3"/>
    <w:rsid w:val="007D58A6"/>
    <w:rsid w:val="007D5B69"/>
    <w:rsid w:val="007D5BB5"/>
    <w:rsid w:val="007D5C21"/>
    <w:rsid w:val="007D5D97"/>
    <w:rsid w:val="007D5E20"/>
    <w:rsid w:val="007D5F23"/>
    <w:rsid w:val="007D5F35"/>
    <w:rsid w:val="007D5FA3"/>
    <w:rsid w:val="007D5FE9"/>
    <w:rsid w:val="007D6282"/>
    <w:rsid w:val="007D6297"/>
    <w:rsid w:val="007D644D"/>
    <w:rsid w:val="007D64B5"/>
    <w:rsid w:val="007D658D"/>
    <w:rsid w:val="007D6900"/>
    <w:rsid w:val="007D69D1"/>
    <w:rsid w:val="007D6BDD"/>
    <w:rsid w:val="007D6FD4"/>
    <w:rsid w:val="007D7130"/>
    <w:rsid w:val="007D728A"/>
    <w:rsid w:val="007D7296"/>
    <w:rsid w:val="007D729C"/>
    <w:rsid w:val="007D72D1"/>
    <w:rsid w:val="007D72FB"/>
    <w:rsid w:val="007D7366"/>
    <w:rsid w:val="007D7434"/>
    <w:rsid w:val="007D7628"/>
    <w:rsid w:val="007D79A1"/>
    <w:rsid w:val="007D7A21"/>
    <w:rsid w:val="007D7A96"/>
    <w:rsid w:val="007D7AD7"/>
    <w:rsid w:val="007D7E12"/>
    <w:rsid w:val="007D7E8E"/>
    <w:rsid w:val="007D7EFF"/>
    <w:rsid w:val="007E037C"/>
    <w:rsid w:val="007E03CC"/>
    <w:rsid w:val="007E03E9"/>
    <w:rsid w:val="007E0621"/>
    <w:rsid w:val="007E08F3"/>
    <w:rsid w:val="007E090D"/>
    <w:rsid w:val="007E0BC8"/>
    <w:rsid w:val="007E0F9B"/>
    <w:rsid w:val="007E100F"/>
    <w:rsid w:val="007E1027"/>
    <w:rsid w:val="007E14F5"/>
    <w:rsid w:val="007E15C8"/>
    <w:rsid w:val="007E15E0"/>
    <w:rsid w:val="007E17E3"/>
    <w:rsid w:val="007E1B39"/>
    <w:rsid w:val="007E206D"/>
    <w:rsid w:val="007E23B3"/>
    <w:rsid w:val="007E23B6"/>
    <w:rsid w:val="007E2437"/>
    <w:rsid w:val="007E25A1"/>
    <w:rsid w:val="007E2761"/>
    <w:rsid w:val="007E28CF"/>
    <w:rsid w:val="007E2908"/>
    <w:rsid w:val="007E2BFD"/>
    <w:rsid w:val="007E2DBC"/>
    <w:rsid w:val="007E3341"/>
    <w:rsid w:val="007E33B5"/>
    <w:rsid w:val="007E34F0"/>
    <w:rsid w:val="007E376B"/>
    <w:rsid w:val="007E391F"/>
    <w:rsid w:val="007E3920"/>
    <w:rsid w:val="007E3A89"/>
    <w:rsid w:val="007E3C40"/>
    <w:rsid w:val="007E3C46"/>
    <w:rsid w:val="007E3C68"/>
    <w:rsid w:val="007E3E7A"/>
    <w:rsid w:val="007E469F"/>
    <w:rsid w:val="007E47E5"/>
    <w:rsid w:val="007E4A0B"/>
    <w:rsid w:val="007E4A36"/>
    <w:rsid w:val="007E5125"/>
    <w:rsid w:val="007E51A4"/>
    <w:rsid w:val="007E51EA"/>
    <w:rsid w:val="007E5262"/>
    <w:rsid w:val="007E5500"/>
    <w:rsid w:val="007E552C"/>
    <w:rsid w:val="007E552F"/>
    <w:rsid w:val="007E558B"/>
    <w:rsid w:val="007E56B8"/>
    <w:rsid w:val="007E58B0"/>
    <w:rsid w:val="007E5B3F"/>
    <w:rsid w:val="007E5B94"/>
    <w:rsid w:val="007E5D38"/>
    <w:rsid w:val="007E5E0B"/>
    <w:rsid w:val="007E626F"/>
    <w:rsid w:val="007E636C"/>
    <w:rsid w:val="007E64A6"/>
    <w:rsid w:val="007E656C"/>
    <w:rsid w:val="007E66BD"/>
    <w:rsid w:val="007E6B80"/>
    <w:rsid w:val="007E6C6D"/>
    <w:rsid w:val="007E6C97"/>
    <w:rsid w:val="007E6D01"/>
    <w:rsid w:val="007E6D27"/>
    <w:rsid w:val="007E6D8A"/>
    <w:rsid w:val="007E6DCB"/>
    <w:rsid w:val="007E6FB4"/>
    <w:rsid w:val="007E7120"/>
    <w:rsid w:val="007E7195"/>
    <w:rsid w:val="007E719A"/>
    <w:rsid w:val="007E7495"/>
    <w:rsid w:val="007E7748"/>
    <w:rsid w:val="007E776E"/>
    <w:rsid w:val="007E78D5"/>
    <w:rsid w:val="007E79E6"/>
    <w:rsid w:val="007E7AFA"/>
    <w:rsid w:val="007E7B97"/>
    <w:rsid w:val="007E7DD0"/>
    <w:rsid w:val="007E7FD9"/>
    <w:rsid w:val="007F0194"/>
    <w:rsid w:val="007F052A"/>
    <w:rsid w:val="007F05A5"/>
    <w:rsid w:val="007F0661"/>
    <w:rsid w:val="007F06CA"/>
    <w:rsid w:val="007F075D"/>
    <w:rsid w:val="007F0F75"/>
    <w:rsid w:val="007F1110"/>
    <w:rsid w:val="007F1112"/>
    <w:rsid w:val="007F1234"/>
    <w:rsid w:val="007F1363"/>
    <w:rsid w:val="007F1372"/>
    <w:rsid w:val="007F146D"/>
    <w:rsid w:val="007F14DA"/>
    <w:rsid w:val="007F151C"/>
    <w:rsid w:val="007F1634"/>
    <w:rsid w:val="007F1704"/>
    <w:rsid w:val="007F1939"/>
    <w:rsid w:val="007F1951"/>
    <w:rsid w:val="007F19FC"/>
    <w:rsid w:val="007F1A91"/>
    <w:rsid w:val="007F1B7A"/>
    <w:rsid w:val="007F1C24"/>
    <w:rsid w:val="007F1C60"/>
    <w:rsid w:val="007F1CC4"/>
    <w:rsid w:val="007F1E19"/>
    <w:rsid w:val="007F1E76"/>
    <w:rsid w:val="007F204D"/>
    <w:rsid w:val="007F2060"/>
    <w:rsid w:val="007F22EB"/>
    <w:rsid w:val="007F236F"/>
    <w:rsid w:val="007F24E1"/>
    <w:rsid w:val="007F2607"/>
    <w:rsid w:val="007F26F2"/>
    <w:rsid w:val="007F27BF"/>
    <w:rsid w:val="007F287C"/>
    <w:rsid w:val="007F28C3"/>
    <w:rsid w:val="007F2B1D"/>
    <w:rsid w:val="007F2CCD"/>
    <w:rsid w:val="007F2CE5"/>
    <w:rsid w:val="007F2E32"/>
    <w:rsid w:val="007F2E72"/>
    <w:rsid w:val="007F2EE4"/>
    <w:rsid w:val="007F310E"/>
    <w:rsid w:val="007F3219"/>
    <w:rsid w:val="007F3828"/>
    <w:rsid w:val="007F3992"/>
    <w:rsid w:val="007F3BD4"/>
    <w:rsid w:val="007F3C60"/>
    <w:rsid w:val="007F3D6A"/>
    <w:rsid w:val="007F3E9F"/>
    <w:rsid w:val="007F3F62"/>
    <w:rsid w:val="007F3FC2"/>
    <w:rsid w:val="007F407E"/>
    <w:rsid w:val="007F42B6"/>
    <w:rsid w:val="007F4836"/>
    <w:rsid w:val="007F483D"/>
    <w:rsid w:val="007F4989"/>
    <w:rsid w:val="007F4ADB"/>
    <w:rsid w:val="007F4CEE"/>
    <w:rsid w:val="007F4FE5"/>
    <w:rsid w:val="007F52B2"/>
    <w:rsid w:val="007F542B"/>
    <w:rsid w:val="007F5598"/>
    <w:rsid w:val="007F5B11"/>
    <w:rsid w:val="007F5C19"/>
    <w:rsid w:val="007F5D63"/>
    <w:rsid w:val="007F6131"/>
    <w:rsid w:val="007F62A9"/>
    <w:rsid w:val="007F6347"/>
    <w:rsid w:val="007F6386"/>
    <w:rsid w:val="007F6582"/>
    <w:rsid w:val="007F6750"/>
    <w:rsid w:val="007F6BAE"/>
    <w:rsid w:val="007F6FFA"/>
    <w:rsid w:val="007F7185"/>
    <w:rsid w:val="007F7510"/>
    <w:rsid w:val="007F76DF"/>
    <w:rsid w:val="007F77EE"/>
    <w:rsid w:val="007F7A6B"/>
    <w:rsid w:val="007F7AC0"/>
    <w:rsid w:val="007F7B8E"/>
    <w:rsid w:val="007F7BC5"/>
    <w:rsid w:val="007F7BCA"/>
    <w:rsid w:val="007F7BD3"/>
    <w:rsid w:val="007F7C37"/>
    <w:rsid w:val="007F7EEF"/>
    <w:rsid w:val="007F7FBB"/>
    <w:rsid w:val="008000EA"/>
    <w:rsid w:val="0080013E"/>
    <w:rsid w:val="00800394"/>
    <w:rsid w:val="008006CD"/>
    <w:rsid w:val="00800A5E"/>
    <w:rsid w:val="00800BA8"/>
    <w:rsid w:val="00800E8E"/>
    <w:rsid w:val="00801016"/>
    <w:rsid w:val="008011C0"/>
    <w:rsid w:val="008011E2"/>
    <w:rsid w:val="00801256"/>
    <w:rsid w:val="00801260"/>
    <w:rsid w:val="008013A9"/>
    <w:rsid w:val="0080159A"/>
    <w:rsid w:val="008015F4"/>
    <w:rsid w:val="0080162C"/>
    <w:rsid w:val="00801C05"/>
    <w:rsid w:val="00801D85"/>
    <w:rsid w:val="00801E59"/>
    <w:rsid w:val="00801F1F"/>
    <w:rsid w:val="00802133"/>
    <w:rsid w:val="00802161"/>
    <w:rsid w:val="008021FC"/>
    <w:rsid w:val="00802251"/>
    <w:rsid w:val="00802295"/>
    <w:rsid w:val="00802520"/>
    <w:rsid w:val="008025A7"/>
    <w:rsid w:val="00802673"/>
    <w:rsid w:val="008027D5"/>
    <w:rsid w:val="0080286B"/>
    <w:rsid w:val="00802915"/>
    <w:rsid w:val="00802960"/>
    <w:rsid w:val="00802FC2"/>
    <w:rsid w:val="00803067"/>
    <w:rsid w:val="008030D8"/>
    <w:rsid w:val="0080324A"/>
    <w:rsid w:val="008033EE"/>
    <w:rsid w:val="00803665"/>
    <w:rsid w:val="00803835"/>
    <w:rsid w:val="008038FF"/>
    <w:rsid w:val="0080392D"/>
    <w:rsid w:val="00803977"/>
    <w:rsid w:val="00803BB7"/>
    <w:rsid w:val="00803C2F"/>
    <w:rsid w:val="00803DE6"/>
    <w:rsid w:val="00803E86"/>
    <w:rsid w:val="00803F30"/>
    <w:rsid w:val="0080421C"/>
    <w:rsid w:val="00804274"/>
    <w:rsid w:val="00804553"/>
    <w:rsid w:val="008045B0"/>
    <w:rsid w:val="0080468D"/>
    <w:rsid w:val="008046F6"/>
    <w:rsid w:val="00804708"/>
    <w:rsid w:val="008047A8"/>
    <w:rsid w:val="00804865"/>
    <w:rsid w:val="0080493E"/>
    <w:rsid w:val="008049A3"/>
    <w:rsid w:val="00804AED"/>
    <w:rsid w:val="00804D65"/>
    <w:rsid w:val="008052AD"/>
    <w:rsid w:val="0080530B"/>
    <w:rsid w:val="008054B9"/>
    <w:rsid w:val="0080559E"/>
    <w:rsid w:val="00805AE3"/>
    <w:rsid w:val="00805CE5"/>
    <w:rsid w:val="00805EE7"/>
    <w:rsid w:val="008060BB"/>
    <w:rsid w:val="00806137"/>
    <w:rsid w:val="00806456"/>
    <w:rsid w:val="00806777"/>
    <w:rsid w:val="0080683C"/>
    <w:rsid w:val="0080686A"/>
    <w:rsid w:val="00806904"/>
    <w:rsid w:val="008069E2"/>
    <w:rsid w:val="00806A2F"/>
    <w:rsid w:val="00806B35"/>
    <w:rsid w:val="00806EF7"/>
    <w:rsid w:val="008070BF"/>
    <w:rsid w:val="00807311"/>
    <w:rsid w:val="00807346"/>
    <w:rsid w:val="008073C1"/>
    <w:rsid w:val="00807437"/>
    <w:rsid w:val="008074AF"/>
    <w:rsid w:val="0080750C"/>
    <w:rsid w:val="0080763F"/>
    <w:rsid w:val="00807840"/>
    <w:rsid w:val="00807ECF"/>
    <w:rsid w:val="00807FB0"/>
    <w:rsid w:val="008100EC"/>
    <w:rsid w:val="0081019F"/>
    <w:rsid w:val="0081051A"/>
    <w:rsid w:val="0081053D"/>
    <w:rsid w:val="00810693"/>
    <w:rsid w:val="00810771"/>
    <w:rsid w:val="0081079C"/>
    <w:rsid w:val="00810904"/>
    <w:rsid w:val="008109BC"/>
    <w:rsid w:val="00810A01"/>
    <w:rsid w:val="00810B1C"/>
    <w:rsid w:val="00810B55"/>
    <w:rsid w:val="00810B84"/>
    <w:rsid w:val="00810CAB"/>
    <w:rsid w:val="00810D16"/>
    <w:rsid w:val="00810E57"/>
    <w:rsid w:val="00810F32"/>
    <w:rsid w:val="00810FAA"/>
    <w:rsid w:val="008111E9"/>
    <w:rsid w:val="00811472"/>
    <w:rsid w:val="0081165B"/>
    <w:rsid w:val="00811B30"/>
    <w:rsid w:val="00811BE4"/>
    <w:rsid w:val="00811CC5"/>
    <w:rsid w:val="00811D6F"/>
    <w:rsid w:val="00811DA0"/>
    <w:rsid w:val="00811E57"/>
    <w:rsid w:val="008121F9"/>
    <w:rsid w:val="00812546"/>
    <w:rsid w:val="00812581"/>
    <w:rsid w:val="00812611"/>
    <w:rsid w:val="008128AD"/>
    <w:rsid w:val="008129E6"/>
    <w:rsid w:val="00812D7D"/>
    <w:rsid w:val="00812F16"/>
    <w:rsid w:val="00813049"/>
    <w:rsid w:val="0081306B"/>
    <w:rsid w:val="00813167"/>
    <w:rsid w:val="0081316D"/>
    <w:rsid w:val="008131B7"/>
    <w:rsid w:val="00813203"/>
    <w:rsid w:val="0081324E"/>
    <w:rsid w:val="0081347A"/>
    <w:rsid w:val="00813605"/>
    <w:rsid w:val="00813615"/>
    <w:rsid w:val="00813629"/>
    <w:rsid w:val="00813938"/>
    <w:rsid w:val="0081397A"/>
    <w:rsid w:val="008139F6"/>
    <w:rsid w:val="00813DAB"/>
    <w:rsid w:val="00813DD4"/>
    <w:rsid w:val="008140A5"/>
    <w:rsid w:val="0081427A"/>
    <w:rsid w:val="008144CA"/>
    <w:rsid w:val="0081460B"/>
    <w:rsid w:val="0081460F"/>
    <w:rsid w:val="00814680"/>
    <w:rsid w:val="008146CD"/>
    <w:rsid w:val="008146CE"/>
    <w:rsid w:val="00814983"/>
    <w:rsid w:val="008149AB"/>
    <w:rsid w:val="00814EF2"/>
    <w:rsid w:val="008150BA"/>
    <w:rsid w:val="00815273"/>
    <w:rsid w:val="0081527C"/>
    <w:rsid w:val="00815325"/>
    <w:rsid w:val="008155A3"/>
    <w:rsid w:val="00815992"/>
    <w:rsid w:val="00815E27"/>
    <w:rsid w:val="00815E42"/>
    <w:rsid w:val="0081632F"/>
    <w:rsid w:val="00816463"/>
    <w:rsid w:val="00816547"/>
    <w:rsid w:val="00816763"/>
    <w:rsid w:val="00816835"/>
    <w:rsid w:val="0081689A"/>
    <w:rsid w:val="00816D45"/>
    <w:rsid w:val="00816DCF"/>
    <w:rsid w:val="008170AC"/>
    <w:rsid w:val="008170D6"/>
    <w:rsid w:val="00817333"/>
    <w:rsid w:val="0081743A"/>
    <w:rsid w:val="008174CB"/>
    <w:rsid w:val="0081758D"/>
    <w:rsid w:val="00817601"/>
    <w:rsid w:val="00817899"/>
    <w:rsid w:val="008179B0"/>
    <w:rsid w:val="00817BCC"/>
    <w:rsid w:val="00817D52"/>
    <w:rsid w:val="00817D66"/>
    <w:rsid w:val="008200C2"/>
    <w:rsid w:val="0082010F"/>
    <w:rsid w:val="00820408"/>
    <w:rsid w:val="00820409"/>
    <w:rsid w:val="0082071B"/>
    <w:rsid w:val="00820951"/>
    <w:rsid w:val="00820F13"/>
    <w:rsid w:val="00820FA5"/>
    <w:rsid w:val="0082119B"/>
    <w:rsid w:val="00821277"/>
    <w:rsid w:val="008213FB"/>
    <w:rsid w:val="00821438"/>
    <w:rsid w:val="008214A0"/>
    <w:rsid w:val="00821602"/>
    <w:rsid w:val="00821744"/>
    <w:rsid w:val="00821829"/>
    <w:rsid w:val="00821A66"/>
    <w:rsid w:val="00821B45"/>
    <w:rsid w:val="00821C8B"/>
    <w:rsid w:val="00822064"/>
    <w:rsid w:val="00822166"/>
    <w:rsid w:val="00822232"/>
    <w:rsid w:val="008223D8"/>
    <w:rsid w:val="00822437"/>
    <w:rsid w:val="00822473"/>
    <w:rsid w:val="0082252B"/>
    <w:rsid w:val="00822598"/>
    <w:rsid w:val="00822627"/>
    <w:rsid w:val="0082283B"/>
    <w:rsid w:val="00822982"/>
    <w:rsid w:val="00822AA3"/>
    <w:rsid w:val="00822DA6"/>
    <w:rsid w:val="00822DFF"/>
    <w:rsid w:val="00823076"/>
    <w:rsid w:val="0082328F"/>
    <w:rsid w:val="00823463"/>
    <w:rsid w:val="0082353E"/>
    <w:rsid w:val="008236FB"/>
    <w:rsid w:val="00823AEA"/>
    <w:rsid w:val="00823BB7"/>
    <w:rsid w:val="00823BBC"/>
    <w:rsid w:val="00823BF2"/>
    <w:rsid w:val="00823ECA"/>
    <w:rsid w:val="00823FEB"/>
    <w:rsid w:val="00824091"/>
    <w:rsid w:val="00824185"/>
    <w:rsid w:val="008242D4"/>
    <w:rsid w:val="00824305"/>
    <w:rsid w:val="0082444D"/>
    <w:rsid w:val="0082491A"/>
    <w:rsid w:val="00824AE1"/>
    <w:rsid w:val="00824BC2"/>
    <w:rsid w:val="00824C2C"/>
    <w:rsid w:val="00824C33"/>
    <w:rsid w:val="00824C3A"/>
    <w:rsid w:val="00824C3C"/>
    <w:rsid w:val="00824C4C"/>
    <w:rsid w:val="00824D15"/>
    <w:rsid w:val="00824E06"/>
    <w:rsid w:val="00824E96"/>
    <w:rsid w:val="00824F27"/>
    <w:rsid w:val="00825081"/>
    <w:rsid w:val="00825107"/>
    <w:rsid w:val="008252D0"/>
    <w:rsid w:val="008256BE"/>
    <w:rsid w:val="00826124"/>
    <w:rsid w:val="008261BE"/>
    <w:rsid w:val="008262B4"/>
    <w:rsid w:val="00826321"/>
    <w:rsid w:val="00826477"/>
    <w:rsid w:val="00826532"/>
    <w:rsid w:val="0082661A"/>
    <w:rsid w:val="00826733"/>
    <w:rsid w:val="008267E1"/>
    <w:rsid w:val="00826CC6"/>
    <w:rsid w:val="00826D91"/>
    <w:rsid w:val="00826DA6"/>
    <w:rsid w:val="00826F74"/>
    <w:rsid w:val="0082729B"/>
    <w:rsid w:val="00827307"/>
    <w:rsid w:val="008273DA"/>
    <w:rsid w:val="00827560"/>
    <w:rsid w:val="008276EE"/>
    <w:rsid w:val="0082770A"/>
    <w:rsid w:val="0082785E"/>
    <w:rsid w:val="00827A52"/>
    <w:rsid w:val="00827D93"/>
    <w:rsid w:val="00827F92"/>
    <w:rsid w:val="0083040C"/>
    <w:rsid w:val="008304B3"/>
    <w:rsid w:val="008305AD"/>
    <w:rsid w:val="00830668"/>
    <w:rsid w:val="008306B3"/>
    <w:rsid w:val="00830714"/>
    <w:rsid w:val="00830A12"/>
    <w:rsid w:val="00830A1E"/>
    <w:rsid w:val="00830BC1"/>
    <w:rsid w:val="00830C63"/>
    <w:rsid w:val="0083107F"/>
    <w:rsid w:val="0083145E"/>
    <w:rsid w:val="008314C8"/>
    <w:rsid w:val="008316FB"/>
    <w:rsid w:val="00831715"/>
    <w:rsid w:val="00831771"/>
    <w:rsid w:val="00831B95"/>
    <w:rsid w:val="00831C20"/>
    <w:rsid w:val="00831D3F"/>
    <w:rsid w:val="00831DD0"/>
    <w:rsid w:val="00831E17"/>
    <w:rsid w:val="00831EF3"/>
    <w:rsid w:val="00831F1B"/>
    <w:rsid w:val="00831F8D"/>
    <w:rsid w:val="0083205A"/>
    <w:rsid w:val="008321AC"/>
    <w:rsid w:val="008322E7"/>
    <w:rsid w:val="008324D4"/>
    <w:rsid w:val="008325AD"/>
    <w:rsid w:val="00832696"/>
    <w:rsid w:val="00832917"/>
    <w:rsid w:val="008329D3"/>
    <w:rsid w:val="00832B17"/>
    <w:rsid w:val="00832C05"/>
    <w:rsid w:val="00832D54"/>
    <w:rsid w:val="00832DC1"/>
    <w:rsid w:val="00832F57"/>
    <w:rsid w:val="00832F7D"/>
    <w:rsid w:val="00833325"/>
    <w:rsid w:val="008338A0"/>
    <w:rsid w:val="00833C71"/>
    <w:rsid w:val="00833CCA"/>
    <w:rsid w:val="008340D3"/>
    <w:rsid w:val="008340D6"/>
    <w:rsid w:val="00834150"/>
    <w:rsid w:val="008345A5"/>
    <w:rsid w:val="0083487C"/>
    <w:rsid w:val="008348F3"/>
    <w:rsid w:val="00834B0E"/>
    <w:rsid w:val="00834C04"/>
    <w:rsid w:val="00834E5B"/>
    <w:rsid w:val="00834F44"/>
    <w:rsid w:val="008350FD"/>
    <w:rsid w:val="008351D2"/>
    <w:rsid w:val="00835209"/>
    <w:rsid w:val="00835281"/>
    <w:rsid w:val="00835593"/>
    <w:rsid w:val="00835718"/>
    <w:rsid w:val="008359E7"/>
    <w:rsid w:val="00835AA8"/>
    <w:rsid w:val="00835B1D"/>
    <w:rsid w:val="00835F1A"/>
    <w:rsid w:val="00835F2F"/>
    <w:rsid w:val="00836252"/>
    <w:rsid w:val="008362B3"/>
    <w:rsid w:val="00836335"/>
    <w:rsid w:val="008363F7"/>
    <w:rsid w:val="008364C3"/>
    <w:rsid w:val="008364E3"/>
    <w:rsid w:val="0083652C"/>
    <w:rsid w:val="0083654F"/>
    <w:rsid w:val="0083661D"/>
    <w:rsid w:val="008368E7"/>
    <w:rsid w:val="008369D7"/>
    <w:rsid w:val="00836A40"/>
    <w:rsid w:val="00836D6C"/>
    <w:rsid w:val="00837028"/>
    <w:rsid w:val="00837156"/>
    <w:rsid w:val="008373D3"/>
    <w:rsid w:val="00837423"/>
    <w:rsid w:val="008374BD"/>
    <w:rsid w:val="0083757D"/>
    <w:rsid w:val="0083764C"/>
    <w:rsid w:val="008376EF"/>
    <w:rsid w:val="00837731"/>
    <w:rsid w:val="008377E0"/>
    <w:rsid w:val="00837932"/>
    <w:rsid w:val="00837AF3"/>
    <w:rsid w:val="00837F63"/>
    <w:rsid w:val="008400D9"/>
    <w:rsid w:val="00840187"/>
    <w:rsid w:val="008402A2"/>
    <w:rsid w:val="008402CB"/>
    <w:rsid w:val="00840373"/>
    <w:rsid w:val="008403D4"/>
    <w:rsid w:val="00840595"/>
    <w:rsid w:val="00840598"/>
    <w:rsid w:val="008405AB"/>
    <w:rsid w:val="008405FB"/>
    <w:rsid w:val="00840641"/>
    <w:rsid w:val="00840A35"/>
    <w:rsid w:val="00840A37"/>
    <w:rsid w:val="00840C16"/>
    <w:rsid w:val="00840F62"/>
    <w:rsid w:val="008414AA"/>
    <w:rsid w:val="008414EA"/>
    <w:rsid w:val="0084151C"/>
    <w:rsid w:val="008415B7"/>
    <w:rsid w:val="00841999"/>
    <w:rsid w:val="00841DAE"/>
    <w:rsid w:val="00841E54"/>
    <w:rsid w:val="00841ECD"/>
    <w:rsid w:val="00842176"/>
    <w:rsid w:val="00842177"/>
    <w:rsid w:val="008421DC"/>
    <w:rsid w:val="0084221B"/>
    <w:rsid w:val="008424BB"/>
    <w:rsid w:val="00842623"/>
    <w:rsid w:val="0084262B"/>
    <w:rsid w:val="00842792"/>
    <w:rsid w:val="0084288D"/>
    <w:rsid w:val="00842E60"/>
    <w:rsid w:val="0084314B"/>
    <w:rsid w:val="00843175"/>
    <w:rsid w:val="008432A2"/>
    <w:rsid w:val="0084338B"/>
    <w:rsid w:val="00843392"/>
    <w:rsid w:val="008436BD"/>
    <w:rsid w:val="00843749"/>
    <w:rsid w:val="00843B61"/>
    <w:rsid w:val="00843C0A"/>
    <w:rsid w:val="00843CFA"/>
    <w:rsid w:val="00843D68"/>
    <w:rsid w:val="00843E5C"/>
    <w:rsid w:val="00843F62"/>
    <w:rsid w:val="00844092"/>
    <w:rsid w:val="0084452F"/>
    <w:rsid w:val="00844733"/>
    <w:rsid w:val="00844813"/>
    <w:rsid w:val="008448D7"/>
    <w:rsid w:val="00844988"/>
    <w:rsid w:val="00844D55"/>
    <w:rsid w:val="00844E1C"/>
    <w:rsid w:val="00844F36"/>
    <w:rsid w:val="0084543A"/>
    <w:rsid w:val="00845733"/>
    <w:rsid w:val="008458FB"/>
    <w:rsid w:val="00845AD8"/>
    <w:rsid w:val="00845B31"/>
    <w:rsid w:val="00845BB5"/>
    <w:rsid w:val="00845DB0"/>
    <w:rsid w:val="00845ED2"/>
    <w:rsid w:val="008461BD"/>
    <w:rsid w:val="0084639B"/>
    <w:rsid w:val="0084653E"/>
    <w:rsid w:val="00846591"/>
    <w:rsid w:val="008465DC"/>
    <w:rsid w:val="00846A75"/>
    <w:rsid w:val="00846A8F"/>
    <w:rsid w:val="00846EBD"/>
    <w:rsid w:val="00847273"/>
    <w:rsid w:val="008472A9"/>
    <w:rsid w:val="00847353"/>
    <w:rsid w:val="00847546"/>
    <w:rsid w:val="00847B06"/>
    <w:rsid w:val="00847C47"/>
    <w:rsid w:val="00847C4A"/>
    <w:rsid w:val="00847CDE"/>
    <w:rsid w:val="00850598"/>
    <w:rsid w:val="00850B55"/>
    <w:rsid w:val="00850EA0"/>
    <w:rsid w:val="00850F25"/>
    <w:rsid w:val="008511B9"/>
    <w:rsid w:val="00851401"/>
    <w:rsid w:val="00851694"/>
    <w:rsid w:val="008519E5"/>
    <w:rsid w:val="00851B98"/>
    <w:rsid w:val="00851C66"/>
    <w:rsid w:val="00851CF2"/>
    <w:rsid w:val="00851E45"/>
    <w:rsid w:val="00851EEB"/>
    <w:rsid w:val="00851FDA"/>
    <w:rsid w:val="0085200C"/>
    <w:rsid w:val="008521E4"/>
    <w:rsid w:val="008522C5"/>
    <w:rsid w:val="008523DF"/>
    <w:rsid w:val="00852478"/>
    <w:rsid w:val="00852777"/>
    <w:rsid w:val="00852AEF"/>
    <w:rsid w:val="00852BCD"/>
    <w:rsid w:val="00852BF8"/>
    <w:rsid w:val="00852C86"/>
    <w:rsid w:val="00852EA0"/>
    <w:rsid w:val="00852ED1"/>
    <w:rsid w:val="008530A2"/>
    <w:rsid w:val="0085312D"/>
    <w:rsid w:val="0085316A"/>
    <w:rsid w:val="008532A9"/>
    <w:rsid w:val="0085355B"/>
    <w:rsid w:val="00853A11"/>
    <w:rsid w:val="00853A1E"/>
    <w:rsid w:val="00853AB9"/>
    <w:rsid w:val="00853BF7"/>
    <w:rsid w:val="00853D80"/>
    <w:rsid w:val="0085403A"/>
    <w:rsid w:val="00854186"/>
    <w:rsid w:val="00854685"/>
    <w:rsid w:val="00854733"/>
    <w:rsid w:val="00854EA8"/>
    <w:rsid w:val="00855067"/>
    <w:rsid w:val="0085506A"/>
    <w:rsid w:val="008552BD"/>
    <w:rsid w:val="008554F0"/>
    <w:rsid w:val="00855739"/>
    <w:rsid w:val="00855825"/>
    <w:rsid w:val="00855955"/>
    <w:rsid w:val="00855B56"/>
    <w:rsid w:val="00855EE2"/>
    <w:rsid w:val="0085619D"/>
    <w:rsid w:val="0085622E"/>
    <w:rsid w:val="0085626B"/>
    <w:rsid w:val="008563BE"/>
    <w:rsid w:val="00856680"/>
    <w:rsid w:val="008566C9"/>
    <w:rsid w:val="00856706"/>
    <w:rsid w:val="008567C6"/>
    <w:rsid w:val="00856B49"/>
    <w:rsid w:val="00856B96"/>
    <w:rsid w:val="00856CB2"/>
    <w:rsid w:val="00856F9C"/>
    <w:rsid w:val="00856FC0"/>
    <w:rsid w:val="008571BB"/>
    <w:rsid w:val="00857335"/>
    <w:rsid w:val="0085736E"/>
    <w:rsid w:val="008573A4"/>
    <w:rsid w:val="008574B2"/>
    <w:rsid w:val="00857627"/>
    <w:rsid w:val="008578D8"/>
    <w:rsid w:val="008579CF"/>
    <w:rsid w:val="00857A8A"/>
    <w:rsid w:val="00857AA0"/>
    <w:rsid w:val="00857BC4"/>
    <w:rsid w:val="00857BF9"/>
    <w:rsid w:val="00857C6C"/>
    <w:rsid w:val="00857E7D"/>
    <w:rsid w:val="008600D2"/>
    <w:rsid w:val="008600F4"/>
    <w:rsid w:val="008601FD"/>
    <w:rsid w:val="00860402"/>
    <w:rsid w:val="00860584"/>
    <w:rsid w:val="00860769"/>
    <w:rsid w:val="0086099D"/>
    <w:rsid w:val="0086099F"/>
    <w:rsid w:val="00860B5F"/>
    <w:rsid w:val="00860CBD"/>
    <w:rsid w:val="00860F10"/>
    <w:rsid w:val="00861005"/>
    <w:rsid w:val="00861029"/>
    <w:rsid w:val="00861232"/>
    <w:rsid w:val="00861244"/>
    <w:rsid w:val="008612C5"/>
    <w:rsid w:val="0086145B"/>
    <w:rsid w:val="00861488"/>
    <w:rsid w:val="00861720"/>
    <w:rsid w:val="008619A4"/>
    <w:rsid w:val="00861AC4"/>
    <w:rsid w:val="00861B51"/>
    <w:rsid w:val="00861E38"/>
    <w:rsid w:val="0086211E"/>
    <w:rsid w:val="00862158"/>
    <w:rsid w:val="00862479"/>
    <w:rsid w:val="00862582"/>
    <w:rsid w:val="008625D2"/>
    <w:rsid w:val="0086264F"/>
    <w:rsid w:val="00862757"/>
    <w:rsid w:val="008628C5"/>
    <w:rsid w:val="00862B08"/>
    <w:rsid w:val="00862DD4"/>
    <w:rsid w:val="00862F59"/>
    <w:rsid w:val="0086305D"/>
    <w:rsid w:val="008632E0"/>
    <w:rsid w:val="0086331A"/>
    <w:rsid w:val="008633BC"/>
    <w:rsid w:val="0086349E"/>
    <w:rsid w:val="008637B1"/>
    <w:rsid w:val="00863828"/>
    <w:rsid w:val="00863F50"/>
    <w:rsid w:val="00863FB5"/>
    <w:rsid w:val="00864102"/>
    <w:rsid w:val="008641A1"/>
    <w:rsid w:val="008642B5"/>
    <w:rsid w:val="00864424"/>
    <w:rsid w:val="00864566"/>
    <w:rsid w:val="008646A6"/>
    <w:rsid w:val="00864791"/>
    <w:rsid w:val="0086491C"/>
    <w:rsid w:val="00864922"/>
    <w:rsid w:val="0086497D"/>
    <w:rsid w:val="00864BC1"/>
    <w:rsid w:val="00864D8F"/>
    <w:rsid w:val="00864DF7"/>
    <w:rsid w:val="00864E5F"/>
    <w:rsid w:val="00864EDA"/>
    <w:rsid w:val="0086513F"/>
    <w:rsid w:val="0086537E"/>
    <w:rsid w:val="00865749"/>
    <w:rsid w:val="00865796"/>
    <w:rsid w:val="00865812"/>
    <w:rsid w:val="00865890"/>
    <w:rsid w:val="00865953"/>
    <w:rsid w:val="00865A8B"/>
    <w:rsid w:val="00865BE7"/>
    <w:rsid w:val="00865C48"/>
    <w:rsid w:val="00865C78"/>
    <w:rsid w:val="00865F9A"/>
    <w:rsid w:val="00866626"/>
    <w:rsid w:val="00866A76"/>
    <w:rsid w:val="00866B80"/>
    <w:rsid w:val="00866BA6"/>
    <w:rsid w:val="00867118"/>
    <w:rsid w:val="008672AF"/>
    <w:rsid w:val="00867790"/>
    <w:rsid w:val="008677A2"/>
    <w:rsid w:val="00867981"/>
    <w:rsid w:val="00867CCD"/>
    <w:rsid w:val="00867D69"/>
    <w:rsid w:val="00867E37"/>
    <w:rsid w:val="0087008D"/>
    <w:rsid w:val="008702D3"/>
    <w:rsid w:val="008702DD"/>
    <w:rsid w:val="00870303"/>
    <w:rsid w:val="008703B7"/>
    <w:rsid w:val="008703DB"/>
    <w:rsid w:val="0087087E"/>
    <w:rsid w:val="00870CA5"/>
    <w:rsid w:val="00870F13"/>
    <w:rsid w:val="00870FCE"/>
    <w:rsid w:val="00871049"/>
    <w:rsid w:val="008713ED"/>
    <w:rsid w:val="0087156A"/>
    <w:rsid w:val="00871745"/>
    <w:rsid w:val="008717E2"/>
    <w:rsid w:val="00871BE6"/>
    <w:rsid w:val="00871D1C"/>
    <w:rsid w:val="00871D24"/>
    <w:rsid w:val="00871E45"/>
    <w:rsid w:val="00871F99"/>
    <w:rsid w:val="008720C9"/>
    <w:rsid w:val="00872128"/>
    <w:rsid w:val="0087259E"/>
    <w:rsid w:val="00872650"/>
    <w:rsid w:val="008726AF"/>
    <w:rsid w:val="008726F3"/>
    <w:rsid w:val="0087284A"/>
    <w:rsid w:val="00872939"/>
    <w:rsid w:val="008729A1"/>
    <w:rsid w:val="008729B1"/>
    <w:rsid w:val="00872AA3"/>
    <w:rsid w:val="00872BB3"/>
    <w:rsid w:val="00872F32"/>
    <w:rsid w:val="008730A1"/>
    <w:rsid w:val="008730C1"/>
    <w:rsid w:val="00873203"/>
    <w:rsid w:val="00873242"/>
    <w:rsid w:val="00873396"/>
    <w:rsid w:val="00873583"/>
    <w:rsid w:val="00873924"/>
    <w:rsid w:val="00873935"/>
    <w:rsid w:val="00873C9D"/>
    <w:rsid w:val="00873F1E"/>
    <w:rsid w:val="00873FFA"/>
    <w:rsid w:val="00874131"/>
    <w:rsid w:val="0087414F"/>
    <w:rsid w:val="0087420C"/>
    <w:rsid w:val="0087490A"/>
    <w:rsid w:val="008749BA"/>
    <w:rsid w:val="008750AC"/>
    <w:rsid w:val="008750E1"/>
    <w:rsid w:val="008752F4"/>
    <w:rsid w:val="00875449"/>
    <w:rsid w:val="00875463"/>
    <w:rsid w:val="00875476"/>
    <w:rsid w:val="0087552C"/>
    <w:rsid w:val="008756E8"/>
    <w:rsid w:val="008757B2"/>
    <w:rsid w:val="008757E1"/>
    <w:rsid w:val="00875889"/>
    <w:rsid w:val="008759EE"/>
    <w:rsid w:val="00875AEC"/>
    <w:rsid w:val="00875B73"/>
    <w:rsid w:val="00875CB6"/>
    <w:rsid w:val="00875E6F"/>
    <w:rsid w:val="0087608B"/>
    <w:rsid w:val="00876104"/>
    <w:rsid w:val="00876255"/>
    <w:rsid w:val="008766C8"/>
    <w:rsid w:val="008767FA"/>
    <w:rsid w:val="00876934"/>
    <w:rsid w:val="008769B4"/>
    <w:rsid w:val="008769C4"/>
    <w:rsid w:val="00876A31"/>
    <w:rsid w:val="00876DA0"/>
    <w:rsid w:val="00876FD8"/>
    <w:rsid w:val="0087726B"/>
    <w:rsid w:val="0087728E"/>
    <w:rsid w:val="0087775C"/>
    <w:rsid w:val="008777A7"/>
    <w:rsid w:val="00877892"/>
    <w:rsid w:val="00877941"/>
    <w:rsid w:val="00877945"/>
    <w:rsid w:val="00877986"/>
    <w:rsid w:val="008779E6"/>
    <w:rsid w:val="00877A5E"/>
    <w:rsid w:val="00877A65"/>
    <w:rsid w:val="00877B0F"/>
    <w:rsid w:val="00877B91"/>
    <w:rsid w:val="00880182"/>
    <w:rsid w:val="008803BD"/>
    <w:rsid w:val="00880589"/>
    <w:rsid w:val="00880683"/>
    <w:rsid w:val="008808C3"/>
    <w:rsid w:val="00880A69"/>
    <w:rsid w:val="00880CE9"/>
    <w:rsid w:val="00880DF1"/>
    <w:rsid w:val="00880E68"/>
    <w:rsid w:val="00881298"/>
    <w:rsid w:val="00881353"/>
    <w:rsid w:val="0088147D"/>
    <w:rsid w:val="008817C4"/>
    <w:rsid w:val="008820E9"/>
    <w:rsid w:val="00882128"/>
    <w:rsid w:val="0088226E"/>
    <w:rsid w:val="0088247D"/>
    <w:rsid w:val="008824B6"/>
    <w:rsid w:val="0088259A"/>
    <w:rsid w:val="0088261F"/>
    <w:rsid w:val="00882629"/>
    <w:rsid w:val="0088273E"/>
    <w:rsid w:val="008827F4"/>
    <w:rsid w:val="00882964"/>
    <w:rsid w:val="0088298F"/>
    <w:rsid w:val="008829AF"/>
    <w:rsid w:val="00882A30"/>
    <w:rsid w:val="00882B2A"/>
    <w:rsid w:val="00882B60"/>
    <w:rsid w:val="00882BC0"/>
    <w:rsid w:val="00883184"/>
    <w:rsid w:val="00883452"/>
    <w:rsid w:val="008837AC"/>
    <w:rsid w:val="00883B4A"/>
    <w:rsid w:val="00883C28"/>
    <w:rsid w:val="00883C37"/>
    <w:rsid w:val="00883E2C"/>
    <w:rsid w:val="00883EC0"/>
    <w:rsid w:val="0088402C"/>
    <w:rsid w:val="00884173"/>
    <w:rsid w:val="00884252"/>
    <w:rsid w:val="008842AF"/>
    <w:rsid w:val="008843AB"/>
    <w:rsid w:val="008843CD"/>
    <w:rsid w:val="0088442C"/>
    <w:rsid w:val="00884471"/>
    <w:rsid w:val="00884506"/>
    <w:rsid w:val="0088459C"/>
    <w:rsid w:val="00884606"/>
    <w:rsid w:val="00884617"/>
    <w:rsid w:val="0088464E"/>
    <w:rsid w:val="008846DD"/>
    <w:rsid w:val="008847BD"/>
    <w:rsid w:val="0088486B"/>
    <w:rsid w:val="0088488E"/>
    <w:rsid w:val="00884AFC"/>
    <w:rsid w:val="00884B88"/>
    <w:rsid w:val="00884C93"/>
    <w:rsid w:val="00884F7D"/>
    <w:rsid w:val="00884FB2"/>
    <w:rsid w:val="0088514B"/>
    <w:rsid w:val="008852E9"/>
    <w:rsid w:val="0088541B"/>
    <w:rsid w:val="00885497"/>
    <w:rsid w:val="008854DD"/>
    <w:rsid w:val="00885AB8"/>
    <w:rsid w:val="00885CA1"/>
    <w:rsid w:val="00885CF1"/>
    <w:rsid w:val="00885D6C"/>
    <w:rsid w:val="00885DD7"/>
    <w:rsid w:val="00885E8D"/>
    <w:rsid w:val="00885E9A"/>
    <w:rsid w:val="00885EAF"/>
    <w:rsid w:val="00886075"/>
    <w:rsid w:val="008861A0"/>
    <w:rsid w:val="008861D2"/>
    <w:rsid w:val="00886230"/>
    <w:rsid w:val="00886289"/>
    <w:rsid w:val="008862C2"/>
    <w:rsid w:val="008865DA"/>
    <w:rsid w:val="00886629"/>
    <w:rsid w:val="0088667D"/>
    <w:rsid w:val="00886696"/>
    <w:rsid w:val="00886704"/>
    <w:rsid w:val="00886774"/>
    <w:rsid w:val="00886814"/>
    <w:rsid w:val="0088690B"/>
    <w:rsid w:val="00886996"/>
    <w:rsid w:val="00886AD9"/>
    <w:rsid w:val="00886DE4"/>
    <w:rsid w:val="00886F30"/>
    <w:rsid w:val="00886F64"/>
    <w:rsid w:val="00886F85"/>
    <w:rsid w:val="008870BB"/>
    <w:rsid w:val="00887150"/>
    <w:rsid w:val="0088720B"/>
    <w:rsid w:val="008872F6"/>
    <w:rsid w:val="008874B8"/>
    <w:rsid w:val="00887516"/>
    <w:rsid w:val="008877FB"/>
    <w:rsid w:val="008878DE"/>
    <w:rsid w:val="00887B6A"/>
    <w:rsid w:val="00887FF2"/>
    <w:rsid w:val="008901B2"/>
    <w:rsid w:val="008904E3"/>
    <w:rsid w:val="00890710"/>
    <w:rsid w:val="00890751"/>
    <w:rsid w:val="00890B23"/>
    <w:rsid w:val="00890B49"/>
    <w:rsid w:val="00890D43"/>
    <w:rsid w:val="00890FB1"/>
    <w:rsid w:val="00890FD1"/>
    <w:rsid w:val="00890FDD"/>
    <w:rsid w:val="0089101E"/>
    <w:rsid w:val="00891192"/>
    <w:rsid w:val="008916E5"/>
    <w:rsid w:val="0089171B"/>
    <w:rsid w:val="00891739"/>
    <w:rsid w:val="008917D0"/>
    <w:rsid w:val="008918A9"/>
    <w:rsid w:val="00891EE2"/>
    <w:rsid w:val="0089205E"/>
    <w:rsid w:val="00892474"/>
    <w:rsid w:val="008924B6"/>
    <w:rsid w:val="008924EE"/>
    <w:rsid w:val="00892557"/>
    <w:rsid w:val="008925A8"/>
    <w:rsid w:val="00892601"/>
    <w:rsid w:val="0089269A"/>
    <w:rsid w:val="0089271D"/>
    <w:rsid w:val="00892759"/>
    <w:rsid w:val="0089280D"/>
    <w:rsid w:val="00892910"/>
    <w:rsid w:val="00892DCE"/>
    <w:rsid w:val="00892E19"/>
    <w:rsid w:val="00892E84"/>
    <w:rsid w:val="00892E94"/>
    <w:rsid w:val="00893051"/>
    <w:rsid w:val="008930E5"/>
    <w:rsid w:val="008933C9"/>
    <w:rsid w:val="00893691"/>
    <w:rsid w:val="00893CA3"/>
    <w:rsid w:val="00893FCB"/>
    <w:rsid w:val="00893FF0"/>
    <w:rsid w:val="00894547"/>
    <w:rsid w:val="00894639"/>
    <w:rsid w:val="00894B28"/>
    <w:rsid w:val="00894BBD"/>
    <w:rsid w:val="00894C7A"/>
    <w:rsid w:val="00894D7D"/>
    <w:rsid w:val="00894E46"/>
    <w:rsid w:val="00894F0A"/>
    <w:rsid w:val="00894F31"/>
    <w:rsid w:val="00894FC1"/>
    <w:rsid w:val="00895053"/>
    <w:rsid w:val="008950CC"/>
    <w:rsid w:val="0089522F"/>
    <w:rsid w:val="00895608"/>
    <w:rsid w:val="0089577C"/>
    <w:rsid w:val="00895A02"/>
    <w:rsid w:val="00895ACA"/>
    <w:rsid w:val="00895CB8"/>
    <w:rsid w:val="00895E78"/>
    <w:rsid w:val="00895F1B"/>
    <w:rsid w:val="00895FCE"/>
    <w:rsid w:val="0089631C"/>
    <w:rsid w:val="0089633D"/>
    <w:rsid w:val="008964DF"/>
    <w:rsid w:val="00896698"/>
    <w:rsid w:val="00896818"/>
    <w:rsid w:val="008968D5"/>
    <w:rsid w:val="00896A2E"/>
    <w:rsid w:val="00896ABC"/>
    <w:rsid w:val="00896DAC"/>
    <w:rsid w:val="00897278"/>
    <w:rsid w:val="008977BB"/>
    <w:rsid w:val="008977DF"/>
    <w:rsid w:val="00897879"/>
    <w:rsid w:val="00897BBB"/>
    <w:rsid w:val="00897D42"/>
    <w:rsid w:val="00897D79"/>
    <w:rsid w:val="00897E5C"/>
    <w:rsid w:val="008A0277"/>
    <w:rsid w:val="008A02F8"/>
    <w:rsid w:val="008A0401"/>
    <w:rsid w:val="008A072F"/>
    <w:rsid w:val="008A0979"/>
    <w:rsid w:val="008A0C01"/>
    <w:rsid w:val="008A0EC0"/>
    <w:rsid w:val="008A14D2"/>
    <w:rsid w:val="008A1674"/>
    <w:rsid w:val="008A1713"/>
    <w:rsid w:val="008A17CD"/>
    <w:rsid w:val="008A18E8"/>
    <w:rsid w:val="008A193F"/>
    <w:rsid w:val="008A1DAA"/>
    <w:rsid w:val="008A1DB7"/>
    <w:rsid w:val="008A1DBE"/>
    <w:rsid w:val="008A1E04"/>
    <w:rsid w:val="008A1E4B"/>
    <w:rsid w:val="008A1E8C"/>
    <w:rsid w:val="008A1F0E"/>
    <w:rsid w:val="008A1F30"/>
    <w:rsid w:val="008A1FB6"/>
    <w:rsid w:val="008A202C"/>
    <w:rsid w:val="008A2079"/>
    <w:rsid w:val="008A20D2"/>
    <w:rsid w:val="008A21F0"/>
    <w:rsid w:val="008A2249"/>
    <w:rsid w:val="008A25F3"/>
    <w:rsid w:val="008A2734"/>
    <w:rsid w:val="008A2772"/>
    <w:rsid w:val="008A2811"/>
    <w:rsid w:val="008A28C8"/>
    <w:rsid w:val="008A29FC"/>
    <w:rsid w:val="008A2E8D"/>
    <w:rsid w:val="008A3041"/>
    <w:rsid w:val="008A345E"/>
    <w:rsid w:val="008A352A"/>
    <w:rsid w:val="008A3540"/>
    <w:rsid w:val="008A3569"/>
    <w:rsid w:val="008A35B0"/>
    <w:rsid w:val="008A368D"/>
    <w:rsid w:val="008A37E8"/>
    <w:rsid w:val="008A381D"/>
    <w:rsid w:val="008A38D0"/>
    <w:rsid w:val="008A39E3"/>
    <w:rsid w:val="008A3A91"/>
    <w:rsid w:val="008A3B85"/>
    <w:rsid w:val="008A3C9E"/>
    <w:rsid w:val="008A3E57"/>
    <w:rsid w:val="008A3F3A"/>
    <w:rsid w:val="008A3F57"/>
    <w:rsid w:val="008A40A5"/>
    <w:rsid w:val="008A417A"/>
    <w:rsid w:val="008A4551"/>
    <w:rsid w:val="008A462A"/>
    <w:rsid w:val="008A46EA"/>
    <w:rsid w:val="008A48A2"/>
    <w:rsid w:val="008A4A9D"/>
    <w:rsid w:val="008A4B19"/>
    <w:rsid w:val="008A4BE4"/>
    <w:rsid w:val="008A4BF4"/>
    <w:rsid w:val="008A4C71"/>
    <w:rsid w:val="008A4DD9"/>
    <w:rsid w:val="008A4E3E"/>
    <w:rsid w:val="008A4F33"/>
    <w:rsid w:val="008A5873"/>
    <w:rsid w:val="008A59BF"/>
    <w:rsid w:val="008A5C13"/>
    <w:rsid w:val="008A5DE9"/>
    <w:rsid w:val="008A618A"/>
    <w:rsid w:val="008A6389"/>
    <w:rsid w:val="008A63C9"/>
    <w:rsid w:val="008A6593"/>
    <w:rsid w:val="008A691C"/>
    <w:rsid w:val="008A6921"/>
    <w:rsid w:val="008A6A45"/>
    <w:rsid w:val="008A6BA6"/>
    <w:rsid w:val="008A6CFB"/>
    <w:rsid w:val="008A70A5"/>
    <w:rsid w:val="008A7248"/>
    <w:rsid w:val="008A73F7"/>
    <w:rsid w:val="008A76CA"/>
    <w:rsid w:val="008A783A"/>
    <w:rsid w:val="008A7B2C"/>
    <w:rsid w:val="008A7C4B"/>
    <w:rsid w:val="008A7D2C"/>
    <w:rsid w:val="008A7F80"/>
    <w:rsid w:val="008B0032"/>
    <w:rsid w:val="008B0274"/>
    <w:rsid w:val="008B033A"/>
    <w:rsid w:val="008B03EC"/>
    <w:rsid w:val="008B0410"/>
    <w:rsid w:val="008B04E6"/>
    <w:rsid w:val="008B054B"/>
    <w:rsid w:val="008B0558"/>
    <w:rsid w:val="008B0771"/>
    <w:rsid w:val="008B0799"/>
    <w:rsid w:val="008B0C0C"/>
    <w:rsid w:val="008B0D5F"/>
    <w:rsid w:val="008B0DD9"/>
    <w:rsid w:val="008B0DF6"/>
    <w:rsid w:val="008B14CB"/>
    <w:rsid w:val="008B14F2"/>
    <w:rsid w:val="008B15C0"/>
    <w:rsid w:val="008B1618"/>
    <w:rsid w:val="008B189A"/>
    <w:rsid w:val="008B18DC"/>
    <w:rsid w:val="008B1A2C"/>
    <w:rsid w:val="008B1A7A"/>
    <w:rsid w:val="008B1AEA"/>
    <w:rsid w:val="008B1E87"/>
    <w:rsid w:val="008B1EAD"/>
    <w:rsid w:val="008B1EDC"/>
    <w:rsid w:val="008B200F"/>
    <w:rsid w:val="008B20BA"/>
    <w:rsid w:val="008B22A8"/>
    <w:rsid w:val="008B2352"/>
    <w:rsid w:val="008B25FC"/>
    <w:rsid w:val="008B281A"/>
    <w:rsid w:val="008B2877"/>
    <w:rsid w:val="008B2900"/>
    <w:rsid w:val="008B2953"/>
    <w:rsid w:val="008B2A8C"/>
    <w:rsid w:val="008B2ABB"/>
    <w:rsid w:val="008B2B3D"/>
    <w:rsid w:val="008B2CB9"/>
    <w:rsid w:val="008B2CD0"/>
    <w:rsid w:val="008B3007"/>
    <w:rsid w:val="008B3248"/>
    <w:rsid w:val="008B331A"/>
    <w:rsid w:val="008B3329"/>
    <w:rsid w:val="008B3484"/>
    <w:rsid w:val="008B3651"/>
    <w:rsid w:val="008B36A1"/>
    <w:rsid w:val="008B3705"/>
    <w:rsid w:val="008B37B4"/>
    <w:rsid w:val="008B39FF"/>
    <w:rsid w:val="008B3B88"/>
    <w:rsid w:val="008B3D0B"/>
    <w:rsid w:val="008B3D4F"/>
    <w:rsid w:val="008B3FDC"/>
    <w:rsid w:val="008B411D"/>
    <w:rsid w:val="008B429B"/>
    <w:rsid w:val="008B4405"/>
    <w:rsid w:val="008B467B"/>
    <w:rsid w:val="008B48F2"/>
    <w:rsid w:val="008B4BF5"/>
    <w:rsid w:val="008B4D02"/>
    <w:rsid w:val="008B4D7E"/>
    <w:rsid w:val="008B50B8"/>
    <w:rsid w:val="008B5230"/>
    <w:rsid w:val="008B55D9"/>
    <w:rsid w:val="008B5817"/>
    <w:rsid w:val="008B5910"/>
    <w:rsid w:val="008B599B"/>
    <w:rsid w:val="008B5A83"/>
    <w:rsid w:val="008B5ADF"/>
    <w:rsid w:val="008B5BA6"/>
    <w:rsid w:val="008B5FC8"/>
    <w:rsid w:val="008B6018"/>
    <w:rsid w:val="008B6065"/>
    <w:rsid w:val="008B61D2"/>
    <w:rsid w:val="008B622B"/>
    <w:rsid w:val="008B6239"/>
    <w:rsid w:val="008B6299"/>
    <w:rsid w:val="008B634E"/>
    <w:rsid w:val="008B67CA"/>
    <w:rsid w:val="008B688E"/>
    <w:rsid w:val="008B691B"/>
    <w:rsid w:val="008B6ADE"/>
    <w:rsid w:val="008B6FF7"/>
    <w:rsid w:val="008B714A"/>
    <w:rsid w:val="008B77DD"/>
    <w:rsid w:val="008B7814"/>
    <w:rsid w:val="008B7822"/>
    <w:rsid w:val="008B79B5"/>
    <w:rsid w:val="008B79F0"/>
    <w:rsid w:val="008B7B1F"/>
    <w:rsid w:val="008B7B67"/>
    <w:rsid w:val="008B7C8C"/>
    <w:rsid w:val="008B7EDE"/>
    <w:rsid w:val="008C00C8"/>
    <w:rsid w:val="008C01C6"/>
    <w:rsid w:val="008C01CA"/>
    <w:rsid w:val="008C02BE"/>
    <w:rsid w:val="008C04B3"/>
    <w:rsid w:val="008C0BF9"/>
    <w:rsid w:val="008C0CA1"/>
    <w:rsid w:val="008C0DC9"/>
    <w:rsid w:val="008C0F09"/>
    <w:rsid w:val="008C0F20"/>
    <w:rsid w:val="008C11EC"/>
    <w:rsid w:val="008C11FA"/>
    <w:rsid w:val="008C1A3A"/>
    <w:rsid w:val="008C1B12"/>
    <w:rsid w:val="008C1B77"/>
    <w:rsid w:val="008C1B9A"/>
    <w:rsid w:val="008C1C29"/>
    <w:rsid w:val="008C1C5E"/>
    <w:rsid w:val="008C215B"/>
    <w:rsid w:val="008C2245"/>
    <w:rsid w:val="008C2295"/>
    <w:rsid w:val="008C233E"/>
    <w:rsid w:val="008C2645"/>
    <w:rsid w:val="008C271F"/>
    <w:rsid w:val="008C2CB6"/>
    <w:rsid w:val="008C31FA"/>
    <w:rsid w:val="008C38EA"/>
    <w:rsid w:val="008C3A23"/>
    <w:rsid w:val="008C3C10"/>
    <w:rsid w:val="008C3DF8"/>
    <w:rsid w:val="008C3EA1"/>
    <w:rsid w:val="008C3EA3"/>
    <w:rsid w:val="008C3F1D"/>
    <w:rsid w:val="008C42F8"/>
    <w:rsid w:val="008C434B"/>
    <w:rsid w:val="008C4377"/>
    <w:rsid w:val="008C4384"/>
    <w:rsid w:val="008C44A4"/>
    <w:rsid w:val="008C48E7"/>
    <w:rsid w:val="008C4AB4"/>
    <w:rsid w:val="008C4C85"/>
    <w:rsid w:val="008C4FBC"/>
    <w:rsid w:val="008C5308"/>
    <w:rsid w:val="008C5496"/>
    <w:rsid w:val="008C5741"/>
    <w:rsid w:val="008C58F3"/>
    <w:rsid w:val="008C5EB4"/>
    <w:rsid w:val="008C5F63"/>
    <w:rsid w:val="008C6098"/>
    <w:rsid w:val="008C60D3"/>
    <w:rsid w:val="008C6546"/>
    <w:rsid w:val="008C658F"/>
    <w:rsid w:val="008C6974"/>
    <w:rsid w:val="008C6A25"/>
    <w:rsid w:val="008C6B18"/>
    <w:rsid w:val="008C6C00"/>
    <w:rsid w:val="008C6C9C"/>
    <w:rsid w:val="008C6FB5"/>
    <w:rsid w:val="008C7041"/>
    <w:rsid w:val="008C70A6"/>
    <w:rsid w:val="008C71CE"/>
    <w:rsid w:val="008C7231"/>
    <w:rsid w:val="008C7802"/>
    <w:rsid w:val="008C784B"/>
    <w:rsid w:val="008D001D"/>
    <w:rsid w:val="008D009B"/>
    <w:rsid w:val="008D0188"/>
    <w:rsid w:val="008D0345"/>
    <w:rsid w:val="008D06BD"/>
    <w:rsid w:val="008D06C6"/>
    <w:rsid w:val="008D08B2"/>
    <w:rsid w:val="008D0BC7"/>
    <w:rsid w:val="008D0E72"/>
    <w:rsid w:val="008D1065"/>
    <w:rsid w:val="008D10CF"/>
    <w:rsid w:val="008D113D"/>
    <w:rsid w:val="008D121B"/>
    <w:rsid w:val="008D12FC"/>
    <w:rsid w:val="008D1319"/>
    <w:rsid w:val="008D1511"/>
    <w:rsid w:val="008D16D7"/>
    <w:rsid w:val="008D172C"/>
    <w:rsid w:val="008D1A85"/>
    <w:rsid w:val="008D1B41"/>
    <w:rsid w:val="008D1C59"/>
    <w:rsid w:val="008D1CF9"/>
    <w:rsid w:val="008D1D4F"/>
    <w:rsid w:val="008D1EC3"/>
    <w:rsid w:val="008D1F57"/>
    <w:rsid w:val="008D1F89"/>
    <w:rsid w:val="008D1FCC"/>
    <w:rsid w:val="008D211C"/>
    <w:rsid w:val="008D2344"/>
    <w:rsid w:val="008D23AD"/>
    <w:rsid w:val="008D2459"/>
    <w:rsid w:val="008D24A0"/>
    <w:rsid w:val="008D2536"/>
    <w:rsid w:val="008D25FA"/>
    <w:rsid w:val="008D26C4"/>
    <w:rsid w:val="008D27A6"/>
    <w:rsid w:val="008D27E8"/>
    <w:rsid w:val="008D28A2"/>
    <w:rsid w:val="008D28C5"/>
    <w:rsid w:val="008D2D32"/>
    <w:rsid w:val="008D2D3A"/>
    <w:rsid w:val="008D3149"/>
    <w:rsid w:val="008D3179"/>
    <w:rsid w:val="008D3637"/>
    <w:rsid w:val="008D3755"/>
    <w:rsid w:val="008D3895"/>
    <w:rsid w:val="008D3AF0"/>
    <w:rsid w:val="008D3B2D"/>
    <w:rsid w:val="008D3B8D"/>
    <w:rsid w:val="008D3C24"/>
    <w:rsid w:val="008D3FD9"/>
    <w:rsid w:val="008D418B"/>
    <w:rsid w:val="008D421C"/>
    <w:rsid w:val="008D4229"/>
    <w:rsid w:val="008D42E5"/>
    <w:rsid w:val="008D42FD"/>
    <w:rsid w:val="008D4378"/>
    <w:rsid w:val="008D4408"/>
    <w:rsid w:val="008D441C"/>
    <w:rsid w:val="008D4502"/>
    <w:rsid w:val="008D4B34"/>
    <w:rsid w:val="008D509B"/>
    <w:rsid w:val="008D51C3"/>
    <w:rsid w:val="008D51E7"/>
    <w:rsid w:val="008D525C"/>
    <w:rsid w:val="008D5554"/>
    <w:rsid w:val="008D570C"/>
    <w:rsid w:val="008D5912"/>
    <w:rsid w:val="008D593E"/>
    <w:rsid w:val="008D5944"/>
    <w:rsid w:val="008D5AA3"/>
    <w:rsid w:val="008D5B01"/>
    <w:rsid w:val="008D5DB6"/>
    <w:rsid w:val="008D60B4"/>
    <w:rsid w:val="008D612F"/>
    <w:rsid w:val="008D62E5"/>
    <w:rsid w:val="008D62E6"/>
    <w:rsid w:val="008D6570"/>
    <w:rsid w:val="008D6976"/>
    <w:rsid w:val="008D69D4"/>
    <w:rsid w:val="008D6B6C"/>
    <w:rsid w:val="008D6D9F"/>
    <w:rsid w:val="008D6F30"/>
    <w:rsid w:val="008D7137"/>
    <w:rsid w:val="008D715E"/>
    <w:rsid w:val="008D733B"/>
    <w:rsid w:val="008D7728"/>
    <w:rsid w:val="008D7825"/>
    <w:rsid w:val="008D78DF"/>
    <w:rsid w:val="008D7B01"/>
    <w:rsid w:val="008D7EBC"/>
    <w:rsid w:val="008D7F4C"/>
    <w:rsid w:val="008E0080"/>
    <w:rsid w:val="008E0205"/>
    <w:rsid w:val="008E05ED"/>
    <w:rsid w:val="008E0709"/>
    <w:rsid w:val="008E0735"/>
    <w:rsid w:val="008E0AA8"/>
    <w:rsid w:val="008E0AF0"/>
    <w:rsid w:val="008E0C65"/>
    <w:rsid w:val="008E0DCA"/>
    <w:rsid w:val="008E0E16"/>
    <w:rsid w:val="008E119A"/>
    <w:rsid w:val="008E14ED"/>
    <w:rsid w:val="008E18B2"/>
    <w:rsid w:val="008E1AC4"/>
    <w:rsid w:val="008E203F"/>
    <w:rsid w:val="008E2227"/>
    <w:rsid w:val="008E24ED"/>
    <w:rsid w:val="008E27BA"/>
    <w:rsid w:val="008E2B85"/>
    <w:rsid w:val="008E2B95"/>
    <w:rsid w:val="008E2C38"/>
    <w:rsid w:val="008E2C8B"/>
    <w:rsid w:val="008E2CD4"/>
    <w:rsid w:val="008E2D50"/>
    <w:rsid w:val="008E2E15"/>
    <w:rsid w:val="008E303E"/>
    <w:rsid w:val="008E306D"/>
    <w:rsid w:val="008E30D1"/>
    <w:rsid w:val="008E3202"/>
    <w:rsid w:val="008E3669"/>
    <w:rsid w:val="008E3701"/>
    <w:rsid w:val="008E380C"/>
    <w:rsid w:val="008E3822"/>
    <w:rsid w:val="008E3DB6"/>
    <w:rsid w:val="008E3E54"/>
    <w:rsid w:val="008E3F1F"/>
    <w:rsid w:val="008E3F72"/>
    <w:rsid w:val="008E3FAA"/>
    <w:rsid w:val="008E3FF2"/>
    <w:rsid w:val="008E4374"/>
    <w:rsid w:val="008E43C2"/>
    <w:rsid w:val="008E44B0"/>
    <w:rsid w:val="008E453F"/>
    <w:rsid w:val="008E45AF"/>
    <w:rsid w:val="008E491F"/>
    <w:rsid w:val="008E4B40"/>
    <w:rsid w:val="008E4B6E"/>
    <w:rsid w:val="008E4D3F"/>
    <w:rsid w:val="008E4D7E"/>
    <w:rsid w:val="008E4E9A"/>
    <w:rsid w:val="008E4EDD"/>
    <w:rsid w:val="008E4F75"/>
    <w:rsid w:val="008E519C"/>
    <w:rsid w:val="008E545C"/>
    <w:rsid w:val="008E55F4"/>
    <w:rsid w:val="008E582F"/>
    <w:rsid w:val="008E5850"/>
    <w:rsid w:val="008E5A14"/>
    <w:rsid w:val="008E5BB0"/>
    <w:rsid w:val="008E6079"/>
    <w:rsid w:val="008E61B8"/>
    <w:rsid w:val="008E62D9"/>
    <w:rsid w:val="008E6510"/>
    <w:rsid w:val="008E6587"/>
    <w:rsid w:val="008E6983"/>
    <w:rsid w:val="008E6B6C"/>
    <w:rsid w:val="008E6C00"/>
    <w:rsid w:val="008E6D74"/>
    <w:rsid w:val="008E6DA5"/>
    <w:rsid w:val="008E6F38"/>
    <w:rsid w:val="008E70C6"/>
    <w:rsid w:val="008E71D2"/>
    <w:rsid w:val="008E72D9"/>
    <w:rsid w:val="008E73DC"/>
    <w:rsid w:val="008E7671"/>
    <w:rsid w:val="008E7672"/>
    <w:rsid w:val="008E778F"/>
    <w:rsid w:val="008E77BD"/>
    <w:rsid w:val="008E7C08"/>
    <w:rsid w:val="008E7D31"/>
    <w:rsid w:val="008F0058"/>
    <w:rsid w:val="008F01B9"/>
    <w:rsid w:val="008F0240"/>
    <w:rsid w:val="008F0895"/>
    <w:rsid w:val="008F08DC"/>
    <w:rsid w:val="008F0C28"/>
    <w:rsid w:val="008F0E90"/>
    <w:rsid w:val="008F0F1C"/>
    <w:rsid w:val="008F0F9E"/>
    <w:rsid w:val="008F10D5"/>
    <w:rsid w:val="008F162C"/>
    <w:rsid w:val="008F19E7"/>
    <w:rsid w:val="008F19F6"/>
    <w:rsid w:val="008F1A21"/>
    <w:rsid w:val="008F1A70"/>
    <w:rsid w:val="008F1EB0"/>
    <w:rsid w:val="008F20CC"/>
    <w:rsid w:val="008F2301"/>
    <w:rsid w:val="008F241B"/>
    <w:rsid w:val="008F2842"/>
    <w:rsid w:val="008F2B97"/>
    <w:rsid w:val="008F2BB8"/>
    <w:rsid w:val="008F2D46"/>
    <w:rsid w:val="008F2E7D"/>
    <w:rsid w:val="008F2F00"/>
    <w:rsid w:val="008F2F12"/>
    <w:rsid w:val="008F3130"/>
    <w:rsid w:val="008F3420"/>
    <w:rsid w:val="008F35B2"/>
    <w:rsid w:val="008F37D0"/>
    <w:rsid w:val="008F3B2A"/>
    <w:rsid w:val="008F3F25"/>
    <w:rsid w:val="008F3FF0"/>
    <w:rsid w:val="008F413A"/>
    <w:rsid w:val="008F431D"/>
    <w:rsid w:val="008F455A"/>
    <w:rsid w:val="008F4600"/>
    <w:rsid w:val="008F4676"/>
    <w:rsid w:val="008F467E"/>
    <w:rsid w:val="008F4759"/>
    <w:rsid w:val="008F4A70"/>
    <w:rsid w:val="008F4ACC"/>
    <w:rsid w:val="008F4FAE"/>
    <w:rsid w:val="008F5096"/>
    <w:rsid w:val="008F5219"/>
    <w:rsid w:val="008F5309"/>
    <w:rsid w:val="008F5C63"/>
    <w:rsid w:val="008F5EA6"/>
    <w:rsid w:val="008F5FF7"/>
    <w:rsid w:val="008F62A9"/>
    <w:rsid w:val="008F62E9"/>
    <w:rsid w:val="008F63A9"/>
    <w:rsid w:val="008F6414"/>
    <w:rsid w:val="008F6558"/>
    <w:rsid w:val="008F6740"/>
    <w:rsid w:val="008F6907"/>
    <w:rsid w:val="008F691C"/>
    <w:rsid w:val="008F69F3"/>
    <w:rsid w:val="008F6A47"/>
    <w:rsid w:val="008F6BE1"/>
    <w:rsid w:val="008F6DCF"/>
    <w:rsid w:val="008F7299"/>
    <w:rsid w:val="008F755E"/>
    <w:rsid w:val="008F770C"/>
    <w:rsid w:val="008F77DC"/>
    <w:rsid w:val="008F78D6"/>
    <w:rsid w:val="008F7983"/>
    <w:rsid w:val="008F7AF8"/>
    <w:rsid w:val="008F7D1A"/>
    <w:rsid w:val="008F7F4C"/>
    <w:rsid w:val="009000BF"/>
    <w:rsid w:val="00900109"/>
    <w:rsid w:val="009001D2"/>
    <w:rsid w:val="00900201"/>
    <w:rsid w:val="00900214"/>
    <w:rsid w:val="0090034D"/>
    <w:rsid w:val="00900374"/>
    <w:rsid w:val="009003AB"/>
    <w:rsid w:val="00900449"/>
    <w:rsid w:val="00900460"/>
    <w:rsid w:val="00900473"/>
    <w:rsid w:val="00900621"/>
    <w:rsid w:val="00900866"/>
    <w:rsid w:val="0090089B"/>
    <w:rsid w:val="009008B7"/>
    <w:rsid w:val="009009BE"/>
    <w:rsid w:val="00900A86"/>
    <w:rsid w:val="00900AEE"/>
    <w:rsid w:val="00900DFE"/>
    <w:rsid w:val="00901142"/>
    <w:rsid w:val="00901255"/>
    <w:rsid w:val="0090136A"/>
    <w:rsid w:val="009013E5"/>
    <w:rsid w:val="00901514"/>
    <w:rsid w:val="009016B3"/>
    <w:rsid w:val="009016BF"/>
    <w:rsid w:val="009016C6"/>
    <w:rsid w:val="0090173A"/>
    <w:rsid w:val="0090181A"/>
    <w:rsid w:val="0090184C"/>
    <w:rsid w:val="00901853"/>
    <w:rsid w:val="00901883"/>
    <w:rsid w:val="00901976"/>
    <w:rsid w:val="00901B75"/>
    <w:rsid w:val="00901C3F"/>
    <w:rsid w:val="00901C9E"/>
    <w:rsid w:val="00901E34"/>
    <w:rsid w:val="00901E55"/>
    <w:rsid w:val="00901F38"/>
    <w:rsid w:val="00902170"/>
    <w:rsid w:val="009024AD"/>
    <w:rsid w:val="009026BB"/>
    <w:rsid w:val="009029FA"/>
    <w:rsid w:val="00902A9B"/>
    <w:rsid w:val="009030A0"/>
    <w:rsid w:val="0090371A"/>
    <w:rsid w:val="009038CA"/>
    <w:rsid w:val="0090391E"/>
    <w:rsid w:val="00903A7A"/>
    <w:rsid w:val="00903B41"/>
    <w:rsid w:val="0090401E"/>
    <w:rsid w:val="009040B7"/>
    <w:rsid w:val="009042E9"/>
    <w:rsid w:val="009042FE"/>
    <w:rsid w:val="00904546"/>
    <w:rsid w:val="0090475E"/>
    <w:rsid w:val="0090476A"/>
    <w:rsid w:val="00904833"/>
    <w:rsid w:val="00904977"/>
    <w:rsid w:val="00904B0D"/>
    <w:rsid w:val="00904C34"/>
    <w:rsid w:val="00904DF8"/>
    <w:rsid w:val="00904EDC"/>
    <w:rsid w:val="00904F5E"/>
    <w:rsid w:val="00904FAF"/>
    <w:rsid w:val="00905194"/>
    <w:rsid w:val="0090555F"/>
    <w:rsid w:val="009056DE"/>
    <w:rsid w:val="00905883"/>
    <w:rsid w:val="00905C89"/>
    <w:rsid w:val="00905EA0"/>
    <w:rsid w:val="00905F5F"/>
    <w:rsid w:val="00905FD2"/>
    <w:rsid w:val="0090612C"/>
    <w:rsid w:val="0090614B"/>
    <w:rsid w:val="00906505"/>
    <w:rsid w:val="0090689F"/>
    <w:rsid w:val="00906AAA"/>
    <w:rsid w:val="00906BA7"/>
    <w:rsid w:val="00906BD6"/>
    <w:rsid w:val="00906CAD"/>
    <w:rsid w:val="00906D67"/>
    <w:rsid w:val="00907338"/>
    <w:rsid w:val="009074E0"/>
    <w:rsid w:val="009075F6"/>
    <w:rsid w:val="0090775D"/>
    <w:rsid w:val="009078FC"/>
    <w:rsid w:val="009079F1"/>
    <w:rsid w:val="00907A36"/>
    <w:rsid w:val="00907A4A"/>
    <w:rsid w:val="00907B5C"/>
    <w:rsid w:val="00907D4E"/>
    <w:rsid w:val="00910033"/>
    <w:rsid w:val="009100BB"/>
    <w:rsid w:val="0091023E"/>
    <w:rsid w:val="009104D5"/>
    <w:rsid w:val="00910598"/>
    <w:rsid w:val="009105B6"/>
    <w:rsid w:val="009105D5"/>
    <w:rsid w:val="009106D9"/>
    <w:rsid w:val="00910A12"/>
    <w:rsid w:val="00910AE8"/>
    <w:rsid w:val="00911042"/>
    <w:rsid w:val="00911218"/>
    <w:rsid w:val="0091135E"/>
    <w:rsid w:val="0091154F"/>
    <w:rsid w:val="00911599"/>
    <w:rsid w:val="009115AF"/>
    <w:rsid w:val="00911845"/>
    <w:rsid w:val="00911999"/>
    <w:rsid w:val="00911B5F"/>
    <w:rsid w:val="00911C51"/>
    <w:rsid w:val="00911CF8"/>
    <w:rsid w:val="00911D02"/>
    <w:rsid w:val="00911E10"/>
    <w:rsid w:val="00911EC1"/>
    <w:rsid w:val="009120D9"/>
    <w:rsid w:val="00912951"/>
    <w:rsid w:val="00912989"/>
    <w:rsid w:val="00912A9F"/>
    <w:rsid w:val="00912D21"/>
    <w:rsid w:val="00912D8F"/>
    <w:rsid w:val="00912E93"/>
    <w:rsid w:val="00912ED1"/>
    <w:rsid w:val="00912FC7"/>
    <w:rsid w:val="00912FEE"/>
    <w:rsid w:val="00913120"/>
    <w:rsid w:val="00913335"/>
    <w:rsid w:val="00913354"/>
    <w:rsid w:val="0091369E"/>
    <w:rsid w:val="0091375C"/>
    <w:rsid w:val="00913843"/>
    <w:rsid w:val="00913B67"/>
    <w:rsid w:val="00913D41"/>
    <w:rsid w:val="00913D8D"/>
    <w:rsid w:val="00913E87"/>
    <w:rsid w:val="00913F63"/>
    <w:rsid w:val="00914052"/>
    <w:rsid w:val="009142D9"/>
    <w:rsid w:val="00914581"/>
    <w:rsid w:val="009146FF"/>
    <w:rsid w:val="009149F6"/>
    <w:rsid w:val="00914A76"/>
    <w:rsid w:val="00914B68"/>
    <w:rsid w:val="00914CB5"/>
    <w:rsid w:val="00914E96"/>
    <w:rsid w:val="00914F91"/>
    <w:rsid w:val="009150C9"/>
    <w:rsid w:val="009152ED"/>
    <w:rsid w:val="00915334"/>
    <w:rsid w:val="009153E6"/>
    <w:rsid w:val="00915443"/>
    <w:rsid w:val="009155EC"/>
    <w:rsid w:val="009155ED"/>
    <w:rsid w:val="009155F1"/>
    <w:rsid w:val="0091567D"/>
    <w:rsid w:val="00915686"/>
    <w:rsid w:val="009157DA"/>
    <w:rsid w:val="00915822"/>
    <w:rsid w:val="0091584F"/>
    <w:rsid w:val="00915970"/>
    <w:rsid w:val="00915E91"/>
    <w:rsid w:val="00915F9F"/>
    <w:rsid w:val="00916002"/>
    <w:rsid w:val="009162CD"/>
    <w:rsid w:val="0091630E"/>
    <w:rsid w:val="00916323"/>
    <w:rsid w:val="00916526"/>
    <w:rsid w:val="0091657F"/>
    <w:rsid w:val="009165FF"/>
    <w:rsid w:val="0091679A"/>
    <w:rsid w:val="0091682E"/>
    <w:rsid w:val="00916B86"/>
    <w:rsid w:val="00916C85"/>
    <w:rsid w:val="00916CC2"/>
    <w:rsid w:val="00916EB7"/>
    <w:rsid w:val="009170DD"/>
    <w:rsid w:val="0091753D"/>
    <w:rsid w:val="009175EF"/>
    <w:rsid w:val="009176CC"/>
    <w:rsid w:val="009176F8"/>
    <w:rsid w:val="009178AE"/>
    <w:rsid w:val="00917AA2"/>
    <w:rsid w:val="00917C7A"/>
    <w:rsid w:val="00917C8D"/>
    <w:rsid w:val="00917CA5"/>
    <w:rsid w:val="00917D01"/>
    <w:rsid w:val="00917F5B"/>
    <w:rsid w:val="009201C3"/>
    <w:rsid w:val="0092028C"/>
    <w:rsid w:val="0092033C"/>
    <w:rsid w:val="0092047A"/>
    <w:rsid w:val="00920728"/>
    <w:rsid w:val="0092091A"/>
    <w:rsid w:val="00920EAB"/>
    <w:rsid w:val="0092110D"/>
    <w:rsid w:val="009214C9"/>
    <w:rsid w:val="0092158D"/>
    <w:rsid w:val="009217C7"/>
    <w:rsid w:val="00921DD1"/>
    <w:rsid w:val="00921F8B"/>
    <w:rsid w:val="00921FE6"/>
    <w:rsid w:val="00922342"/>
    <w:rsid w:val="00922C5C"/>
    <w:rsid w:val="00922CF7"/>
    <w:rsid w:val="00922D85"/>
    <w:rsid w:val="0092314E"/>
    <w:rsid w:val="009231AC"/>
    <w:rsid w:val="009231B9"/>
    <w:rsid w:val="0092322E"/>
    <w:rsid w:val="0092331C"/>
    <w:rsid w:val="00923364"/>
    <w:rsid w:val="0092349F"/>
    <w:rsid w:val="009234EC"/>
    <w:rsid w:val="00923680"/>
    <w:rsid w:val="00923912"/>
    <w:rsid w:val="00923C0A"/>
    <w:rsid w:val="00923FC7"/>
    <w:rsid w:val="00924410"/>
    <w:rsid w:val="0092487A"/>
    <w:rsid w:val="009248D9"/>
    <w:rsid w:val="00924AED"/>
    <w:rsid w:val="00924C69"/>
    <w:rsid w:val="00924C75"/>
    <w:rsid w:val="00924D82"/>
    <w:rsid w:val="00924FA9"/>
    <w:rsid w:val="0092504B"/>
    <w:rsid w:val="009253F3"/>
    <w:rsid w:val="009254D4"/>
    <w:rsid w:val="0092558F"/>
    <w:rsid w:val="009259D6"/>
    <w:rsid w:val="00925A11"/>
    <w:rsid w:val="00925E08"/>
    <w:rsid w:val="00925FD9"/>
    <w:rsid w:val="00926156"/>
    <w:rsid w:val="0092615F"/>
    <w:rsid w:val="009265B8"/>
    <w:rsid w:val="009265D6"/>
    <w:rsid w:val="00926A9C"/>
    <w:rsid w:val="00926B25"/>
    <w:rsid w:val="00926C12"/>
    <w:rsid w:val="00926CC7"/>
    <w:rsid w:val="00926E29"/>
    <w:rsid w:val="00926EB7"/>
    <w:rsid w:val="00927068"/>
    <w:rsid w:val="009270FB"/>
    <w:rsid w:val="0092710B"/>
    <w:rsid w:val="009271C2"/>
    <w:rsid w:val="00927263"/>
    <w:rsid w:val="0092733C"/>
    <w:rsid w:val="009275E9"/>
    <w:rsid w:val="00927DF9"/>
    <w:rsid w:val="009303AE"/>
    <w:rsid w:val="00930551"/>
    <w:rsid w:val="009308D3"/>
    <w:rsid w:val="00930925"/>
    <w:rsid w:val="00930B20"/>
    <w:rsid w:val="00930C1C"/>
    <w:rsid w:val="00930CA7"/>
    <w:rsid w:val="00930D91"/>
    <w:rsid w:val="00930DD4"/>
    <w:rsid w:val="00930F5D"/>
    <w:rsid w:val="009311DD"/>
    <w:rsid w:val="009314A2"/>
    <w:rsid w:val="0093153F"/>
    <w:rsid w:val="009316C7"/>
    <w:rsid w:val="009318DC"/>
    <w:rsid w:val="00931B45"/>
    <w:rsid w:val="00931BE8"/>
    <w:rsid w:val="00931BED"/>
    <w:rsid w:val="00931D4A"/>
    <w:rsid w:val="00932062"/>
    <w:rsid w:val="0093218E"/>
    <w:rsid w:val="00932213"/>
    <w:rsid w:val="00932439"/>
    <w:rsid w:val="009325FA"/>
    <w:rsid w:val="0093261B"/>
    <w:rsid w:val="00932714"/>
    <w:rsid w:val="00932848"/>
    <w:rsid w:val="00932873"/>
    <w:rsid w:val="009328B0"/>
    <w:rsid w:val="009328E7"/>
    <w:rsid w:val="009328F8"/>
    <w:rsid w:val="009329A0"/>
    <w:rsid w:val="00932E54"/>
    <w:rsid w:val="00932F19"/>
    <w:rsid w:val="00932F82"/>
    <w:rsid w:val="00932FF0"/>
    <w:rsid w:val="00933047"/>
    <w:rsid w:val="00933215"/>
    <w:rsid w:val="00933A60"/>
    <w:rsid w:val="00933D7F"/>
    <w:rsid w:val="00933E89"/>
    <w:rsid w:val="00934060"/>
    <w:rsid w:val="00934352"/>
    <w:rsid w:val="009345E7"/>
    <w:rsid w:val="0093462E"/>
    <w:rsid w:val="00934AA6"/>
    <w:rsid w:val="00934CE8"/>
    <w:rsid w:val="00935266"/>
    <w:rsid w:val="009354E3"/>
    <w:rsid w:val="009357FC"/>
    <w:rsid w:val="009358EE"/>
    <w:rsid w:val="00935A09"/>
    <w:rsid w:val="00935AF0"/>
    <w:rsid w:val="00935CD9"/>
    <w:rsid w:val="00935E34"/>
    <w:rsid w:val="00935E41"/>
    <w:rsid w:val="00935EAE"/>
    <w:rsid w:val="00935EC3"/>
    <w:rsid w:val="009361BD"/>
    <w:rsid w:val="00936329"/>
    <w:rsid w:val="00936348"/>
    <w:rsid w:val="009364CB"/>
    <w:rsid w:val="009365B2"/>
    <w:rsid w:val="00936671"/>
    <w:rsid w:val="00936AB1"/>
    <w:rsid w:val="00936BAE"/>
    <w:rsid w:val="00936FF8"/>
    <w:rsid w:val="0093731C"/>
    <w:rsid w:val="00937330"/>
    <w:rsid w:val="0093733D"/>
    <w:rsid w:val="00937391"/>
    <w:rsid w:val="009374F5"/>
    <w:rsid w:val="00937695"/>
    <w:rsid w:val="009377C5"/>
    <w:rsid w:val="00937B08"/>
    <w:rsid w:val="00937F4F"/>
    <w:rsid w:val="0094014C"/>
    <w:rsid w:val="00940362"/>
    <w:rsid w:val="00940667"/>
    <w:rsid w:val="009406C5"/>
    <w:rsid w:val="009407A7"/>
    <w:rsid w:val="00940CE0"/>
    <w:rsid w:val="00940D07"/>
    <w:rsid w:val="00940FC0"/>
    <w:rsid w:val="00941024"/>
    <w:rsid w:val="00941060"/>
    <w:rsid w:val="0094145D"/>
    <w:rsid w:val="0094153F"/>
    <w:rsid w:val="00941633"/>
    <w:rsid w:val="00941688"/>
    <w:rsid w:val="00941754"/>
    <w:rsid w:val="00941867"/>
    <w:rsid w:val="009418B6"/>
    <w:rsid w:val="00941B28"/>
    <w:rsid w:val="00941B46"/>
    <w:rsid w:val="00941BE1"/>
    <w:rsid w:val="00941D00"/>
    <w:rsid w:val="00941D4A"/>
    <w:rsid w:val="00941DE6"/>
    <w:rsid w:val="00941EFA"/>
    <w:rsid w:val="00941F0D"/>
    <w:rsid w:val="00942093"/>
    <w:rsid w:val="00942170"/>
    <w:rsid w:val="0094249A"/>
    <w:rsid w:val="009424B4"/>
    <w:rsid w:val="009424DB"/>
    <w:rsid w:val="00942611"/>
    <w:rsid w:val="009429E8"/>
    <w:rsid w:val="00942A95"/>
    <w:rsid w:val="00942ADD"/>
    <w:rsid w:val="00942C1B"/>
    <w:rsid w:val="00942E76"/>
    <w:rsid w:val="0094301E"/>
    <w:rsid w:val="009431A9"/>
    <w:rsid w:val="0094324C"/>
    <w:rsid w:val="00943674"/>
    <w:rsid w:val="00943821"/>
    <w:rsid w:val="0094389C"/>
    <w:rsid w:val="00943A90"/>
    <w:rsid w:val="00943C1D"/>
    <w:rsid w:val="00943CD7"/>
    <w:rsid w:val="00943D7C"/>
    <w:rsid w:val="00943F66"/>
    <w:rsid w:val="009440A8"/>
    <w:rsid w:val="00944276"/>
    <w:rsid w:val="00944303"/>
    <w:rsid w:val="00944425"/>
    <w:rsid w:val="00944629"/>
    <w:rsid w:val="00944770"/>
    <w:rsid w:val="0094479A"/>
    <w:rsid w:val="009447C3"/>
    <w:rsid w:val="00944856"/>
    <w:rsid w:val="009448C8"/>
    <w:rsid w:val="009450ED"/>
    <w:rsid w:val="00945186"/>
    <w:rsid w:val="009454AB"/>
    <w:rsid w:val="009457B5"/>
    <w:rsid w:val="0094580E"/>
    <w:rsid w:val="00945A50"/>
    <w:rsid w:val="00945B84"/>
    <w:rsid w:val="00945DB0"/>
    <w:rsid w:val="00945E18"/>
    <w:rsid w:val="00945F39"/>
    <w:rsid w:val="00946349"/>
    <w:rsid w:val="009465CD"/>
    <w:rsid w:val="009466B6"/>
    <w:rsid w:val="00946746"/>
    <w:rsid w:val="009468CC"/>
    <w:rsid w:val="009469C5"/>
    <w:rsid w:val="00946A72"/>
    <w:rsid w:val="00946F01"/>
    <w:rsid w:val="00946FA3"/>
    <w:rsid w:val="009473F8"/>
    <w:rsid w:val="0094742B"/>
    <w:rsid w:val="00947814"/>
    <w:rsid w:val="00947861"/>
    <w:rsid w:val="0094799F"/>
    <w:rsid w:val="009479F4"/>
    <w:rsid w:val="00947A6C"/>
    <w:rsid w:val="00947AD4"/>
    <w:rsid w:val="00947D93"/>
    <w:rsid w:val="009500ED"/>
    <w:rsid w:val="00950270"/>
    <w:rsid w:val="00950446"/>
    <w:rsid w:val="009504DB"/>
    <w:rsid w:val="009506F8"/>
    <w:rsid w:val="00950868"/>
    <w:rsid w:val="00950A63"/>
    <w:rsid w:val="00950AB0"/>
    <w:rsid w:val="00950AE2"/>
    <w:rsid w:val="00950D46"/>
    <w:rsid w:val="00950F73"/>
    <w:rsid w:val="00951011"/>
    <w:rsid w:val="0095102D"/>
    <w:rsid w:val="009512A1"/>
    <w:rsid w:val="00951377"/>
    <w:rsid w:val="00951953"/>
    <w:rsid w:val="00951A3B"/>
    <w:rsid w:val="00951A8A"/>
    <w:rsid w:val="00951B05"/>
    <w:rsid w:val="00951C73"/>
    <w:rsid w:val="00951E9C"/>
    <w:rsid w:val="0095205C"/>
    <w:rsid w:val="0095218B"/>
    <w:rsid w:val="0095226D"/>
    <w:rsid w:val="0095228F"/>
    <w:rsid w:val="0095233B"/>
    <w:rsid w:val="00952736"/>
    <w:rsid w:val="00952934"/>
    <w:rsid w:val="00952B75"/>
    <w:rsid w:val="00952B7E"/>
    <w:rsid w:val="00952CBA"/>
    <w:rsid w:val="00952D33"/>
    <w:rsid w:val="00952E95"/>
    <w:rsid w:val="00952FCC"/>
    <w:rsid w:val="00953038"/>
    <w:rsid w:val="00953110"/>
    <w:rsid w:val="00953259"/>
    <w:rsid w:val="009532A1"/>
    <w:rsid w:val="00953304"/>
    <w:rsid w:val="009535B9"/>
    <w:rsid w:val="009539BC"/>
    <w:rsid w:val="00953A26"/>
    <w:rsid w:val="00953F7A"/>
    <w:rsid w:val="00953F86"/>
    <w:rsid w:val="00954272"/>
    <w:rsid w:val="0095427D"/>
    <w:rsid w:val="009543E3"/>
    <w:rsid w:val="00954403"/>
    <w:rsid w:val="00954813"/>
    <w:rsid w:val="00954A0F"/>
    <w:rsid w:val="00954A96"/>
    <w:rsid w:val="00954B02"/>
    <w:rsid w:val="00954ED8"/>
    <w:rsid w:val="00954EFB"/>
    <w:rsid w:val="00954FA8"/>
    <w:rsid w:val="009552BB"/>
    <w:rsid w:val="0095547D"/>
    <w:rsid w:val="0095572D"/>
    <w:rsid w:val="00955A56"/>
    <w:rsid w:val="00955B82"/>
    <w:rsid w:val="00956047"/>
    <w:rsid w:val="00956096"/>
    <w:rsid w:val="0095645B"/>
    <w:rsid w:val="0095666A"/>
    <w:rsid w:val="00956859"/>
    <w:rsid w:val="009568C3"/>
    <w:rsid w:val="00956BD3"/>
    <w:rsid w:val="00956D03"/>
    <w:rsid w:val="0095709E"/>
    <w:rsid w:val="0095718D"/>
    <w:rsid w:val="009573DE"/>
    <w:rsid w:val="009574F3"/>
    <w:rsid w:val="009575E4"/>
    <w:rsid w:val="009576A2"/>
    <w:rsid w:val="009577AE"/>
    <w:rsid w:val="00957B4C"/>
    <w:rsid w:val="00957C33"/>
    <w:rsid w:val="00957E45"/>
    <w:rsid w:val="00957E74"/>
    <w:rsid w:val="00957EDD"/>
    <w:rsid w:val="0096007F"/>
    <w:rsid w:val="009601B7"/>
    <w:rsid w:val="009601FC"/>
    <w:rsid w:val="0096037F"/>
    <w:rsid w:val="00960546"/>
    <w:rsid w:val="009605FC"/>
    <w:rsid w:val="0096086C"/>
    <w:rsid w:val="00960879"/>
    <w:rsid w:val="00960A9F"/>
    <w:rsid w:val="00960C31"/>
    <w:rsid w:val="00960E09"/>
    <w:rsid w:val="00960E60"/>
    <w:rsid w:val="00960FE6"/>
    <w:rsid w:val="0096113D"/>
    <w:rsid w:val="0096159B"/>
    <w:rsid w:val="00961627"/>
    <w:rsid w:val="00961724"/>
    <w:rsid w:val="00961755"/>
    <w:rsid w:val="00961AF0"/>
    <w:rsid w:val="00961BB3"/>
    <w:rsid w:val="00961C10"/>
    <w:rsid w:val="00961C54"/>
    <w:rsid w:val="00961D82"/>
    <w:rsid w:val="00961FD5"/>
    <w:rsid w:val="0096207E"/>
    <w:rsid w:val="009620B1"/>
    <w:rsid w:val="0096219E"/>
    <w:rsid w:val="00962490"/>
    <w:rsid w:val="009625C5"/>
    <w:rsid w:val="009626B0"/>
    <w:rsid w:val="00962791"/>
    <w:rsid w:val="0096285A"/>
    <w:rsid w:val="00962B91"/>
    <w:rsid w:val="00962BA8"/>
    <w:rsid w:val="00962D40"/>
    <w:rsid w:val="00962D69"/>
    <w:rsid w:val="00962E1D"/>
    <w:rsid w:val="00963040"/>
    <w:rsid w:val="00963227"/>
    <w:rsid w:val="00963511"/>
    <w:rsid w:val="0096358B"/>
    <w:rsid w:val="009635A1"/>
    <w:rsid w:val="009636C7"/>
    <w:rsid w:val="0096386D"/>
    <w:rsid w:val="00963A90"/>
    <w:rsid w:val="00963C91"/>
    <w:rsid w:val="00963D96"/>
    <w:rsid w:val="00963F2F"/>
    <w:rsid w:val="00964488"/>
    <w:rsid w:val="0096479C"/>
    <w:rsid w:val="009647B2"/>
    <w:rsid w:val="009647EC"/>
    <w:rsid w:val="0096487B"/>
    <w:rsid w:val="009649A6"/>
    <w:rsid w:val="00964A1E"/>
    <w:rsid w:val="00964A80"/>
    <w:rsid w:val="00964AE0"/>
    <w:rsid w:val="00964C95"/>
    <w:rsid w:val="00964DAB"/>
    <w:rsid w:val="00964DDB"/>
    <w:rsid w:val="00964F46"/>
    <w:rsid w:val="00964FD0"/>
    <w:rsid w:val="00965282"/>
    <w:rsid w:val="009652B2"/>
    <w:rsid w:val="009653A6"/>
    <w:rsid w:val="00965415"/>
    <w:rsid w:val="00965474"/>
    <w:rsid w:val="009654ED"/>
    <w:rsid w:val="00965652"/>
    <w:rsid w:val="0096569B"/>
    <w:rsid w:val="00965785"/>
    <w:rsid w:val="009658FA"/>
    <w:rsid w:val="00965B2E"/>
    <w:rsid w:val="00965B73"/>
    <w:rsid w:val="00965E28"/>
    <w:rsid w:val="009661EB"/>
    <w:rsid w:val="009665D3"/>
    <w:rsid w:val="009668A1"/>
    <w:rsid w:val="00966A13"/>
    <w:rsid w:val="00966E15"/>
    <w:rsid w:val="00966EFE"/>
    <w:rsid w:val="0096722F"/>
    <w:rsid w:val="009672CB"/>
    <w:rsid w:val="00967433"/>
    <w:rsid w:val="00967640"/>
    <w:rsid w:val="00967979"/>
    <w:rsid w:val="00967C3B"/>
    <w:rsid w:val="00967D02"/>
    <w:rsid w:val="00970088"/>
    <w:rsid w:val="00970335"/>
    <w:rsid w:val="009704AB"/>
    <w:rsid w:val="009708EA"/>
    <w:rsid w:val="00970B0B"/>
    <w:rsid w:val="00970BC2"/>
    <w:rsid w:val="00970C13"/>
    <w:rsid w:val="00970E38"/>
    <w:rsid w:val="00970F4D"/>
    <w:rsid w:val="00971269"/>
    <w:rsid w:val="00971378"/>
    <w:rsid w:val="00971872"/>
    <w:rsid w:val="00971A52"/>
    <w:rsid w:val="00971CEF"/>
    <w:rsid w:val="00971D4F"/>
    <w:rsid w:val="00971DD5"/>
    <w:rsid w:val="00971DE3"/>
    <w:rsid w:val="00971E29"/>
    <w:rsid w:val="00971EAF"/>
    <w:rsid w:val="0097206E"/>
    <w:rsid w:val="009720D8"/>
    <w:rsid w:val="009723C4"/>
    <w:rsid w:val="0097242B"/>
    <w:rsid w:val="009724E6"/>
    <w:rsid w:val="009724F3"/>
    <w:rsid w:val="00972AD3"/>
    <w:rsid w:val="009732C5"/>
    <w:rsid w:val="0097343F"/>
    <w:rsid w:val="0097349A"/>
    <w:rsid w:val="0097379F"/>
    <w:rsid w:val="009738AE"/>
    <w:rsid w:val="00973A78"/>
    <w:rsid w:val="00973B6B"/>
    <w:rsid w:val="00973C0D"/>
    <w:rsid w:val="00973C14"/>
    <w:rsid w:val="00973C31"/>
    <w:rsid w:val="00973D0B"/>
    <w:rsid w:val="00973DF0"/>
    <w:rsid w:val="00973DFC"/>
    <w:rsid w:val="00974086"/>
    <w:rsid w:val="0097416D"/>
    <w:rsid w:val="00974180"/>
    <w:rsid w:val="0097423A"/>
    <w:rsid w:val="009743B7"/>
    <w:rsid w:val="00974442"/>
    <w:rsid w:val="0097452A"/>
    <w:rsid w:val="00974531"/>
    <w:rsid w:val="009745DE"/>
    <w:rsid w:val="009745FF"/>
    <w:rsid w:val="00974660"/>
    <w:rsid w:val="009747F8"/>
    <w:rsid w:val="00974824"/>
    <w:rsid w:val="00974858"/>
    <w:rsid w:val="00974985"/>
    <w:rsid w:val="00974A42"/>
    <w:rsid w:val="00974B1F"/>
    <w:rsid w:val="00974BBF"/>
    <w:rsid w:val="00974E74"/>
    <w:rsid w:val="00974F35"/>
    <w:rsid w:val="009750EA"/>
    <w:rsid w:val="009751B5"/>
    <w:rsid w:val="00975550"/>
    <w:rsid w:val="009755A1"/>
    <w:rsid w:val="00975706"/>
    <w:rsid w:val="00975845"/>
    <w:rsid w:val="009758A3"/>
    <w:rsid w:val="00975C7A"/>
    <w:rsid w:val="00975C85"/>
    <w:rsid w:val="009760E0"/>
    <w:rsid w:val="009761D7"/>
    <w:rsid w:val="0097629C"/>
    <w:rsid w:val="00976364"/>
    <w:rsid w:val="009764FC"/>
    <w:rsid w:val="00976EDC"/>
    <w:rsid w:val="00977151"/>
    <w:rsid w:val="0097718C"/>
    <w:rsid w:val="0097726C"/>
    <w:rsid w:val="00977284"/>
    <w:rsid w:val="0097736B"/>
    <w:rsid w:val="00977B18"/>
    <w:rsid w:val="00977D9B"/>
    <w:rsid w:val="00977F79"/>
    <w:rsid w:val="00980399"/>
    <w:rsid w:val="009803FB"/>
    <w:rsid w:val="009805FB"/>
    <w:rsid w:val="0098062E"/>
    <w:rsid w:val="00980664"/>
    <w:rsid w:val="009807C7"/>
    <w:rsid w:val="00980901"/>
    <w:rsid w:val="009809AB"/>
    <w:rsid w:val="00980AAB"/>
    <w:rsid w:val="00980B18"/>
    <w:rsid w:val="00980F4D"/>
    <w:rsid w:val="0098107A"/>
    <w:rsid w:val="00981319"/>
    <w:rsid w:val="0098169A"/>
    <w:rsid w:val="009817D9"/>
    <w:rsid w:val="009818DD"/>
    <w:rsid w:val="0098196D"/>
    <w:rsid w:val="00981B04"/>
    <w:rsid w:val="00981B56"/>
    <w:rsid w:val="00981B8A"/>
    <w:rsid w:val="00981C28"/>
    <w:rsid w:val="00981CEA"/>
    <w:rsid w:val="00981D8C"/>
    <w:rsid w:val="00981D9B"/>
    <w:rsid w:val="00981EA9"/>
    <w:rsid w:val="00981F19"/>
    <w:rsid w:val="009822BC"/>
    <w:rsid w:val="00982643"/>
    <w:rsid w:val="009827B0"/>
    <w:rsid w:val="009827BD"/>
    <w:rsid w:val="00982B61"/>
    <w:rsid w:val="00982EAF"/>
    <w:rsid w:val="00983232"/>
    <w:rsid w:val="00983250"/>
    <w:rsid w:val="0098373C"/>
    <w:rsid w:val="009839AF"/>
    <w:rsid w:val="00983ABD"/>
    <w:rsid w:val="00983D10"/>
    <w:rsid w:val="00983DF9"/>
    <w:rsid w:val="00983EBA"/>
    <w:rsid w:val="00983F76"/>
    <w:rsid w:val="0098414B"/>
    <w:rsid w:val="009846A8"/>
    <w:rsid w:val="009846B6"/>
    <w:rsid w:val="009849D5"/>
    <w:rsid w:val="00984AB3"/>
    <w:rsid w:val="00984BE1"/>
    <w:rsid w:val="00984C99"/>
    <w:rsid w:val="00984D5B"/>
    <w:rsid w:val="00984EA8"/>
    <w:rsid w:val="00984FE9"/>
    <w:rsid w:val="00985003"/>
    <w:rsid w:val="009855AC"/>
    <w:rsid w:val="009859A3"/>
    <w:rsid w:val="00985A60"/>
    <w:rsid w:val="00985C28"/>
    <w:rsid w:val="00985C8D"/>
    <w:rsid w:val="00985DD7"/>
    <w:rsid w:val="00985E35"/>
    <w:rsid w:val="00985F7E"/>
    <w:rsid w:val="0098613F"/>
    <w:rsid w:val="00986353"/>
    <w:rsid w:val="009866A9"/>
    <w:rsid w:val="009866B5"/>
    <w:rsid w:val="00986A84"/>
    <w:rsid w:val="00986EA2"/>
    <w:rsid w:val="00986F3E"/>
    <w:rsid w:val="00986F82"/>
    <w:rsid w:val="00986FEB"/>
    <w:rsid w:val="009871D3"/>
    <w:rsid w:val="00987278"/>
    <w:rsid w:val="00987495"/>
    <w:rsid w:val="00987593"/>
    <w:rsid w:val="0098762D"/>
    <w:rsid w:val="00987669"/>
    <w:rsid w:val="00987767"/>
    <w:rsid w:val="00987876"/>
    <w:rsid w:val="0098792F"/>
    <w:rsid w:val="0098795C"/>
    <w:rsid w:val="009879D4"/>
    <w:rsid w:val="00987BAC"/>
    <w:rsid w:val="009902A5"/>
    <w:rsid w:val="009902C1"/>
    <w:rsid w:val="009904EE"/>
    <w:rsid w:val="009906C9"/>
    <w:rsid w:val="00990931"/>
    <w:rsid w:val="00990956"/>
    <w:rsid w:val="00990995"/>
    <w:rsid w:val="00990AAD"/>
    <w:rsid w:val="00990CBD"/>
    <w:rsid w:val="00990D86"/>
    <w:rsid w:val="00990EA1"/>
    <w:rsid w:val="0099110C"/>
    <w:rsid w:val="00991260"/>
    <w:rsid w:val="00991429"/>
    <w:rsid w:val="00991528"/>
    <w:rsid w:val="009915E2"/>
    <w:rsid w:val="00991675"/>
    <w:rsid w:val="00991952"/>
    <w:rsid w:val="00991959"/>
    <w:rsid w:val="009919B0"/>
    <w:rsid w:val="009919C0"/>
    <w:rsid w:val="00991CA9"/>
    <w:rsid w:val="00991ED0"/>
    <w:rsid w:val="00991FD3"/>
    <w:rsid w:val="00992343"/>
    <w:rsid w:val="00992527"/>
    <w:rsid w:val="0099272C"/>
    <w:rsid w:val="009927DF"/>
    <w:rsid w:val="00992879"/>
    <w:rsid w:val="00992946"/>
    <w:rsid w:val="00992AEF"/>
    <w:rsid w:val="00992B41"/>
    <w:rsid w:val="00992B54"/>
    <w:rsid w:val="00992C74"/>
    <w:rsid w:val="00992C96"/>
    <w:rsid w:val="00992D1A"/>
    <w:rsid w:val="00992D74"/>
    <w:rsid w:val="00992D90"/>
    <w:rsid w:val="00992DE7"/>
    <w:rsid w:val="00992FD8"/>
    <w:rsid w:val="009933F6"/>
    <w:rsid w:val="00993BAF"/>
    <w:rsid w:val="00993DB7"/>
    <w:rsid w:val="00993E0D"/>
    <w:rsid w:val="00993E9C"/>
    <w:rsid w:val="00993EC0"/>
    <w:rsid w:val="00993FD3"/>
    <w:rsid w:val="00994120"/>
    <w:rsid w:val="00994292"/>
    <w:rsid w:val="009942E6"/>
    <w:rsid w:val="009945CA"/>
    <w:rsid w:val="00994638"/>
    <w:rsid w:val="00994945"/>
    <w:rsid w:val="009949C8"/>
    <w:rsid w:val="00994AA3"/>
    <w:rsid w:val="00994D5F"/>
    <w:rsid w:val="00994DCC"/>
    <w:rsid w:val="00994DE4"/>
    <w:rsid w:val="00994FBD"/>
    <w:rsid w:val="00995602"/>
    <w:rsid w:val="009959E5"/>
    <w:rsid w:val="00995E3D"/>
    <w:rsid w:val="00995EEA"/>
    <w:rsid w:val="00996026"/>
    <w:rsid w:val="0099605D"/>
    <w:rsid w:val="00996488"/>
    <w:rsid w:val="00996585"/>
    <w:rsid w:val="00996A75"/>
    <w:rsid w:val="00996A95"/>
    <w:rsid w:val="00996C48"/>
    <w:rsid w:val="00996F37"/>
    <w:rsid w:val="0099710F"/>
    <w:rsid w:val="009971A7"/>
    <w:rsid w:val="00997221"/>
    <w:rsid w:val="00997298"/>
    <w:rsid w:val="009973D6"/>
    <w:rsid w:val="0099740F"/>
    <w:rsid w:val="00997656"/>
    <w:rsid w:val="0099768F"/>
    <w:rsid w:val="009976AD"/>
    <w:rsid w:val="009976EB"/>
    <w:rsid w:val="00997878"/>
    <w:rsid w:val="00997A08"/>
    <w:rsid w:val="00997A3B"/>
    <w:rsid w:val="00997BDD"/>
    <w:rsid w:val="00997BF1"/>
    <w:rsid w:val="009A00FC"/>
    <w:rsid w:val="009A01C1"/>
    <w:rsid w:val="009A0279"/>
    <w:rsid w:val="009A07E1"/>
    <w:rsid w:val="009A0A97"/>
    <w:rsid w:val="009A0AF3"/>
    <w:rsid w:val="009A0B03"/>
    <w:rsid w:val="009A0C7B"/>
    <w:rsid w:val="009A0ED2"/>
    <w:rsid w:val="009A0F6F"/>
    <w:rsid w:val="009A116D"/>
    <w:rsid w:val="009A139E"/>
    <w:rsid w:val="009A183B"/>
    <w:rsid w:val="009A1A5A"/>
    <w:rsid w:val="009A1E01"/>
    <w:rsid w:val="009A1E17"/>
    <w:rsid w:val="009A1EFC"/>
    <w:rsid w:val="009A20F9"/>
    <w:rsid w:val="009A2108"/>
    <w:rsid w:val="009A21A6"/>
    <w:rsid w:val="009A21E7"/>
    <w:rsid w:val="009A23C2"/>
    <w:rsid w:val="009A242A"/>
    <w:rsid w:val="009A2601"/>
    <w:rsid w:val="009A269F"/>
    <w:rsid w:val="009A26B6"/>
    <w:rsid w:val="009A281A"/>
    <w:rsid w:val="009A2A92"/>
    <w:rsid w:val="009A2CDE"/>
    <w:rsid w:val="009A2EB8"/>
    <w:rsid w:val="009A317D"/>
    <w:rsid w:val="009A31D4"/>
    <w:rsid w:val="009A32AE"/>
    <w:rsid w:val="009A36CF"/>
    <w:rsid w:val="009A377C"/>
    <w:rsid w:val="009A38B3"/>
    <w:rsid w:val="009A38DF"/>
    <w:rsid w:val="009A38EB"/>
    <w:rsid w:val="009A3AF1"/>
    <w:rsid w:val="009A3C15"/>
    <w:rsid w:val="009A3C47"/>
    <w:rsid w:val="009A3CED"/>
    <w:rsid w:val="009A3CFD"/>
    <w:rsid w:val="009A3E72"/>
    <w:rsid w:val="009A3EB5"/>
    <w:rsid w:val="009A3F06"/>
    <w:rsid w:val="009A405D"/>
    <w:rsid w:val="009A414F"/>
    <w:rsid w:val="009A4214"/>
    <w:rsid w:val="009A42FF"/>
    <w:rsid w:val="009A4382"/>
    <w:rsid w:val="009A4642"/>
    <w:rsid w:val="009A4705"/>
    <w:rsid w:val="009A482F"/>
    <w:rsid w:val="009A49DB"/>
    <w:rsid w:val="009A4A2E"/>
    <w:rsid w:val="009A4AEA"/>
    <w:rsid w:val="009A4BDB"/>
    <w:rsid w:val="009A4C36"/>
    <w:rsid w:val="009A4D7B"/>
    <w:rsid w:val="009A4E25"/>
    <w:rsid w:val="009A5284"/>
    <w:rsid w:val="009A5324"/>
    <w:rsid w:val="009A5693"/>
    <w:rsid w:val="009A56C4"/>
    <w:rsid w:val="009A56F8"/>
    <w:rsid w:val="009A5CC8"/>
    <w:rsid w:val="009A5EDA"/>
    <w:rsid w:val="009A5F68"/>
    <w:rsid w:val="009A6225"/>
    <w:rsid w:val="009A6329"/>
    <w:rsid w:val="009A6330"/>
    <w:rsid w:val="009A6356"/>
    <w:rsid w:val="009A6568"/>
    <w:rsid w:val="009A657C"/>
    <w:rsid w:val="009A65E0"/>
    <w:rsid w:val="009A6735"/>
    <w:rsid w:val="009A674F"/>
    <w:rsid w:val="009A67A6"/>
    <w:rsid w:val="009A694A"/>
    <w:rsid w:val="009A6B6A"/>
    <w:rsid w:val="009A6C52"/>
    <w:rsid w:val="009A6CDE"/>
    <w:rsid w:val="009A6DBA"/>
    <w:rsid w:val="009A6FF9"/>
    <w:rsid w:val="009A7163"/>
    <w:rsid w:val="009A7230"/>
    <w:rsid w:val="009A7237"/>
    <w:rsid w:val="009A75A1"/>
    <w:rsid w:val="009A7675"/>
    <w:rsid w:val="009A76B2"/>
    <w:rsid w:val="009A76B3"/>
    <w:rsid w:val="009A7799"/>
    <w:rsid w:val="009A7950"/>
    <w:rsid w:val="009A7ABE"/>
    <w:rsid w:val="009A7F0C"/>
    <w:rsid w:val="009B000A"/>
    <w:rsid w:val="009B00CD"/>
    <w:rsid w:val="009B0224"/>
    <w:rsid w:val="009B0456"/>
    <w:rsid w:val="009B0457"/>
    <w:rsid w:val="009B0497"/>
    <w:rsid w:val="009B05DB"/>
    <w:rsid w:val="009B0673"/>
    <w:rsid w:val="009B06A5"/>
    <w:rsid w:val="009B0A36"/>
    <w:rsid w:val="009B10CF"/>
    <w:rsid w:val="009B10E5"/>
    <w:rsid w:val="009B1369"/>
    <w:rsid w:val="009B1387"/>
    <w:rsid w:val="009B17A1"/>
    <w:rsid w:val="009B181E"/>
    <w:rsid w:val="009B1B2E"/>
    <w:rsid w:val="009B1BD8"/>
    <w:rsid w:val="009B1DB0"/>
    <w:rsid w:val="009B214A"/>
    <w:rsid w:val="009B245F"/>
    <w:rsid w:val="009B251D"/>
    <w:rsid w:val="009B258F"/>
    <w:rsid w:val="009B2727"/>
    <w:rsid w:val="009B2813"/>
    <w:rsid w:val="009B2834"/>
    <w:rsid w:val="009B2951"/>
    <w:rsid w:val="009B2AAD"/>
    <w:rsid w:val="009B2C42"/>
    <w:rsid w:val="009B2E37"/>
    <w:rsid w:val="009B2F9C"/>
    <w:rsid w:val="009B300E"/>
    <w:rsid w:val="009B3095"/>
    <w:rsid w:val="009B3121"/>
    <w:rsid w:val="009B3291"/>
    <w:rsid w:val="009B3441"/>
    <w:rsid w:val="009B3445"/>
    <w:rsid w:val="009B3873"/>
    <w:rsid w:val="009B38AF"/>
    <w:rsid w:val="009B39FA"/>
    <w:rsid w:val="009B3B39"/>
    <w:rsid w:val="009B3B64"/>
    <w:rsid w:val="009B3C2D"/>
    <w:rsid w:val="009B3C5A"/>
    <w:rsid w:val="009B3D29"/>
    <w:rsid w:val="009B3DAD"/>
    <w:rsid w:val="009B3DE9"/>
    <w:rsid w:val="009B3E68"/>
    <w:rsid w:val="009B3E70"/>
    <w:rsid w:val="009B3EA1"/>
    <w:rsid w:val="009B4327"/>
    <w:rsid w:val="009B43BA"/>
    <w:rsid w:val="009B44B6"/>
    <w:rsid w:val="009B4541"/>
    <w:rsid w:val="009B46D0"/>
    <w:rsid w:val="009B4709"/>
    <w:rsid w:val="009B4BB4"/>
    <w:rsid w:val="009B4BCC"/>
    <w:rsid w:val="009B4E06"/>
    <w:rsid w:val="009B4EDB"/>
    <w:rsid w:val="009B516B"/>
    <w:rsid w:val="009B5314"/>
    <w:rsid w:val="009B531D"/>
    <w:rsid w:val="009B54B1"/>
    <w:rsid w:val="009B573A"/>
    <w:rsid w:val="009B5849"/>
    <w:rsid w:val="009B58A9"/>
    <w:rsid w:val="009B5A2F"/>
    <w:rsid w:val="009B5CCC"/>
    <w:rsid w:val="009B5D5D"/>
    <w:rsid w:val="009B5ED5"/>
    <w:rsid w:val="009B5F2D"/>
    <w:rsid w:val="009B600D"/>
    <w:rsid w:val="009B612B"/>
    <w:rsid w:val="009B6368"/>
    <w:rsid w:val="009B64A4"/>
    <w:rsid w:val="009B6503"/>
    <w:rsid w:val="009B6542"/>
    <w:rsid w:val="009B67DB"/>
    <w:rsid w:val="009B6A78"/>
    <w:rsid w:val="009B6F4D"/>
    <w:rsid w:val="009B70A8"/>
    <w:rsid w:val="009B7166"/>
    <w:rsid w:val="009B7223"/>
    <w:rsid w:val="009B7249"/>
    <w:rsid w:val="009B7519"/>
    <w:rsid w:val="009B75E1"/>
    <w:rsid w:val="009B7756"/>
    <w:rsid w:val="009B7952"/>
    <w:rsid w:val="009B7A77"/>
    <w:rsid w:val="009B7B6B"/>
    <w:rsid w:val="009B7B85"/>
    <w:rsid w:val="009B7BBC"/>
    <w:rsid w:val="009B7F72"/>
    <w:rsid w:val="009C02BD"/>
    <w:rsid w:val="009C0347"/>
    <w:rsid w:val="009C0402"/>
    <w:rsid w:val="009C0407"/>
    <w:rsid w:val="009C049E"/>
    <w:rsid w:val="009C079D"/>
    <w:rsid w:val="009C0AEA"/>
    <w:rsid w:val="009C0AEC"/>
    <w:rsid w:val="009C0D3C"/>
    <w:rsid w:val="009C0F24"/>
    <w:rsid w:val="009C1036"/>
    <w:rsid w:val="009C143B"/>
    <w:rsid w:val="009C1809"/>
    <w:rsid w:val="009C1ADB"/>
    <w:rsid w:val="009C1B35"/>
    <w:rsid w:val="009C1CD5"/>
    <w:rsid w:val="009C1CFA"/>
    <w:rsid w:val="009C1DA5"/>
    <w:rsid w:val="009C2332"/>
    <w:rsid w:val="009C2804"/>
    <w:rsid w:val="009C282E"/>
    <w:rsid w:val="009C2915"/>
    <w:rsid w:val="009C29D2"/>
    <w:rsid w:val="009C2B2B"/>
    <w:rsid w:val="009C2EA3"/>
    <w:rsid w:val="009C2FE7"/>
    <w:rsid w:val="009C304A"/>
    <w:rsid w:val="009C30C6"/>
    <w:rsid w:val="009C30E9"/>
    <w:rsid w:val="009C32FB"/>
    <w:rsid w:val="009C3367"/>
    <w:rsid w:val="009C33B5"/>
    <w:rsid w:val="009C344D"/>
    <w:rsid w:val="009C3611"/>
    <w:rsid w:val="009C371C"/>
    <w:rsid w:val="009C39D0"/>
    <w:rsid w:val="009C3B63"/>
    <w:rsid w:val="009C410E"/>
    <w:rsid w:val="009C4253"/>
    <w:rsid w:val="009C4406"/>
    <w:rsid w:val="009C46A0"/>
    <w:rsid w:val="009C48EB"/>
    <w:rsid w:val="009C49E5"/>
    <w:rsid w:val="009C49F1"/>
    <w:rsid w:val="009C4FCB"/>
    <w:rsid w:val="009C50BA"/>
    <w:rsid w:val="009C50CD"/>
    <w:rsid w:val="009C5105"/>
    <w:rsid w:val="009C5393"/>
    <w:rsid w:val="009C541F"/>
    <w:rsid w:val="009C5472"/>
    <w:rsid w:val="009C55B3"/>
    <w:rsid w:val="009C5AD1"/>
    <w:rsid w:val="009C5B1C"/>
    <w:rsid w:val="009C5D8A"/>
    <w:rsid w:val="009C5E71"/>
    <w:rsid w:val="009C6319"/>
    <w:rsid w:val="009C631D"/>
    <w:rsid w:val="009C6432"/>
    <w:rsid w:val="009C6484"/>
    <w:rsid w:val="009C6537"/>
    <w:rsid w:val="009C6589"/>
    <w:rsid w:val="009C65C4"/>
    <w:rsid w:val="009C6615"/>
    <w:rsid w:val="009C6A2C"/>
    <w:rsid w:val="009C6C9A"/>
    <w:rsid w:val="009C6DDD"/>
    <w:rsid w:val="009C7159"/>
    <w:rsid w:val="009C7316"/>
    <w:rsid w:val="009C7479"/>
    <w:rsid w:val="009C765D"/>
    <w:rsid w:val="009C76B3"/>
    <w:rsid w:val="009C7946"/>
    <w:rsid w:val="009C7AA5"/>
    <w:rsid w:val="009C7F11"/>
    <w:rsid w:val="009D0033"/>
    <w:rsid w:val="009D029E"/>
    <w:rsid w:val="009D0685"/>
    <w:rsid w:val="009D0770"/>
    <w:rsid w:val="009D0903"/>
    <w:rsid w:val="009D0935"/>
    <w:rsid w:val="009D09AC"/>
    <w:rsid w:val="009D09BD"/>
    <w:rsid w:val="009D0DAC"/>
    <w:rsid w:val="009D1066"/>
    <w:rsid w:val="009D1104"/>
    <w:rsid w:val="009D12FE"/>
    <w:rsid w:val="009D14DF"/>
    <w:rsid w:val="009D154A"/>
    <w:rsid w:val="009D170D"/>
    <w:rsid w:val="009D19AC"/>
    <w:rsid w:val="009D1B1E"/>
    <w:rsid w:val="009D1B23"/>
    <w:rsid w:val="009D1B57"/>
    <w:rsid w:val="009D1CCC"/>
    <w:rsid w:val="009D1DE8"/>
    <w:rsid w:val="009D1FD2"/>
    <w:rsid w:val="009D20FD"/>
    <w:rsid w:val="009D2205"/>
    <w:rsid w:val="009D2363"/>
    <w:rsid w:val="009D2551"/>
    <w:rsid w:val="009D26BF"/>
    <w:rsid w:val="009D2740"/>
    <w:rsid w:val="009D2771"/>
    <w:rsid w:val="009D27AB"/>
    <w:rsid w:val="009D2812"/>
    <w:rsid w:val="009D28E4"/>
    <w:rsid w:val="009D2936"/>
    <w:rsid w:val="009D2954"/>
    <w:rsid w:val="009D29FC"/>
    <w:rsid w:val="009D2A3D"/>
    <w:rsid w:val="009D2CD9"/>
    <w:rsid w:val="009D2F29"/>
    <w:rsid w:val="009D3016"/>
    <w:rsid w:val="009D3041"/>
    <w:rsid w:val="009D3340"/>
    <w:rsid w:val="009D33F7"/>
    <w:rsid w:val="009D342C"/>
    <w:rsid w:val="009D3583"/>
    <w:rsid w:val="009D3651"/>
    <w:rsid w:val="009D3761"/>
    <w:rsid w:val="009D3769"/>
    <w:rsid w:val="009D3803"/>
    <w:rsid w:val="009D3915"/>
    <w:rsid w:val="009D395C"/>
    <w:rsid w:val="009D3AE6"/>
    <w:rsid w:val="009D3DB1"/>
    <w:rsid w:val="009D4488"/>
    <w:rsid w:val="009D44C3"/>
    <w:rsid w:val="009D44EB"/>
    <w:rsid w:val="009D4808"/>
    <w:rsid w:val="009D4906"/>
    <w:rsid w:val="009D4B24"/>
    <w:rsid w:val="009D4C3E"/>
    <w:rsid w:val="009D4D01"/>
    <w:rsid w:val="009D4E45"/>
    <w:rsid w:val="009D4E71"/>
    <w:rsid w:val="009D4F5B"/>
    <w:rsid w:val="009D5476"/>
    <w:rsid w:val="009D5647"/>
    <w:rsid w:val="009D56B5"/>
    <w:rsid w:val="009D570E"/>
    <w:rsid w:val="009D58B4"/>
    <w:rsid w:val="009D5B39"/>
    <w:rsid w:val="009D5BF6"/>
    <w:rsid w:val="009D5DC2"/>
    <w:rsid w:val="009D5EA8"/>
    <w:rsid w:val="009D64B6"/>
    <w:rsid w:val="009D65CC"/>
    <w:rsid w:val="009D6665"/>
    <w:rsid w:val="009D6816"/>
    <w:rsid w:val="009D6883"/>
    <w:rsid w:val="009D6D3B"/>
    <w:rsid w:val="009D7154"/>
    <w:rsid w:val="009D72B3"/>
    <w:rsid w:val="009D747D"/>
    <w:rsid w:val="009D77F4"/>
    <w:rsid w:val="009D7877"/>
    <w:rsid w:val="009D7989"/>
    <w:rsid w:val="009D7A66"/>
    <w:rsid w:val="009D7BB4"/>
    <w:rsid w:val="009D7BCD"/>
    <w:rsid w:val="009D7C8A"/>
    <w:rsid w:val="009D7D57"/>
    <w:rsid w:val="009D7DC5"/>
    <w:rsid w:val="009D7E1E"/>
    <w:rsid w:val="009D7FCB"/>
    <w:rsid w:val="009E0052"/>
    <w:rsid w:val="009E00FC"/>
    <w:rsid w:val="009E017B"/>
    <w:rsid w:val="009E03F2"/>
    <w:rsid w:val="009E0424"/>
    <w:rsid w:val="009E048B"/>
    <w:rsid w:val="009E07AA"/>
    <w:rsid w:val="009E0978"/>
    <w:rsid w:val="009E0AEF"/>
    <w:rsid w:val="009E0D1F"/>
    <w:rsid w:val="009E0E26"/>
    <w:rsid w:val="009E10B0"/>
    <w:rsid w:val="009E10ED"/>
    <w:rsid w:val="009E122C"/>
    <w:rsid w:val="009E13A8"/>
    <w:rsid w:val="009E1526"/>
    <w:rsid w:val="009E160E"/>
    <w:rsid w:val="009E1758"/>
    <w:rsid w:val="009E1969"/>
    <w:rsid w:val="009E1A95"/>
    <w:rsid w:val="009E1AEF"/>
    <w:rsid w:val="009E1BA0"/>
    <w:rsid w:val="009E1C88"/>
    <w:rsid w:val="009E1D33"/>
    <w:rsid w:val="009E1D95"/>
    <w:rsid w:val="009E21CD"/>
    <w:rsid w:val="009E22AC"/>
    <w:rsid w:val="009E2303"/>
    <w:rsid w:val="009E23FF"/>
    <w:rsid w:val="009E2410"/>
    <w:rsid w:val="009E2469"/>
    <w:rsid w:val="009E25E8"/>
    <w:rsid w:val="009E261D"/>
    <w:rsid w:val="009E28A9"/>
    <w:rsid w:val="009E2B17"/>
    <w:rsid w:val="009E2B78"/>
    <w:rsid w:val="009E2DD5"/>
    <w:rsid w:val="009E2DE4"/>
    <w:rsid w:val="009E2E20"/>
    <w:rsid w:val="009E2EFF"/>
    <w:rsid w:val="009E2FF4"/>
    <w:rsid w:val="009E32C7"/>
    <w:rsid w:val="009E354C"/>
    <w:rsid w:val="009E356F"/>
    <w:rsid w:val="009E362B"/>
    <w:rsid w:val="009E38F2"/>
    <w:rsid w:val="009E3DA5"/>
    <w:rsid w:val="009E4125"/>
    <w:rsid w:val="009E4173"/>
    <w:rsid w:val="009E4234"/>
    <w:rsid w:val="009E424E"/>
    <w:rsid w:val="009E4279"/>
    <w:rsid w:val="009E4287"/>
    <w:rsid w:val="009E4318"/>
    <w:rsid w:val="009E4391"/>
    <w:rsid w:val="009E48EB"/>
    <w:rsid w:val="009E49E6"/>
    <w:rsid w:val="009E4C6A"/>
    <w:rsid w:val="009E4E24"/>
    <w:rsid w:val="009E4ECC"/>
    <w:rsid w:val="009E4FEF"/>
    <w:rsid w:val="009E50B5"/>
    <w:rsid w:val="009E5885"/>
    <w:rsid w:val="009E5AA7"/>
    <w:rsid w:val="009E5B2E"/>
    <w:rsid w:val="009E5CA8"/>
    <w:rsid w:val="009E5E7E"/>
    <w:rsid w:val="009E6247"/>
    <w:rsid w:val="009E626A"/>
    <w:rsid w:val="009E64B3"/>
    <w:rsid w:val="009E6644"/>
    <w:rsid w:val="009E69D0"/>
    <w:rsid w:val="009E6AA3"/>
    <w:rsid w:val="009E6B14"/>
    <w:rsid w:val="009E6E76"/>
    <w:rsid w:val="009E6ECF"/>
    <w:rsid w:val="009E7100"/>
    <w:rsid w:val="009E7400"/>
    <w:rsid w:val="009E749D"/>
    <w:rsid w:val="009E786E"/>
    <w:rsid w:val="009E789C"/>
    <w:rsid w:val="009E7921"/>
    <w:rsid w:val="009E7AB7"/>
    <w:rsid w:val="009E7BAE"/>
    <w:rsid w:val="009E7BB2"/>
    <w:rsid w:val="009E7E49"/>
    <w:rsid w:val="009E7EEF"/>
    <w:rsid w:val="009F00CB"/>
    <w:rsid w:val="009F02E5"/>
    <w:rsid w:val="009F03DF"/>
    <w:rsid w:val="009F0517"/>
    <w:rsid w:val="009F055D"/>
    <w:rsid w:val="009F05DE"/>
    <w:rsid w:val="009F06B1"/>
    <w:rsid w:val="009F073A"/>
    <w:rsid w:val="009F07D3"/>
    <w:rsid w:val="009F093C"/>
    <w:rsid w:val="009F0A0D"/>
    <w:rsid w:val="009F0A30"/>
    <w:rsid w:val="009F0AE9"/>
    <w:rsid w:val="009F0CB8"/>
    <w:rsid w:val="009F0D5E"/>
    <w:rsid w:val="009F0FC7"/>
    <w:rsid w:val="009F0FED"/>
    <w:rsid w:val="009F0FEF"/>
    <w:rsid w:val="009F1071"/>
    <w:rsid w:val="009F12BC"/>
    <w:rsid w:val="009F1413"/>
    <w:rsid w:val="009F1514"/>
    <w:rsid w:val="009F158A"/>
    <w:rsid w:val="009F173A"/>
    <w:rsid w:val="009F1850"/>
    <w:rsid w:val="009F1BEB"/>
    <w:rsid w:val="009F1E19"/>
    <w:rsid w:val="009F1E2A"/>
    <w:rsid w:val="009F21A6"/>
    <w:rsid w:val="009F26B7"/>
    <w:rsid w:val="009F26E7"/>
    <w:rsid w:val="009F2779"/>
    <w:rsid w:val="009F2E6F"/>
    <w:rsid w:val="009F2ECB"/>
    <w:rsid w:val="009F3010"/>
    <w:rsid w:val="009F3065"/>
    <w:rsid w:val="009F3078"/>
    <w:rsid w:val="009F3133"/>
    <w:rsid w:val="009F3234"/>
    <w:rsid w:val="009F32E0"/>
    <w:rsid w:val="009F338B"/>
    <w:rsid w:val="009F345A"/>
    <w:rsid w:val="009F37B8"/>
    <w:rsid w:val="009F3AC0"/>
    <w:rsid w:val="009F3C07"/>
    <w:rsid w:val="009F3F03"/>
    <w:rsid w:val="009F3F69"/>
    <w:rsid w:val="009F4015"/>
    <w:rsid w:val="009F40B5"/>
    <w:rsid w:val="009F418D"/>
    <w:rsid w:val="009F44ED"/>
    <w:rsid w:val="009F4518"/>
    <w:rsid w:val="009F456D"/>
    <w:rsid w:val="009F4584"/>
    <w:rsid w:val="009F47B2"/>
    <w:rsid w:val="009F489F"/>
    <w:rsid w:val="009F4B17"/>
    <w:rsid w:val="009F4DE0"/>
    <w:rsid w:val="009F4E7B"/>
    <w:rsid w:val="009F517A"/>
    <w:rsid w:val="009F5184"/>
    <w:rsid w:val="009F5394"/>
    <w:rsid w:val="009F5858"/>
    <w:rsid w:val="009F5C5D"/>
    <w:rsid w:val="009F5CD4"/>
    <w:rsid w:val="009F6098"/>
    <w:rsid w:val="009F60A9"/>
    <w:rsid w:val="009F612C"/>
    <w:rsid w:val="009F6183"/>
    <w:rsid w:val="009F62A1"/>
    <w:rsid w:val="009F6672"/>
    <w:rsid w:val="009F6852"/>
    <w:rsid w:val="009F69B6"/>
    <w:rsid w:val="009F69D3"/>
    <w:rsid w:val="009F69E5"/>
    <w:rsid w:val="009F69F1"/>
    <w:rsid w:val="009F6AE6"/>
    <w:rsid w:val="009F6BD2"/>
    <w:rsid w:val="009F6D5A"/>
    <w:rsid w:val="009F6DA3"/>
    <w:rsid w:val="009F6E6C"/>
    <w:rsid w:val="009F7013"/>
    <w:rsid w:val="009F766A"/>
    <w:rsid w:val="009F78E2"/>
    <w:rsid w:val="009F794E"/>
    <w:rsid w:val="009F79CC"/>
    <w:rsid w:val="009F7B8D"/>
    <w:rsid w:val="009F7BE3"/>
    <w:rsid w:val="009F7FB9"/>
    <w:rsid w:val="00A00159"/>
    <w:rsid w:val="00A0017E"/>
    <w:rsid w:val="00A0022B"/>
    <w:rsid w:val="00A00359"/>
    <w:rsid w:val="00A00408"/>
    <w:rsid w:val="00A00626"/>
    <w:rsid w:val="00A006D0"/>
    <w:rsid w:val="00A007C3"/>
    <w:rsid w:val="00A00840"/>
    <w:rsid w:val="00A00AB8"/>
    <w:rsid w:val="00A00AD6"/>
    <w:rsid w:val="00A00B59"/>
    <w:rsid w:val="00A00CA7"/>
    <w:rsid w:val="00A00EDA"/>
    <w:rsid w:val="00A00FE1"/>
    <w:rsid w:val="00A0110C"/>
    <w:rsid w:val="00A013D4"/>
    <w:rsid w:val="00A014BC"/>
    <w:rsid w:val="00A014D8"/>
    <w:rsid w:val="00A01558"/>
    <w:rsid w:val="00A0162E"/>
    <w:rsid w:val="00A01735"/>
    <w:rsid w:val="00A0179E"/>
    <w:rsid w:val="00A018B4"/>
    <w:rsid w:val="00A01940"/>
    <w:rsid w:val="00A01E0A"/>
    <w:rsid w:val="00A01E3B"/>
    <w:rsid w:val="00A02031"/>
    <w:rsid w:val="00A021BC"/>
    <w:rsid w:val="00A0222E"/>
    <w:rsid w:val="00A0243B"/>
    <w:rsid w:val="00A02723"/>
    <w:rsid w:val="00A02783"/>
    <w:rsid w:val="00A02AA2"/>
    <w:rsid w:val="00A02F8C"/>
    <w:rsid w:val="00A02FB0"/>
    <w:rsid w:val="00A02FFF"/>
    <w:rsid w:val="00A03084"/>
    <w:rsid w:val="00A031BB"/>
    <w:rsid w:val="00A03221"/>
    <w:rsid w:val="00A035FF"/>
    <w:rsid w:val="00A037AB"/>
    <w:rsid w:val="00A03860"/>
    <w:rsid w:val="00A03EFD"/>
    <w:rsid w:val="00A045B7"/>
    <w:rsid w:val="00A04781"/>
    <w:rsid w:val="00A048BB"/>
    <w:rsid w:val="00A0493D"/>
    <w:rsid w:val="00A04A40"/>
    <w:rsid w:val="00A04AF5"/>
    <w:rsid w:val="00A04BF5"/>
    <w:rsid w:val="00A04FC6"/>
    <w:rsid w:val="00A04FD1"/>
    <w:rsid w:val="00A05021"/>
    <w:rsid w:val="00A0520F"/>
    <w:rsid w:val="00A05261"/>
    <w:rsid w:val="00A0533D"/>
    <w:rsid w:val="00A0537A"/>
    <w:rsid w:val="00A05405"/>
    <w:rsid w:val="00A05536"/>
    <w:rsid w:val="00A055DA"/>
    <w:rsid w:val="00A05904"/>
    <w:rsid w:val="00A05C49"/>
    <w:rsid w:val="00A05E82"/>
    <w:rsid w:val="00A0627C"/>
    <w:rsid w:val="00A062A6"/>
    <w:rsid w:val="00A06306"/>
    <w:rsid w:val="00A06354"/>
    <w:rsid w:val="00A065C5"/>
    <w:rsid w:val="00A06DCD"/>
    <w:rsid w:val="00A06DD8"/>
    <w:rsid w:val="00A06E7B"/>
    <w:rsid w:val="00A06EE1"/>
    <w:rsid w:val="00A0712E"/>
    <w:rsid w:val="00A075E2"/>
    <w:rsid w:val="00A07AC4"/>
    <w:rsid w:val="00A07B02"/>
    <w:rsid w:val="00A100B4"/>
    <w:rsid w:val="00A100CB"/>
    <w:rsid w:val="00A100E6"/>
    <w:rsid w:val="00A101C6"/>
    <w:rsid w:val="00A10228"/>
    <w:rsid w:val="00A1036F"/>
    <w:rsid w:val="00A103E4"/>
    <w:rsid w:val="00A103F1"/>
    <w:rsid w:val="00A10430"/>
    <w:rsid w:val="00A10506"/>
    <w:rsid w:val="00A105D3"/>
    <w:rsid w:val="00A10642"/>
    <w:rsid w:val="00A106C1"/>
    <w:rsid w:val="00A1083A"/>
    <w:rsid w:val="00A1083C"/>
    <w:rsid w:val="00A10956"/>
    <w:rsid w:val="00A10A02"/>
    <w:rsid w:val="00A10A84"/>
    <w:rsid w:val="00A111F9"/>
    <w:rsid w:val="00A1123F"/>
    <w:rsid w:val="00A113AC"/>
    <w:rsid w:val="00A113C8"/>
    <w:rsid w:val="00A1155E"/>
    <w:rsid w:val="00A1163C"/>
    <w:rsid w:val="00A11A10"/>
    <w:rsid w:val="00A11A11"/>
    <w:rsid w:val="00A11C41"/>
    <w:rsid w:val="00A11C6A"/>
    <w:rsid w:val="00A11EC1"/>
    <w:rsid w:val="00A120D5"/>
    <w:rsid w:val="00A12281"/>
    <w:rsid w:val="00A122D0"/>
    <w:rsid w:val="00A12402"/>
    <w:rsid w:val="00A1255F"/>
    <w:rsid w:val="00A125FF"/>
    <w:rsid w:val="00A1264A"/>
    <w:rsid w:val="00A12779"/>
    <w:rsid w:val="00A12853"/>
    <w:rsid w:val="00A129E9"/>
    <w:rsid w:val="00A12AE0"/>
    <w:rsid w:val="00A12C83"/>
    <w:rsid w:val="00A12C90"/>
    <w:rsid w:val="00A12DCA"/>
    <w:rsid w:val="00A12E1B"/>
    <w:rsid w:val="00A12ED2"/>
    <w:rsid w:val="00A12FA2"/>
    <w:rsid w:val="00A13189"/>
    <w:rsid w:val="00A132F2"/>
    <w:rsid w:val="00A1334B"/>
    <w:rsid w:val="00A13604"/>
    <w:rsid w:val="00A136C3"/>
    <w:rsid w:val="00A137A1"/>
    <w:rsid w:val="00A138D4"/>
    <w:rsid w:val="00A1396E"/>
    <w:rsid w:val="00A13B5E"/>
    <w:rsid w:val="00A13BA7"/>
    <w:rsid w:val="00A13E60"/>
    <w:rsid w:val="00A141BA"/>
    <w:rsid w:val="00A14215"/>
    <w:rsid w:val="00A1450D"/>
    <w:rsid w:val="00A148DE"/>
    <w:rsid w:val="00A150D4"/>
    <w:rsid w:val="00A1569C"/>
    <w:rsid w:val="00A156A1"/>
    <w:rsid w:val="00A158BC"/>
    <w:rsid w:val="00A15A1D"/>
    <w:rsid w:val="00A15AB9"/>
    <w:rsid w:val="00A15B91"/>
    <w:rsid w:val="00A15CA2"/>
    <w:rsid w:val="00A15E92"/>
    <w:rsid w:val="00A1602A"/>
    <w:rsid w:val="00A1606F"/>
    <w:rsid w:val="00A16180"/>
    <w:rsid w:val="00A163F9"/>
    <w:rsid w:val="00A16478"/>
    <w:rsid w:val="00A16556"/>
    <w:rsid w:val="00A16631"/>
    <w:rsid w:val="00A16806"/>
    <w:rsid w:val="00A168F4"/>
    <w:rsid w:val="00A16BFC"/>
    <w:rsid w:val="00A16CC4"/>
    <w:rsid w:val="00A1712F"/>
    <w:rsid w:val="00A17174"/>
    <w:rsid w:val="00A1723A"/>
    <w:rsid w:val="00A172AE"/>
    <w:rsid w:val="00A17644"/>
    <w:rsid w:val="00A17652"/>
    <w:rsid w:val="00A1769B"/>
    <w:rsid w:val="00A1770D"/>
    <w:rsid w:val="00A17ADC"/>
    <w:rsid w:val="00A17C08"/>
    <w:rsid w:val="00A17D39"/>
    <w:rsid w:val="00A2001C"/>
    <w:rsid w:val="00A20686"/>
    <w:rsid w:val="00A2079F"/>
    <w:rsid w:val="00A207C7"/>
    <w:rsid w:val="00A207C8"/>
    <w:rsid w:val="00A2088D"/>
    <w:rsid w:val="00A20C2B"/>
    <w:rsid w:val="00A20D72"/>
    <w:rsid w:val="00A20FAB"/>
    <w:rsid w:val="00A21180"/>
    <w:rsid w:val="00A21256"/>
    <w:rsid w:val="00A2127E"/>
    <w:rsid w:val="00A212F5"/>
    <w:rsid w:val="00A21376"/>
    <w:rsid w:val="00A21608"/>
    <w:rsid w:val="00A2178A"/>
    <w:rsid w:val="00A21991"/>
    <w:rsid w:val="00A21BD9"/>
    <w:rsid w:val="00A21CE4"/>
    <w:rsid w:val="00A21CEF"/>
    <w:rsid w:val="00A21EEC"/>
    <w:rsid w:val="00A22069"/>
    <w:rsid w:val="00A221DE"/>
    <w:rsid w:val="00A222E5"/>
    <w:rsid w:val="00A2251F"/>
    <w:rsid w:val="00A22637"/>
    <w:rsid w:val="00A228E8"/>
    <w:rsid w:val="00A22A74"/>
    <w:rsid w:val="00A22BE7"/>
    <w:rsid w:val="00A22CC3"/>
    <w:rsid w:val="00A22CE7"/>
    <w:rsid w:val="00A22D07"/>
    <w:rsid w:val="00A22D7F"/>
    <w:rsid w:val="00A22E83"/>
    <w:rsid w:val="00A22EA5"/>
    <w:rsid w:val="00A23125"/>
    <w:rsid w:val="00A23294"/>
    <w:rsid w:val="00A23456"/>
    <w:rsid w:val="00A23526"/>
    <w:rsid w:val="00A235D6"/>
    <w:rsid w:val="00A238FA"/>
    <w:rsid w:val="00A23A7A"/>
    <w:rsid w:val="00A23C86"/>
    <w:rsid w:val="00A23C9A"/>
    <w:rsid w:val="00A23CD6"/>
    <w:rsid w:val="00A2413E"/>
    <w:rsid w:val="00A24159"/>
    <w:rsid w:val="00A2457D"/>
    <w:rsid w:val="00A2461C"/>
    <w:rsid w:val="00A2497C"/>
    <w:rsid w:val="00A249C9"/>
    <w:rsid w:val="00A24C3F"/>
    <w:rsid w:val="00A24DF7"/>
    <w:rsid w:val="00A24FE8"/>
    <w:rsid w:val="00A2508F"/>
    <w:rsid w:val="00A2518B"/>
    <w:rsid w:val="00A252EB"/>
    <w:rsid w:val="00A254B2"/>
    <w:rsid w:val="00A2562B"/>
    <w:rsid w:val="00A257BC"/>
    <w:rsid w:val="00A25833"/>
    <w:rsid w:val="00A25928"/>
    <w:rsid w:val="00A25D59"/>
    <w:rsid w:val="00A25F0C"/>
    <w:rsid w:val="00A260F7"/>
    <w:rsid w:val="00A263D1"/>
    <w:rsid w:val="00A263FF"/>
    <w:rsid w:val="00A265CC"/>
    <w:rsid w:val="00A265D1"/>
    <w:rsid w:val="00A265E9"/>
    <w:rsid w:val="00A26866"/>
    <w:rsid w:val="00A269BE"/>
    <w:rsid w:val="00A269D2"/>
    <w:rsid w:val="00A26ADF"/>
    <w:rsid w:val="00A26BDB"/>
    <w:rsid w:val="00A26DB0"/>
    <w:rsid w:val="00A26E3F"/>
    <w:rsid w:val="00A26FC8"/>
    <w:rsid w:val="00A270C9"/>
    <w:rsid w:val="00A27256"/>
    <w:rsid w:val="00A2757C"/>
    <w:rsid w:val="00A27645"/>
    <w:rsid w:val="00A276A8"/>
    <w:rsid w:val="00A278F9"/>
    <w:rsid w:val="00A30078"/>
    <w:rsid w:val="00A3038F"/>
    <w:rsid w:val="00A30477"/>
    <w:rsid w:val="00A305C2"/>
    <w:rsid w:val="00A308D1"/>
    <w:rsid w:val="00A30A49"/>
    <w:rsid w:val="00A30A61"/>
    <w:rsid w:val="00A30DF5"/>
    <w:rsid w:val="00A30ECD"/>
    <w:rsid w:val="00A31078"/>
    <w:rsid w:val="00A31130"/>
    <w:rsid w:val="00A311A1"/>
    <w:rsid w:val="00A313EB"/>
    <w:rsid w:val="00A31430"/>
    <w:rsid w:val="00A317B4"/>
    <w:rsid w:val="00A31D1F"/>
    <w:rsid w:val="00A31DBA"/>
    <w:rsid w:val="00A31E72"/>
    <w:rsid w:val="00A31E98"/>
    <w:rsid w:val="00A31F75"/>
    <w:rsid w:val="00A31F8C"/>
    <w:rsid w:val="00A320AD"/>
    <w:rsid w:val="00A32171"/>
    <w:rsid w:val="00A3223E"/>
    <w:rsid w:val="00A325F3"/>
    <w:rsid w:val="00A32634"/>
    <w:rsid w:val="00A3281C"/>
    <w:rsid w:val="00A32908"/>
    <w:rsid w:val="00A32A2E"/>
    <w:rsid w:val="00A32B30"/>
    <w:rsid w:val="00A32F3E"/>
    <w:rsid w:val="00A33066"/>
    <w:rsid w:val="00A3319C"/>
    <w:rsid w:val="00A331F7"/>
    <w:rsid w:val="00A331FA"/>
    <w:rsid w:val="00A333E6"/>
    <w:rsid w:val="00A33639"/>
    <w:rsid w:val="00A336BA"/>
    <w:rsid w:val="00A33739"/>
    <w:rsid w:val="00A337A3"/>
    <w:rsid w:val="00A33853"/>
    <w:rsid w:val="00A33893"/>
    <w:rsid w:val="00A33A0D"/>
    <w:rsid w:val="00A33B53"/>
    <w:rsid w:val="00A33B74"/>
    <w:rsid w:val="00A33D6B"/>
    <w:rsid w:val="00A33E63"/>
    <w:rsid w:val="00A33F24"/>
    <w:rsid w:val="00A33FE4"/>
    <w:rsid w:val="00A34010"/>
    <w:rsid w:val="00A3442C"/>
    <w:rsid w:val="00A346A7"/>
    <w:rsid w:val="00A34827"/>
    <w:rsid w:val="00A3484B"/>
    <w:rsid w:val="00A34887"/>
    <w:rsid w:val="00A3495A"/>
    <w:rsid w:val="00A34B56"/>
    <w:rsid w:val="00A34B85"/>
    <w:rsid w:val="00A34DB3"/>
    <w:rsid w:val="00A34E15"/>
    <w:rsid w:val="00A34E35"/>
    <w:rsid w:val="00A34E6C"/>
    <w:rsid w:val="00A35071"/>
    <w:rsid w:val="00A35239"/>
    <w:rsid w:val="00A353C2"/>
    <w:rsid w:val="00A35598"/>
    <w:rsid w:val="00A355E5"/>
    <w:rsid w:val="00A35680"/>
    <w:rsid w:val="00A35793"/>
    <w:rsid w:val="00A3581A"/>
    <w:rsid w:val="00A35AFD"/>
    <w:rsid w:val="00A35BD3"/>
    <w:rsid w:val="00A35CB4"/>
    <w:rsid w:val="00A35CD8"/>
    <w:rsid w:val="00A35D21"/>
    <w:rsid w:val="00A35DF6"/>
    <w:rsid w:val="00A35EBE"/>
    <w:rsid w:val="00A35EE7"/>
    <w:rsid w:val="00A35F29"/>
    <w:rsid w:val="00A35FFB"/>
    <w:rsid w:val="00A36399"/>
    <w:rsid w:val="00A367D9"/>
    <w:rsid w:val="00A369B0"/>
    <w:rsid w:val="00A36A63"/>
    <w:rsid w:val="00A36BA8"/>
    <w:rsid w:val="00A36DE2"/>
    <w:rsid w:val="00A371B8"/>
    <w:rsid w:val="00A373A0"/>
    <w:rsid w:val="00A375DC"/>
    <w:rsid w:val="00A376F3"/>
    <w:rsid w:val="00A37792"/>
    <w:rsid w:val="00A377BF"/>
    <w:rsid w:val="00A37B20"/>
    <w:rsid w:val="00A37D70"/>
    <w:rsid w:val="00A37F91"/>
    <w:rsid w:val="00A40166"/>
    <w:rsid w:val="00A40260"/>
    <w:rsid w:val="00A403AF"/>
    <w:rsid w:val="00A403FF"/>
    <w:rsid w:val="00A4046B"/>
    <w:rsid w:val="00A405CA"/>
    <w:rsid w:val="00A40608"/>
    <w:rsid w:val="00A40663"/>
    <w:rsid w:val="00A40B4D"/>
    <w:rsid w:val="00A40CA7"/>
    <w:rsid w:val="00A40DED"/>
    <w:rsid w:val="00A41348"/>
    <w:rsid w:val="00A4135A"/>
    <w:rsid w:val="00A41366"/>
    <w:rsid w:val="00A41663"/>
    <w:rsid w:val="00A41834"/>
    <w:rsid w:val="00A418ED"/>
    <w:rsid w:val="00A41B4A"/>
    <w:rsid w:val="00A41C8D"/>
    <w:rsid w:val="00A41D15"/>
    <w:rsid w:val="00A41D3F"/>
    <w:rsid w:val="00A4273D"/>
    <w:rsid w:val="00A4278E"/>
    <w:rsid w:val="00A427DF"/>
    <w:rsid w:val="00A42ACB"/>
    <w:rsid w:val="00A42BC8"/>
    <w:rsid w:val="00A42CB3"/>
    <w:rsid w:val="00A42CB9"/>
    <w:rsid w:val="00A431F8"/>
    <w:rsid w:val="00A43906"/>
    <w:rsid w:val="00A43C8E"/>
    <w:rsid w:val="00A441A2"/>
    <w:rsid w:val="00A441DC"/>
    <w:rsid w:val="00A44225"/>
    <w:rsid w:val="00A442EC"/>
    <w:rsid w:val="00A44400"/>
    <w:rsid w:val="00A444A7"/>
    <w:rsid w:val="00A44580"/>
    <w:rsid w:val="00A4474B"/>
    <w:rsid w:val="00A447B2"/>
    <w:rsid w:val="00A449FD"/>
    <w:rsid w:val="00A44A69"/>
    <w:rsid w:val="00A44C8E"/>
    <w:rsid w:val="00A44CD0"/>
    <w:rsid w:val="00A44E96"/>
    <w:rsid w:val="00A44F72"/>
    <w:rsid w:val="00A45039"/>
    <w:rsid w:val="00A4532F"/>
    <w:rsid w:val="00A453AB"/>
    <w:rsid w:val="00A45605"/>
    <w:rsid w:val="00A45850"/>
    <w:rsid w:val="00A4588B"/>
    <w:rsid w:val="00A45ABD"/>
    <w:rsid w:val="00A45B6B"/>
    <w:rsid w:val="00A45B85"/>
    <w:rsid w:val="00A45D3C"/>
    <w:rsid w:val="00A45DAD"/>
    <w:rsid w:val="00A45FE5"/>
    <w:rsid w:val="00A4624A"/>
    <w:rsid w:val="00A463D0"/>
    <w:rsid w:val="00A4681E"/>
    <w:rsid w:val="00A469DB"/>
    <w:rsid w:val="00A46B6F"/>
    <w:rsid w:val="00A46E01"/>
    <w:rsid w:val="00A46E6C"/>
    <w:rsid w:val="00A47203"/>
    <w:rsid w:val="00A4733A"/>
    <w:rsid w:val="00A47341"/>
    <w:rsid w:val="00A475C4"/>
    <w:rsid w:val="00A4777E"/>
    <w:rsid w:val="00A47859"/>
    <w:rsid w:val="00A47936"/>
    <w:rsid w:val="00A47A96"/>
    <w:rsid w:val="00A47B22"/>
    <w:rsid w:val="00A47D4B"/>
    <w:rsid w:val="00A50048"/>
    <w:rsid w:val="00A5004C"/>
    <w:rsid w:val="00A50078"/>
    <w:rsid w:val="00A505C5"/>
    <w:rsid w:val="00A505EF"/>
    <w:rsid w:val="00A507B8"/>
    <w:rsid w:val="00A50DAF"/>
    <w:rsid w:val="00A50E27"/>
    <w:rsid w:val="00A5107C"/>
    <w:rsid w:val="00A5131E"/>
    <w:rsid w:val="00A51396"/>
    <w:rsid w:val="00A51839"/>
    <w:rsid w:val="00A519A4"/>
    <w:rsid w:val="00A51AC2"/>
    <w:rsid w:val="00A51EEA"/>
    <w:rsid w:val="00A5222A"/>
    <w:rsid w:val="00A52317"/>
    <w:rsid w:val="00A5233A"/>
    <w:rsid w:val="00A523A5"/>
    <w:rsid w:val="00A526DB"/>
    <w:rsid w:val="00A52943"/>
    <w:rsid w:val="00A52B86"/>
    <w:rsid w:val="00A52E80"/>
    <w:rsid w:val="00A53230"/>
    <w:rsid w:val="00A538A9"/>
    <w:rsid w:val="00A53932"/>
    <w:rsid w:val="00A53951"/>
    <w:rsid w:val="00A53953"/>
    <w:rsid w:val="00A53A27"/>
    <w:rsid w:val="00A53C7F"/>
    <w:rsid w:val="00A53C93"/>
    <w:rsid w:val="00A540D1"/>
    <w:rsid w:val="00A54275"/>
    <w:rsid w:val="00A5428E"/>
    <w:rsid w:val="00A54401"/>
    <w:rsid w:val="00A5442A"/>
    <w:rsid w:val="00A5462B"/>
    <w:rsid w:val="00A5492A"/>
    <w:rsid w:val="00A54960"/>
    <w:rsid w:val="00A5496D"/>
    <w:rsid w:val="00A54981"/>
    <w:rsid w:val="00A54BE7"/>
    <w:rsid w:val="00A54D84"/>
    <w:rsid w:val="00A5520C"/>
    <w:rsid w:val="00A5576C"/>
    <w:rsid w:val="00A55772"/>
    <w:rsid w:val="00A55779"/>
    <w:rsid w:val="00A55B3D"/>
    <w:rsid w:val="00A55C4C"/>
    <w:rsid w:val="00A55C96"/>
    <w:rsid w:val="00A55CA7"/>
    <w:rsid w:val="00A55E65"/>
    <w:rsid w:val="00A55F26"/>
    <w:rsid w:val="00A55F5B"/>
    <w:rsid w:val="00A56064"/>
    <w:rsid w:val="00A5628D"/>
    <w:rsid w:val="00A56468"/>
    <w:rsid w:val="00A564BF"/>
    <w:rsid w:val="00A568F6"/>
    <w:rsid w:val="00A570FD"/>
    <w:rsid w:val="00A571D9"/>
    <w:rsid w:val="00A57246"/>
    <w:rsid w:val="00A57612"/>
    <w:rsid w:val="00A57718"/>
    <w:rsid w:val="00A5772D"/>
    <w:rsid w:val="00A578C2"/>
    <w:rsid w:val="00A57B80"/>
    <w:rsid w:val="00A57D48"/>
    <w:rsid w:val="00A57EF7"/>
    <w:rsid w:val="00A57EF8"/>
    <w:rsid w:val="00A57F36"/>
    <w:rsid w:val="00A57F51"/>
    <w:rsid w:val="00A60004"/>
    <w:rsid w:val="00A601A4"/>
    <w:rsid w:val="00A60314"/>
    <w:rsid w:val="00A60694"/>
    <w:rsid w:val="00A606F5"/>
    <w:rsid w:val="00A608A4"/>
    <w:rsid w:val="00A608B5"/>
    <w:rsid w:val="00A60AAA"/>
    <w:rsid w:val="00A60AE1"/>
    <w:rsid w:val="00A60B9D"/>
    <w:rsid w:val="00A60C15"/>
    <w:rsid w:val="00A60C6B"/>
    <w:rsid w:val="00A60CBE"/>
    <w:rsid w:val="00A60D30"/>
    <w:rsid w:val="00A60D4C"/>
    <w:rsid w:val="00A60F48"/>
    <w:rsid w:val="00A610BC"/>
    <w:rsid w:val="00A61236"/>
    <w:rsid w:val="00A6142A"/>
    <w:rsid w:val="00A614FD"/>
    <w:rsid w:val="00A61600"/>
    <w:rsid w:val="00A6176E"/>
    <w:rsid w:val="00A61812"/>
    <w:rsid w:val="00A6187A"/>
    <w:rsid w:val="00A619BE"/>
    <w:rsid w:val="00A61AF0"/>
    <w:rsid w:val="00A61C2E"/>
    <w:rsid w:val="00A61D0C"/>
    <w:rsid w:val="00A61E9D"/>
    <w:rsid w:val="00A61EC5"/>
    <w:rsid w:val="00A61FF6"/>
    <w:rsid w:val="00A6226A"/>
    <w:rsid w:val="00A62270"/>
    <w:rsid w:val="00A62294"/>
    <w:rsid w:val="00A62368"/>
    <w:rsid w:val="00A6236A"/>
    <w:rsid w:val="00A62478"/>
    <w:rsid w:val="00A6256E"/>
    <w:rsid w:val="00A625B0"/>
    <w:rsid w:val="00A62698"/>
    <w:rsid w:val="00A6279B"/>
    <w:rsid w:val="00A629EB"/>
    <w:rsid w:val="00A629FE"/>
    <w:rsid w:val="00A62D3C"/>
    <w:rsid w:val="00A62EAE"/>
    <w:rsid w:val="00A630AA"/>
    <w:rsid w:val="00A631A8"/>
    <w:rsid w:val="00A63296"/>
    <w:rsid w:val="00A63529"/>
    <w:rsid w:val="00A63683"/>
    <w:rsid w:val="00A63733"/>
    <w:rsid w:val="00A6375F"/>
    <w:rsid w:val="00A63797"/>
    <w:rsid w:val="00A63813"/>
    <w:rsid w:val="00A63860"/>
    <w:rsid w:val="00A63DED"/>
    <w:rsid w:val="00A63E89"/>
    <w:rsid w:val="00A63F12"/>
    <w:rsid w:val="00A63F74"/>
    <w:rsid w:val="00A63F8B"/>
    <w:rsid w:val="00A64130"/>
    <w:rsid w:val="00A647F4"/>
    <w:rsid w:val="00A64B15"/>
    <w:rsid w:val="00A64CBD"/>
    <w:rsid w:val="00A64F73"/>
    <w:rsid w:val="00A64FC6"/>
    <w:rsid w:val="00A65080"/>
    <w:rsid w:val="00A6510D"/>
    <w:rsid w:val="00A65132"/>
    <w:rsid w:val="00A655AE"/>
    <w:rsid w:val="00A655BB"/>
    <w:rsid w:val="00A65839"/>
    <w:rsid w:val="00A65A7C"/>
    <w:rsid w:val="00A65AAA"/>
    <w:rsid w:val="00A65B58"/>
    <w:rsid w:val="00A65BC1"/>
    <w:rsid w:val="00A65E67"/>
    <w:rsid w:val="00A65E6D"/>
    <w:rsid w:val="00A65EAE"/>
    <w:rsid w:val="00A65FB8"/>
    <w:rsid w:val="00A661DA"/>
    <w:rsid w:val="00A6624C"/>
    <w:rsid w:val="00A66318"/>
    <w:rsid w:val="00A665FB"/>
    <w:rsid w:val="00A6665E"/>
    <w:rsid w:val="00A66959"/>
    <w:rsid w:val="00A66A55"/>
    <w:rsid w:val="00A66B5A"/>
    <w:rsid w:val="00A66C18"/>
    <w:rsid w:val="00A66D85"/>
    <w:rsid w:val="00A66FD0"/>
    <w:rsid w:val="00A67109"/>
    <w:rsid w:val="00A67208"/>
    <w:rsid w:val="00A672A1"/>
    <w:rsid w:val="00A67328"/>
    <w:rsid w:val="00A67840"/>
    <w:rsid w:val="00A67988"/>
    <w:rsid w:val="00A679E7"/>
    <w:rsid w:val="00A67D13"/>
    <w:rsid w:val="00A67DD6"/>
    <w:rsid w:val="00A67E12"/>
    <w:rsid w:val="00A67F95"/>
    <w:rsid w:val="00A7005F"/>
    <w:rsid w:val="00A700BF"/>
    <w:rsid w:val="00A702E1"/>
    <w:rsid w:val="00A70B32"/>
    <w:rsid w:val="00A70F65"/>
    <w:rsid w:val="00A710FA"/>
    <w:rsid w:val="00A711EC"/>
    <w:rsid w:val="00A71216"/>
    <w:rsid w:val="00A712C9"/>
    <w:rsid w:val="00A714D5"/>
    <w:rsid w:val="00A71789"/>
    <w:rsid w:val="00A7178D"/>
    <w:rsid w:val="00A71BD1"/>
    <w:rsid w:val="00A71D04"/>
    <w:rsid w:val="00A7220F"/>
    <w:rsid w:val="00A7237D"/>
    <w:rsid w:val="00A723B0"/>
    <w:rsid w:val="00A72610"/>
    <w:rsid w:val="00A726A8"/>
    <w:rsid w:val="00A726C6"/>
    <w:rsid w:val="00A72707"/>
    <w:rsid w:val="00A72AF6"/>
    <w:rsid w:val="00A72ED7"/>
    <w:rsid w:val="00A73387"/>
    <w:rsid w:val="00A7348F"/>
    <w:rsid w:val="00A735E4"/>
    <w:rsid w:val="00A738A1"/>
    <w:rsid w:val="00A739A4"/>
    <w:rsid w:val="00A73C32"/>
    <w:rsid w:val="00A73C75"/>
    <w:rsid w:val="00A73C87"/>
    <w:rsid w:val="00A73D89"/>
    <w:rsid w:val="00A740D7"/>
    <w:rsid w:val="00A74114"/>
    <w:rsid w:val="00A74206"/>
    <w:rsid w:val="00A74241"/>
    <w:rsid w:val="00A7425D"/>
    <w:rsid w:val="00A7427F"/>
    <w:rsid w:val="00A74A21"/>
    <w:rsid w:val="00A74A8A"/>
    <w:rsid w:val="00A74D8A"/>
    <w:rsid w:val="00A74F6C"/>
    <w:rsid w:val="00A75256"/>
    <w:rsid w:val="00A7554A"/>
    <w:rsid w:val="00A757C5"/>
    <w:rsid w:val="00A757F5"/>
    <w:rsid w:val="00A75A7D"/>
    <w:rsid w:val="00A75AB5"/>
    <w:rsid w:val="00A75AE3"/>
    <w:rsid w:val="00A75B08"/>
    <w:rsid w:val="00A75CFA"/>
    <w:rsid w:val="00A75DCC"/>
    <w:rsid w:val="00A76268"/>
    <w:rsid w:val="00A76280"/>
    <w:rsid w:val="00A7636C"/>
    <w:rsid w:val="00A763DD"/>
    <w:rsid w:val="00A764A9"/>
    <w:rsid w:val="00A765D8"/>
    <w:rsid w:val="00A76A3F"/>
    <w:rsid w:val="00A76CC5"/>
    <w:rsid w:val="00A76D84"/>
    <w:rsid w:val="00A76F4B"/>
    <w:rsid w:val="00A77187"/>
    <w:rsid w:val="00A77271"/>
    <w:rsid w:val="00A77285"/>
    <w:rsid w:val="00A7738E"/>
    <w:rsid w:val="00A77577"/>
    <w:rsid w:val="00A77822"/>
    <w:rsid w:val="00A77BD9"/>
    <w:rsid w:val="00A77CF6"/>
    <w:rsid w:val="00A77D2E"/>
    <w:rsid w:val="00A77E66"/>
    <w:rsid w:val="00A80372"/>
    <w:rsid w:val="00A80A75"/>
    <w:rsid w:val="00A80E40"/>
    <w:rsid w:val="00A80F88"/>
    <w:rsid w:val="00A80FD2"/>
    <w:rsid w:val="00A810A3"/>
    <w:rsid w:val="00A810F5"/>
    <w:rsid w:val="00A8162F"/>
    <w:rsid w:val="00A81ADC"/>
    <w:rsid w:val="00A81D88"/>
    <w:rsid w:val="00A81E75"/>
    <w:rsid w:val="00A81EA0"/>
    <w:rsid w:val="00A820BD"/>
    <w:rsid w:val="00A8211E"/>
    <w:rsid w:val="00A822E8"/>
    <w:rsid w:val="00A8280F"/>
    <w:rsid w:val="00A8282C"/>
    <w:rsid w:val="00A82A84"/>
    <w:rsid w:val="00A82ACD"/>
    <w:rsid w:val="00A82C0B"/>
    <w:rsid w:val="00A82D0C"/>
    <w:rsid w:val="00A82EAD"/>
    <w:rsid w:val="00A82ED5"/>
    <w:rsid w:val="00A835F0"/>
    <w:rsid w:val="00A838B3"/>
    <w:rsid w:val="00A83A3C"/>
    <w:rsid w:val="00A83B7F"/>
    <w:rsid w:val="00A83E00"/>
    <w:rsid w:val="00A83E70"/>
    <w:rsid w:val="00A84098"/>
    <w:rsid w:val="00A842CC"/>
    <w:rsid w:val="00A84570"/>
    <w:rsid w:val="00A84730"/>
    <w:rsid w:val="00A847C5"/>
    <w:rsid w:val="00A847D6"/>
    <w:rsid w:val="00A8493B"/>
    <w:rsid w:val="00A84993"/>
    <w:rsid w:val="00A849A1"/>
    <w:rsid w:val="00A84A7F"/>
    <w:rsid w:val="00A84B28"/>
    <w:rsid w:val="00A84CC5"/>
    <w:rsid w:val="00A84D4C"/>
    <w:rsid w:val="00A85056"/>
    <w:rsid w:val="00A8530B"/>
    <w:rsid w:val="00A85324"/>
    <w:rsid w:val="00A85355"/>
    <w:rsid w:val="00A854CE"/>
    <w:rsid w:val="00A857CC"/>
    <w:rsid w:val="00A85896"/>
    <w:rsid w:val="00A858A1"/>
    <w:rsid w:val="00A85A75"/>
    <w:rsid w:val="00A85B34"/>
    <w:rsid w:val="00A85B40"/>
    <w:rsid w:val="00A85D32"/>
    <w:rsid w:val="00A85DAB"/>
    <w:rsid w:val="00A85EB8"/>
    <w:rsid w:val="00A85F38"/>
    <w:rsid w:val="00A85F5C"/>
    <w:rsid w:val="00A860CF"/>
    <w:rsid w:val="00A8668F"/>
    <w:rsid w:val="00A86751"/>
    <w:rsid w:val="00A8682A"/>
    <w:rsid w:val="00A86881"/>
    <w:rsid w:val="00A868EE"/>
    <w:rsid w:val="00A869AE"/>
    <w:rsid w:val="00A869D8"/>
    <w:rsid w:val="00A869E9"/>
    <w:rsid w:val="00A86A34"/>
    <w:rsid w:val="00A86ABD"/>
    <w:rsid w:val="00A86B21"/>
    <w:rsid w:val="00A86BA8"/>
    <w:rsid w:val="00A86BF9"/>
    <w:rsid w:val="00A86CDA"/>
    <w:rsid w:val="00A86D43"/>
    <w:rsid w:val="00A86DB2"/>
    <w:rsid w:val="00A86DB6"/>
    <w:rsid w:val="00A86F75"/>
    <w:rsid w:val="00A87105"/>
    <w:rsid w:val="00A87165"/>
    <w:rsid w:val="00A8721E"/>
    <w:rsid w:val="00A87288"/>
    <w:rsid w:val="00A873A1"/>
    <w:rsid w:val="00A874E6"/>
    <w:rsid w:val="00A875CF"/>
    <w:rsid w:val="00A8763F"/>
    <w:rsid w:val="00A87A07"/>
    <w:rsid w:val="00A87CB8"/>
    <w:rsid w:val="00A90086"/>
    <w:rsid w:val="00A901D6"/>
    <w:rsid w:val="00A90279"/>
    <w:rsid w:val="00A90464"/>
    <w:rsid w:val="00A9046E"/>
    <w:rsid w:val="00A90516"/>
    <w:rsid w:val="00A9075A"/>
    <w:rsid w:val="00A90A9E"/>
    <w:rsid w:val="00A90AED"/>
    <w:rsid w:val="00A90C78"/>
    <w:rsid w:val="00A90CC6"/>
    <w:rsid w:val="00A90D28"/>
    <w:rsid w:val="00A90EC4"/>
    <w:rsid w:val="00A90F88"/>
    <w:rsid w:val="00A90FCB"/>
    <w:rsid w:val="00A91094"/>
    <w:rsid w:val="00A91151"/>
    <w:rsid w:val="00A911FE"/>
    <w:rsid w:val="00A912FB"/>
    <w:rsid w:val="00A9131F"/>
    <w:rsid w:val="00A91344"/>
    <w:rsid w:val="00A91414"/>
    <w:rsid w:val="00A91519"/>
    <w:rsid w:val="00A917AF"/>
    <w:rsid w:val="00A91887"/>
    <w:rsid w:val="00A918E3"/>
    <w:rsid w:val="00A9193F"/>
    <w:rsid w:val="00A91A3A"/>
    <w:rsid w:val="00A91BF2"/>
    <w:rsid w:val="00A91E6E"/>
    <w:rsid w:val="00A91E9B"/>
    <w:rsid w:val="00A91F80"/>
    <w:rsid w:val="00A920F1"/>
    <w:rsid w:val="00A923C5"/>
    <w:rsid w:val="00A9243C"/>
    <w:rsid w:val="00A928B6"/>
    <w:rsid w:val="00A92B04"/>
    <w:rsid w:val="00A92C63"/>
    <w:rsid w:val="00A92CA3"/>
    <w:rsid w:val="00A92CCC"/>
    <w:rsid w:val="00A92DB9"/>
    <w:rsid w:val="00A92DFA"/>
    <w:rsid w:val="00A92E2E"/>
    <w:rsid w:val="00A92E40"/>
    <w:rsid w:val="00A92E57"/>
    <w:rsid w:val="00A93199"/>
    <w:rsid w:val="00A9323B"/>
    <w:rsid w:val="00A933DA"/>
    <w:rsid w:val="00A93531"/>
    <w:rsid w:val="00A93CBD"/>
    <w:rsid w:val="00A93DB7"/>
    <w:rsid w:val="00A93E73"/>
    <w:rsid w:val="00A94017"/>
    <w:rsid w:val="00A940E4"/>
    <w:rsid w:val="00A9430A"/>
    <w:rsid w:val="00A943A5"/>
    <w:rsid w:val="00A945AF"/>
    <w:rsid w:val="00A945D4"/>
    <w:rsid w:val="00A946A7"/>
    <w:rsid w:val="00A94732"/>
    <w:rsid w:val="00A9490B"/>
    <w:rsid w:val="00A94B7B"/>
    <w:rsid w:val="00A94C4F"/>
    <w:rsid w:val="00A94C77"/>
    <w:rsid w:val="00A94E2F"/>
    <w:rsid w:val="00A94FE0"/>
    <w:rsid w:val="00A95837"/>
    <w:rsid w:val="00A95AE7"/>
    <w:rsid w:val="00A95C4E"/>
    <w:rsid w:val="00A95C5F"/>
    <w:rsid w:val="00A95D40"/>
    <w:rsid w:val="00A95DB4"/>
    <w:rsid w:val="00A95E2C"/>
    <w:rsid w:val="00A96021"/>
    <w:rsid w:val="00A9613A"/>
    <w:rsid w:val="00A96173"/>
    <w:rsid w:val="00A96196"/>
    <w:rsid w:val="00A9631C"/>
    <w:rsid w:val="00A96397"/>
    <w:rsid w:val="00A9649E"/>
    <w:rsid w:val="00A96A4C"/>
    <w:rsid w:val="00A96C0F"/>
    <w:rsid w:val="00A96C11"/>
    <w:rsid w:val="00A96C51"/>
    <w:rsid w:val="00A96D86"/>
    <w:rsid w:val="00A96E7F"/>
    <w:rsid w:val="00A96E91"/>
    <w:rsid w:val="00A96EF3"/>
    <w:rsid w:val="00A9723A"/>
    <w:rsid w:val="00A97307"/>
    <w:rsid w:val="00A974FD"/>
    <w:rsid w:val="00A97702"/>
    <w:rsid w:val="00A978AD"/>
    <w:rsid w:val="00A97920"/>
    <w:rsid w:val="00A97AF0"/>
    <w:rsid w:val="00A97B5A"/>
    <w:rsid w:val="00A97C2B"/>
    <w:rsid w:val="00A97C5E"/>
    <w:rsid w:val="00A97CA0"/>
    <w:rsid w:val="00A97E3E"/>
    <w:rsid w:val="00A97EA5"/>
    <w:rsid w:val="00A97F38"/>
    <w:rsid w:val="00AA03E5"/>
    <w:rsid w:val="00AA0662"/>
    <w:rsid w:val="00AA078F"/>
    <w:rsid w:val="00AA08E4"/>
    <w:rsid w:val="00AA0BCB"/>
    <w:rsid w:val="00AA0C03"/>
    <w:rsid w:val="00AA0C8A"/>
    <w:rsid w:val="00AA0C9A"/>
    <w:rsid w:val="00AA0CB0"/>
    <w:rsid w:val="00AA0D34"/>
    <w:rsid w:val="00AA0DE2"/>
    <w:rsid w:val="00AA1042"/>
    <w:rsid w:val="00AA10F6"/>
    <w:rsid w:val="00AA1241"/>
    <w:rsid w:val="00AA12A8"/>
    <w:rsid w:val="00AA1432"/>
    <w:rsid w:val="00AA14F1"/>
    <w:rsid w:val="00AA1518"/>
    <w:rsid w:val="00AA16C7"/>
    <w:rsid w:val="00AA1822"/>
    <w:rsid w:val="00AA19B6"/>
    <w:rsid w:val="00AA1A1D"/>
    <w:rsid w:val="00AA1C3F"/>
    <w:rsid w:val="00AA1C8A"/>
    <w:rsid w:val="00AA1C8E"/>
    <w:rsid w:val="00AA1D1D"/>
    <w:rsid w:val="00AA1DCA"/>
    <w:rsid w:val="00AA1F31"/>
    <w:rsid w:val="00AA201D"/>
    <w:rsid w:val="00AA2093"/>
    <w:rsid w:val="00AA21C6"/>
    <w:rsid w:val="00AA2207"/>
    <w:rsid w:val="00AA220C"/>
    <w:rsid w:val="00AA2310"/>
    <w:rsid w:val="00AA24C6"/>
    <w:rsid w:val="00AA25E3"/>
    <w:rsid w:val="00AA2635"/>
    <w:rsid w:val="00AA269C"/>
    <w:rsid w:val="00AA26ED"/>
    <w:rsid w:val="00AA2786"/>
    <w:rsid w:val="00AA2850"/>
    <w:rsid w:val="00AA29B5"/>
    <w:rsid w:val="00AA2CED"/>
    <w:rsid w:val="00AA2D50"/>
    <w:rsid w:val="00AA30A2"/>
    <w:rsid w:val="00AA3142"/>
    <w:rsid w:val="00AA3790"/>
    <w:rsid w:val="00AA390C"/>
    <w:rsid w:val="00AA397A"/>
    <w:rsid w:val="00AA39AE"/>
    <w:rsid w:val="00AA3CF9"/>
    <w:rsid w:val="00AA3FAB"/>
    <w:rsid w:val="00AA402E"/>
    <w:rsid w:val="00AA42F9"/>
    <w:rsid w:val="00AA44EA"/>
    <w:rsid w:val="00AA47E6"/>
    <w:rsid w:val="00AA4D58"/>
    <w:rsid w:val="00AA5056"/>
    <w:rsid w:val="00AA50C6"/>
    <w:rsid w:val="00AA5202"/>
    <w:rsid w:val="00AA5216"/>
    <w:rsid w:val="00AA5222"/>
    <w:rsid w:val="00AA5252"/>
    <w:rsid w:val="00AA5661"/>
    <w:rsid w:val="00AA5990"/>
    <w:rsid w:val="00AA5BC1"/>
    <w:rsid w:val="00AA5BD4"/>
    <w:rsid w:val="00AA5BF4"/>
    <w:rsid w:val="00AA5D25"/>
    <w:rsid w:val="00AA5DAB"/>
    <w:rsid w:val="00AA5EF6"/>
    <w:rsid w:val="00AA5F3C"/>
    <w:rsid w:val="00AA62DB"/>
    <w:rsid w:val="00AA63ED"/>
    <w:rsid w:val="00AA677D"/>
    <w:rsid w:val="00AA69B8"/>
    <w:rsid w:val="00AA6B33"/>
    <w:rsid w:val="00AA6D07"/>
    <w:rsid w:val="00AA6D9A"/>
    <w:rsid w:val="00AA6D9C"/>
    <w:rsid w:val="00AA6ECD"/>
    <w:rsid w:val="00AA72C8"/>
    <w:rsid w:val="00AA76D7"/>
    <w:rsid w:val="00AA76F0"/>
    <w:rsid w:val="00AA7798"/>
    <w:rsid w:val="00AA78D7"/>
    <w:rsid w:val="00AA797A"/>
    <w:rsid w:val="00AA7983"/>
    <w:rsid w:val="00AA7AB3"/>
    <w:rsid w:val="00AA7C4E"/>
    <w:rsid w:val="00AA7EF1"/>
    <w:rsid w:val="00AB0217"/>
    <w:rsid w:val="00AB0387"/>
    <w:rsid w:val="00AB03D7"/>
    <w:rsid w:val="00AB03FB"/>
    <w:rsid w:val="00AB0587"/>
    <w:rsid w:val="00AB0687"/>
    <w:rsid w:val="00AB06E1"/>
    <w:rsid w:val="00AB0757"/>
    <w:rsid w:val="00AB08A5"/>
    <w:rsid w:val="00AB0904"/>
    <w:rsid w:val="00AB0C16"/>
    <w:rsid w:val="00AB0F6C"/>
    <w:rsid w:val="00AB0F92"/>
    <w:rsid w:val="00AB1075"/>
    <w:rsid w:val="00AB1311"/>
    <w:rsid w:val="00AB1351"/>
    <w:rsid w:val="00AB1486"/>
    <w:rsid w:val="00AB1683"/>
    <w:rsid w:val="00AB172A"/>
    <w:rsid w:val="00AB17C9"/>
    <w:rsid w:val="00AB17FA"/>
    <w:rsid w:val="00AB1B00"/>
    <w:rsid w:val="00AB1B3F"/>
    <w:rsid w:val="00AB1C99"/>
    <w:rsid w:val="00AB204C"/>
    <w:rsid w:val="00AB22B0"/>
    <w:rsid w:val="00AB230E"/>
    <w:rsid w:val="00AB235B"/>
    <w:rsid w:val="00AB23BB"/>
    <w:rsid w:val="00AB254A"/>
    <w:rsid w:val="00AB2781"/>
    <w:rsid w:val="00AB2A7D"/>
    <w:rsid w:val="00AB2B66"/>
    <w:rsid w:val="00AB2D02"/>
    <w:rsid w:val="00AB32F5"/>
    <w:rsid w:val="00AB3338"/>
    <w:rsid w:val="00AB3363"/>
    <w:rsid w:val="00AB3642"/>
    <w:rsid w:val="00AB36A0"/>
    <w:rsid w:val="00AB37C6"/>
    <w:rsid w:val="00AB3918"/>
    <w:rsid w:val="00AB3AF0"/>
    <w:rsid w:val="00AB3E66"/>
    <w:rsid w:val="00AB3EC5"/>
    <w:rsid w:val="00AB3F06"/>
    <w:rsid w:val="00AB3F49"/>
    <w:rsid w:val="00AB40F7"/>
    <w:rsid w:val="00AB4173"/>
    <w:rsid w:val="00AB42C4"/>
    <w:rsid w:val="00AB42DC"/>
    <w:rsid w:val="00AB43C8"/>
    <w:rsid w:val="00AB4452"/>
    <w:rsid w:val="00AB4456"/>
    <w:rsid w:val="00AB463E"/>
    <w:rsid w:val="00AB466D"/>
    <w:rsid w:val="00AB49AB"/>
    <w:rsid w:val="00AB4B2E"/>
    <w:rsid w:val="00AB4D4F"/>
    <w:rsid w:val="00AB4DB7"/>
    <w:rsid w:val="00AB4F72"/>
    <w:rsid w:val="00AB5118"/>
    <w:rsid w:val="00AB532A"/>
    <w:rsid w:val="00AB5354"/>
    <w:rsid w:val="00AB54C6"/>
    <w:rsid w:val="00AB563E"/>
    <w:rsid w:val="00AB5727"/>
    <w:rsid w:val="00AB5845"/>
    <w:rsid w:val="00AB58D0"/>
    <w:rsid w:val="00AB5A0E"/>
    <w:rsid w:val="00AB5A5D"/>
    <w:rsid w:val="00AB5C7E"/>
    <w:rsid w:val="00AB5CC3"/>
    <w:rsid w:val="00AB5D6C"/>
    <w:rsid w:val="00AB5DEB"/>
    <w:rsid w:val="00AB5EE2"/>
    <w:rsid w:val="00AB5F9F"/>
    <w:rsid w:val="00AB629C"/>
    <w:rsid w:val="00AB6432"/>
    <w:rsid w:val="00AB64DE"/>
    <w:rsid w:val="00AB6795"/>
    <w:rsid w:val="00AB68CC"/>
    <w:rsid w:val="00AB6A23"/>
    <w:rsid w:val="00AB6A2F"/>
    <w:rsid w:val="00AB6A4B"/>
    <w:rsid w:val="00AB6BA8"/>
    <w:rsid w:val="00AB6C18"/>
    <w:rsid w:val="00AB6D39"/>
    <w:rsid w:val="00AB6D4E"/>
    <w:rsid w:val="00AB6D7D"/>
    <w:rsid w:val="00AB6F38"/>
    <w:rsid w:val="00AB71EC"/>
    <w:rsid w:val="00AB738F"/>
    <w:rsid w:val="00AB75B7"/>
    <w:rsid w:val="00AB76CF"/>
    <w:rsid w:val="00AB780C"/>
    <w:rsid w:val="00AB794D"/>
    <w:rsid w:val="00AB7A76"/>
    <w:rsid w:val="00AB7BE8"/>
    <w:rsid w:val="00AB7CB5"/>
    <w:rsid w:val="00AB7DC8"/>
    <w:rsid w:val="00AB7FC6"/>
    <w:rsid w:val="00AC0181"/>
    <w:rsid w:val="00AC023B"/>
    <w:rsid w:val="00AC033A"/>
    <w:rsid w:val="00AC0403"/>
    <w:rsid w:val="00AC0506"/>
    <w:rsid w:val="00AC0594"/>
    <w:rsid w:val="00AC07CC"/>
    <w:rsid w:val="00AC08CD"/>
    <w:rsid w:val="00AC0D64"/>
    <w:rsid w:val="00AC0E97"/>
    <w:rsid w:val="00AC0EC1"/>
    <w:rsid w:val="00AC100A"/>
    <w:rsid w:val="00AC100F"/>
    <w:rsid w:val="00AC1308"/>
    <w:rsid w:val="00AC1582"/>
    <w:rsid w:val="00AC17CD"/>
    <w:rsid w:val="00AC1804"/>
    <w:rsid w:val="00AC191E"/>
    <w:rsid w:val="00AC1AEF"/>
    <w:rsid w:val="00AC1B2D"/>
    <w:rsid w:val="00AC1BA1"/>
    <w:rsid w:val="00AC1BBE"/>
    <w:rsid w:val="00AC1BEF"/>
    <w:rsid w:val="00AC1E3C"/>
    <w:rsid w:val="00AC1E94"/>
    <w:rsid w:val="00AC2055"/>
    <w:rsid w:val="00AC20CF"/>
    <w:rsid w:val="00AC2119"/>
    <w:rsid w:val="00AC23FA"/>
    <w:rsid w:val="00AC24B5"/>
    <w:rsid w:val="00AC252E"/>
    <w:rsid w:val="00AC2583"/>
    <w:rsid w:val="00AC2969"/>
    <w:rsid w:val="00AC2AA2"/>
    <w:rsid w:val="00AC2C76"/>
    <w:rsid w:val="00AC2D4F"/>
    <w:rsid w:val="00AC32C1"/>
    <w:rsid w:val="00AC32F3"/>
    <w:rsid w:val="00AC33A4"/>
    <w:rsid w:val="00AC33E8"/>
    <w:rsid w:val="00AC36D0"/>
    <w:rsid w:val="00AC3774"/>
    <w:rsid w:val="00AC394C"/>
    <w:rsid w:val="00AC39A7"/>
    <w:rsid w:val="00AC39D4"/>
    <w:rsid w:val="00AC3C07"/>
    <w:rsid w:val="00AC3D56"/>
    <w:rsid w:val="00AC40E9"/>
    <w:rsid w:val="00AC44E6"/>
    <w:rsid w:val="00AC4544"/>
    <w:rsid w:val="00AC4BCB"/>
    <w:rsid w:val="00AC4BEA"/>
    <w:rsid w:val="00AC4C4F"/>
    <w:rsid w:val="00AC4D2E"/>
    <w:rsid w:val="00AC51FA"/>
    <w:rsid w:val="00AC5268"/>
    <w:rsid w:val="00AC52A1"/>
    <w:rsid w:val="00AC5317"/>
    <w:rsid w:val="00AC537A"/>
    <w:rsid w:val="00AC5389"/>
    <w:rsid w:val="00AC59AC"/>
    <w:rsid w:val="00AC5B0C"/>
    <w:rsid w:val="00AC5C7B"/>
    <w:rsid w:val="00AC5D0B"/>
    <w:rsid w:val="00AC5D14"/>
    <w:rsid w:val="00AC5D75"/>
    <w:rsid w:val="00AC6079"/>
    <w:rsid w:val="00AC6151"/>
    <w:rsid w:val="00AC620B"/>
    <w:rsid w:val="00AC6352"/>
    <w:rsid w:val="00AC636C"/>
    <w:rsid w:val="00AC6430"/>
    <w:rsid w:val="00AC65AB"/>
    <w:rsid w:val="00AC65BB"/>
    <w:rsid w:val="00AC68C1"/>
    <w:rsid w:val="00AC6AD4"/>
    <w:rsid w:val="00AC6B9B"/>
    <w:rsid w:val="00AC6C02"/>
    <w:rsid w:val="00AC6C19"/>
    <w:rsid w:val="00AC6CC5"/>
    <w:rsid w:val="00AC7217"/>
    <w:rsid w:val="00AC7225"/>
    <w:rsid w:val="00AC7281"/>
    <w:rsid w:val="00AC7778"/>
    <w:rsid w:val="00AC7826"/>
    <w:rsid w:val="00AC78A3"/>
    <w:rsid w:val="00AC790F"/>
    <w:rsid w:val="00AC7A28"/>
    <w:rsid w:val="00AC7C05"/>
    <w:rsid w:val="00AC7C3F"/>
    <w:rsid w:val="00AC7CEC"/>
    <w:rsid w:val="00AC7EA5"/>
    <w:rsid w:val="00AC7ED7"/>
    <w:rsid w:val="00AC7F2F"/>
    <w:rsid w:val="00AD0231"/>
    <w:rsid w:val="00AD04C7"/>
    <w:rsid w:val="00AD050A"/>
    <w:rsid w:val="00AD06C1"/>
    <w:rsid w:val="00AD0790"/>
    <w:rsid w:val="00AD0972"/>
    <w:rsid w:val="00AD0C39"/>
    <w:rsid w:val="00AD0EC8"/>
    <w:rsid w:val="00AD1495"/>
    <w:rsid w:val="00AD1516"/>
    <w:rsid w:val="00AD1A39"/>
    <w:rsid w:val="00AD1A78"/>
    <w:rsid w:val="00AD1B9E"/>
    <w:rsid w:val="00AD1C80"/>
    <w:rsid w:val="00AD2011"/>
    <w:rsid w:val="00AD209F"/>
    <w:rsid w:val="00AD2274"/>
    <w:rsid w:val="00AD22D1"/>
    <w:rsid w:val="00AD254E"/>
    <w:rsid w:val="00AD2729"/>
    <w:rsid w:val="00AD2889"/>
    <w:rsid w:val="00AD2AA9"/>
    <w:rsid w:val="00AD2B91"/>
    <w:rsid w:val="00AD2BA0"/>
    <w:rsid w:val="00AD2CDA"/>
    <w:rsid w:val="00AD2D78"/>
    <w:rsid w:val="00AD3031"/>
    <w:rsid w:val="00AD353E"/>
    <w:rsid w:val="00AD35B8"/>
    <w:rsid w:val="00AD3674"/>
    <w:rsid w:val="00AD371F"/>
    <w:rsid w:val="00AD372B"/>
    <w:rsid w:val="00AD3905"/>
    <w:rsid w:val="00AD3988"/>
    <w:rsid w:val="00AD3D3E"/>
    <w:rsid w:val="00AD3F7C"/>
    <w:rsid w:val="00AD40FD"/>
    <w:rsid w:val="00AD422F"/>
    <w:rsid w:val="00AD44E8"/>
    <w:rsid w:val="00AD45DA"/>
    <w:rsid w:val="00AD472A"/>
    <w:rsid w:val="00AD4B87"/>
    <w:rsid w:val="00AD4E90"/>
    <w:rsid w:val="00AD506C"/>
    <w:rsid w:val="00AD50B5"/>
    <w:rsid w:val="00AD50B8"/>
    <w:rsid w:val="00AD5137"/>
    <w:rsid w:val="00AD5199"/>
    <w:rsid w:val="00AD51BA"/>
    <w:rsid w:val="00AD535F"/>
    <w:rsid w:val="00AD56DE"/>
    <w:rsid w:val="00AD5840"/>
    <w:rsid w:val="00AD5CDC"/>
    <w:rsid w:val="00AD5D35"/>
    <w:rsid w:val="00AD5DFA"/>
    <w:rsid w:val="00AD5FA1"/>
    <w:rsid w:val="00AD61A3"/>
    <w:rsid w:val="00AD6211"/>
    <w:rsid w:val="00AD62BE"/>
    <w:rsid w:val="00AD63E8"/>
    <w:rsid w:val="00AD6543"/>
    <w:rsid w:val="00AD6621"/>
    <w:rsid w:val="00AD67F6"/>
    <w:rsid w:val="00AD680A"/>
    <w:rsid w:val="00AD68C2"/>
    <w:rsid w:val="00AD6B07"/>
    <w:rsid w:val="00AD6BB5"/>
    <w:rsid w:val="00AD6DE4"/>
    <w:rsid w:val="00AD6E25"/>
    <w:rsid w:val="00AD72A7"/>
    <w:rsid w:val="00AD7340"/>
    <w:rsid w:val="00AD7348"/>
    <w:rsid w:val="00AD75B6"/>
    <w:rsid w:val="00AD773B"/>
    <w:rsid w:val="00AD792E"/>
    <w:rsid w:val="00AD7B35"/>
    <w:rsid w:val="00AD7C03"/>
    <w:rsid w:val="00AD7C5F"/>
    <w:rsid w:val="00AD7C8B"/>
    <w:rsid w:val="00AD7D48"/>
    <w:rsid w:val="00AD7E2F"/>
    <w:rsid w:val="00AE023A"/>
    <w:rsid w:val="00AE0413"/>
    <w:rsid w:val="00AE0555"/>
    <w:rsid w:val="00AE0886"/>
    <w:rsid w:val="00AE0B3B"/>
    <w:rsid w:val="00AE0D1F"/>
    <w:rsid w:val="00AE0FFA"/>
    <w:rsid w:val="00AE102C"/>
    <w:rsid w:val="00AE118E"/>
    <w:rsid w:val="00AE138B"/>
    <w:rsid w:val="00AE1411"/>
    <w:rsid w:val="00AE164A"/>
    <w:rsid w:val="00AE1857"/>
    <w:rsid w:val="00AE1980"/>
    <w:rsid w:val="00AE1AD8"/>
    <w:rsid w:val="00AE1BA3"/>
    <w:rsid w:val="00AE1CCF"/>
    <w:rsid w:val="00AE1E61"/>
    <w:rsid w:val="00AE1ED6"/>
    <w:rsid w:val="00AE220F"/>
    <w:rsid w:val="00AE2405"/>
    <w:rsid w:val="00AE2B31"/>
    <w:rsid w:val="00AE2C23"/>
    <w:rsid w:val="00AE2D83"/>
    <w:rsid w:val="00AE2DA4"/>
    <w:rsid w:val="00AE2EFE"/>
    <w:rsid w:val="00AE30AD"/>
    <w:rsid w:val="00AE30F5"/>
    <w:rsid w:val="00AE32D5"/>
    <w:rsid w:val="00AE3330"/>
    <w:rsid w:val="00AE36CA"/>
    <w:rsid w:val="00AE3735"/>
    <w:rsid w:val="00AE39F7"/>
    <w:rsid w:val="00AE39F9"/>
    <w:rsid w:val="00AE3A9C"/>
    <w:rsid w:val="00AE3AA8"/>
    <w:rsid w:val="00AE3BFD"/>
    <w:rsid w:val="00AE3D50"/>
    <w:rsid w:val="00AE3E21"/>
    <w:rsid w:val="00AE3F49"/>
    <w:rsid w:val="00AE4157"/>
    <w:rsid w:val="00AE4294"/>
    <w:rsid w:val="00AE42E7"/>
    <w:rsid w:val="00AE433A"/>
    <w:rsid w:val="00AE451A"/>
    <w:rsid w:val="00AE47CA"/>
    <w:rsid w:val="00AE47EB"/>
    <w:rsid w:val="00AE4881"/>
    <w:rsid w:val="00AE4954"/>
    <w:rsid w:val="00AE49BF"/>
    <w:rsid w:val="00AE49F6"/>
    <w:rsid w:val="00AE4AE5"/>
    <w:rsid w:val="00AE4B81"/>
    <w:rsid w:val="00AE4C7A"/>
    <w:rsid w:val="00AE4E81"/>
    <w:rsid w:val="00AE4E93"/>
    <w:rsid w:val="00AE4F49"/>
    <w:rsid w:val="00AE5005"/>
    <w:rsid w:val="00AE5245"/>
    <w:rsid w:val="00AE5428"/>
    <w:rsid w:val="00AE547A"/>
    <w:rsid w:val="00AE55CA"/>
    <w:rsid w:val="00AE5617"/>
    <w:rsid w:val="00AE56CF"/>
    <w:rsid w:val="00AE5755"/>
    <w:rsid w:val="00AE57F0"/>
    <w:rsid w:val="00AE5858"/>
    <w:rsid w:val="00AE5A53"/>
    <w:rsid w:val="00AE5D18"/>
    <w:rsid w:val="00AE5F26"/>
    <w:rsid w:val="00AE60E4"/>
    <w:rsid w:val="00AE6203"/>
    <w:rsid w:val="00AE678A"/>
    <w:rsid w:val="00AE679A"/>
    <w:rsid w:val="00AE686A"/>
    <w:rsid w:val="00AE68CC"/>
    <w:rsid w:val="00AE6963"/>
    <w:rsid w:val="00AE6AA8"/>
    <w:rsid w:val="00AE6AB1"/>
    <w:rsid w:val="00AE6ABE"/>
    <w:rsid w:val="00AE6AE3"/>
    <w:rsid w:val="00AE6CA7"/>
    <w:rsid w:val="00AE6F53"/>
    <w:rsid w:val="00AE6F54"/>
    <w:rsid w:val="00AE719F"/>
    <w:rsid w:val="00AE735A"/>
    <w:rsid w:val="00AE7B9E"/>
    <w:rsid w:val="00AE7C45"/>
    <w:rsid w:val="00AE7C4E"/>
    <w:rsid w:val="00AE7CA5"/>
    <w:rsid w:val="00AE7D50"/>
    <w:rsid w:val="00AE7D6E"/>
    <w:rsid w:val="00AE7F29"/>
    <w:rsid w:val="00AE7FD1"/>
    <w:rsid w:val="00AF0043"/>
    <w:rsid w:val="00AF00CD"/>
    <w:rsid w:val="00AF0121"/>
    <w:rsid w:val="00AF0312"/>
    <w:rsid w:val="00AF0512"/>
    <w:rsid w:val="00AF07BE"/>
    <w:rsid w:val="00AF084B"/>
    <w:rsid w:val="00AF094B"/>
    <w:rsid w:val="00AF0C9F"/>
    <w:rsid w:val="00AF0E82"/>
    <w:rsid w:val="00AF1230"/>
    <w:rsid w:val="00AF124C"/>
    <w:rsid w:val="00AF1488"/>
    <w:rsid w:val="00AF14CD"/>
    <w:rsid w:val="00AF15E9"/>
    <w:rsid w:val="00AF1D64"/>
    <w:rsid w:val="00AF223C"/>
    <w:rsid w:val="00AF24CB"/>
    <w:rsid w:val="00AF250C"/>
    <w:rsid w:val="00AF265A"/>
    <w:rsid w:val="00AF289A"/>
    <w:rsid w:val="00AF2D08"/>
    <w:rsid w:val="00AF2D9F"/>
    <w:rsid w:val="00AF2EFF"/>
    <w:rsid w:val="00AF2F89"/>
    <w:rsid w:val="00AF31C8"/>
    <w:rsid w:val="00AF3249"/>
    <w:rsid w:val="00AF3297"/>
    <w:rsid w:val="00AF33E0"/>
    <w:rsid w:val="00AF371B"/>
    <w:rsid w:val="00AF3765"/>
    <w:rsid w:val="00AF3822"/>
    <w:rsid w:val="00AF39F7"/>
    <w:rsid w:val="00AF3C7A"/>
    <w:rsid w:val="00AF3EE3"/>
    <w:rsid w:val="00AF3F2E"/>
    <w:rsid w:val="00AF42AC"/>
    <w:rsid w:val="00AF4339"/>
    <w:rsid w:val="00AF4516"/>
    <w:rsid w:val="00AF4905"/>
    <w:rsid w:val="00AF496F"/>
    <w:rsid w:val="00AF4B73"/>
    <w:rsid w:val="00AF4C43"/>
    <w:rsid w:val="00AF4E06"/>
    <w:rsid w:val="00AF4E86"/>
    <w:rsid w:val="00AF505E"/>
    <w:rsid w:val="00AF5183"/>
    <w:rsid w:val="00AF522A"/>
    <w:rsid w:val="00AF5349"/>
    <w:rsid w:val="00AF53C0"/>
    <w:rsid w:val="00AF557C"/>
    <w:rsid w:val="00AF56DA"/>
    <w:rsid w:val="00AF571F"/>
    <w:rsid w:val="00AF572A"/>
    <w:rsid w:val="00AF57BF"/>
    <w:rsid w:val="00AF5BD4"/>
    <w:rsid w:val="00AF5E92"/>
    <w:rsid w:val="00AF5F49"/>
    <w:rsid w:val="00AF62B8"/>
    <w:rsid w:val="00AF645C"/>
    <w:rsid w:val="00AF6558"/>
    <w:rsid w:val="00AF676B"/>
    <w:rsid w:val="00AF67B8"/>
    <w:rsid w:val="00AF6EA5"/>
    <w:rsid w:val="00AF70C6"/>
    <w:rsid w:val="00AF717C"/>
    <w:rsid w:val="00AF72A3"/>
    <w:rsid w:val="00AF74E2"/>
    <w:rsid w:val="00AF7548"/>
    <w:rsid w:val="00AF755A"/>
    <w:rsid w:val="00AF7647"/>
    <w:rsid w:val="00AF7692"/>
    <w:rsid w:val="00AF7968"/>
    <w:rsid w:val="00AF79F4"/>
    <w:rsid w:val="00AF7B07"/>
    <w:rsid w:val="00AF7B0F"/>
    <w:rsid w:val="00AF7B54"/>
    <w:rsid w:val="00AF7CB3"/>
    <w:rsid w:val="00AF7CD6"/>
    <w:rsid w:val="00AF7D29"/>
    <w:rsid w:val="00AF7E09"/>
    <w:rsid w:val="00AF7E1A"/>
    <w:rsid w:val="00AF7EDC"/>
    <w:rsid w:val="00B0009D"/>
    <w:rsid w:val="00B000F2"/>
    <w:rsid w:val="00B00286"/>
    <w:rsid w:val="00B0028F"/>
    <w:rsid w:val="00B004B4"/>
    <w:rsid w:val="00B00B26"/>
    <w:rsid w:val="00B00C1F"/>
    <w:rsid w:val="00B00CA4"/>
    <w:rsid w:val="00B00D2A"/>
    <w:rsid w:val="00B00D62"/>
    <w:rsid w:val="00B00DA1"/>
    <w:rsid w:val="00B00F0E"/>
    <w:rsid w:val="00B00F0F"/>
    <w:rsid w:val="00B010C6"/>
    <w:rsid w:val="00B01124"/>
    <w:rsid w:val="00B01304"/>
    <w:rsid w:val="00B013AA"/>
    <w:rsid w:val="00B017D4"/>
    <w:rsid w:val="00B01915"/>
    <w:rsid w:val="00B01BD1"/>
    <w:rsid w:val="00B01BE3"/>
    <w:rsid w:val="00B01E8E"/>
    <w:rsid w:val="00B02015"/>
    <w:rsid w:val="00B02447"/>
    <w:rsid w:val="00B0270A"/>
    <w:rsid w:val="00B02911"/>
    <w:rsid w:val="00B02A37"/>
    <w:rsid w:val="00B02D09"/>
    <w:rsid w:val="00B02F21"/>
    <w:rsid w:val="00B02FAA"/>
    <w:rsid w:val="00B030C0"/>
    <w:rsid w:val="00B030DB"/>
    <w:rsid w:val="00B03167"/>
    <w:rsid w:val="00B03185"/>
    <w:rsid w:val="00B03278"/>
    <w:rsid w:val="00B0335E"/>
    <w:rsid w:val="00B035A9"/>
    <w:rsid w:val="00B035BF"/>
    <w:rsid w:val="00B03743"/>
    <w:rsid w:val="00B037FD"/>
    <w:rsid w:val="00B03A93"/>
    <w:rsid w:val="00B03C79"/>
    <w:rsid w:val="00B03F7D"/>
    <w:rsid w:val="00B04072"/>
    <w:rsid w:val="00B04132"/>
    <w:rsid w:val="00B04403"/>
    <w:rsid w:val="00B044A5"/>
    <w:rsid w:val="00B04757"/>
    <w:rsid w:val="00B04B54"/>
    <w:rsid w:val="00B04BD1"/>
    <w:rsid w:val="00B04D81"/>
    <w:rsid w:val="00B05025"/>
    <w:rsid w:val="00B051A3"/>
    <w:rsid w:val="00B0559A"/>
    <w:rsid w:val="00B05BAC"/>
    <w:rsid w:val="00B05CFE"/>
    <w:rsid w:val="00B05DD6"/>
    <w:rsid w:val="00B060DF"/>
    <w:rsid w:val="00B0633C"/>
    <w:rsid w:val="00B0656E"/>
    <w:rsid w:val="00B066C7"/>
    <w:rsid w:val="00B0680E"/>
    <w:rsid w:val="00B068AC"/>
    <w:rsid w:val="00B0692A"/>
    <w:rsid w:val="00B06A20"/>
    <w:rsid w:val="00B06C3B"/>
    <w:rsid w:val="00B06E93"/>
    <w:rsid w:val="00B0705D"/>
    <w:rsid w:val="00B07086"/>
    <w:rsid w:val="00B07365"/>
    <w:rsid w:val="00B07369"/>
    <w:rsid w:val="00B073F2"/>
    <w:rsid w:val="00B074D1"/>
    <w:rsid w:val="00B079E0"/>
    <w:rsid w:val="00B07A69"/>
    <w:rsid w:val="00B07C0D"/>
    <w:rsid w:val="00B07C47"/>
    <w:rsid w:val="00B07F48"/>
    <w:rsid w:val="00B100F2"/>
    <w:rsid w:val="00B10190"/>
    <w:rsid w:val="00B10197"/>
    <w:rsid w:val="00B102DE"/>
    <w:rsid w:val="00B1034A"/>
    <w:rsid w:val="00B10416"/>
    <w:rsid w:val="00B1065E"/>
    <w:rsid w:val="00B10808"/>
    <w:rsid w:val="00B10881"/>
    <w:rsid w:val="00B108D9"/>
    <w:rsid w:val="00B10962"/>
    <w:rsid w:val="00B10993"/>
    <w:rsid w:val="00B10B85"/>
    <w:rsid w:val="00B10C32"/>
    <w:rsid w:val="00B10C50"/>
    <w:rsid w:val="00B10EC3"/>
    <w:rsid w:val="00B10F29"/>
    <w:rsid w:val="00B11141"/>
    <w:rsid w:val="00B111DF"/>
    <w:rsid w:val="00B112A2"/>
    <w:rsid w:val="00B113CB"/>
    <w:rsid w:val="00B11408"/>
    <w:rsid w:val="00B116A7"/>
    <w:rsid w:val="00B1186A"/>
    <w:rsid w:val="00B119E7"/>
    <w:rsid w:val="00B11CBE"/>
    <w:rsid w:val="00B11F9A"/>
    <w:rsid w:val="00B1208E"/>
    <w:rsid w:val="00B1234B"/>
    <w:rsid w:val="00B12530"/>
    <w:rsid w:val="00B12655"/>
    <w:rsid w:val="00B126DA"/>
    <w:rsid w:val="00B1299C"/>
    <w:rsid w:val="00B12AC8"/>
    <w:rsid w:val="00B12B16"/>
    <w:rsid w:val="00B12CA8"/>
    <w:rsid w:val="00B12CCB"/>
    <w:rsid w:val="00B12F94"/>
    <w:rsid w:val="00B12FC1"/>
    <w:rsid w:val="00B1301D"/>
    <w:rsid w:val="00B135CF"/>
    <w:rsid w:val="00B13C23"/>
    <w:rsid w:val="00B13D22"/>
    <w:rsid w:val="00B13DAE"/>
    <w:rsid w:val="00B13E75"/>
    <w:rsid w:val="00B13FE1"/>
    <w:rsid w:val="00B141CC"/>
    <w:rsid w:val="00B142CF"/>
    <w:rsid w:val="00B14381"/>
    <w:rsid w:val="00B14752"/>
    <w:rsid w:val="00B147A1"/>
    <w:rsid w:val="00B148AA"/>
    <w:rsid w:val="00B14DB5"/>
    <w:rsid w:val="00B1502D"/>
    <w:rsid w:val="00B154E2"/>
    <w:rsid w:val="00B1566C"/>
    <w:rsid w:val="00B157E6"/>
    <w:rsid w:val="00B15814"/>
    <w:rsid w:val="00B158B0"/>
    <w:rsid w:val="00B15AFE"/>
    <w:rsid w:val="00B16017"/>
    <w:rsid w:val="00B16328"/>
    <w:rsid w:val="00B163A2"/>
    <w:rsid w:val="00B168A5"/>
    <w:rsid w:val="00B16B09"/>
    <w:rsid w:val="00B16C48"/>
    <w:rsid w:val="00B16D2D"/>
    <w:rsid w:val="00B16DBE"/>
    <w:rsid w:val="00B16E18"/>
    <w:rsid w:val="00B17346"/>
    <w:rsid w:val="00B17377"/>
    <w:rsid w:val="00B173C5"/>
    <w:rsid w:val="00B17910"/>
    <w:rsid w:val="00B1795C"/>
    <w:rsid w:val="00B17D08"/>
    <w:rsid w:val="00B17D5A"/>
    <w:rsid w:val="00B17E05"/>
    <w:rsid w:val="00B17EAB"/>
    <w:rsid w:val="00B17F7A"/>
    <w:rsid w:val="00B200F9"/>
    <w:rsid w:val="00B20133"/>
    <w:rsid w:val="00B20207"/>
    <w:rsid w:val="00B20265"/>
    <w:rsid w:val="00B20569"/>
    <w:rsid w:val="00B205AE"/>
    <w:rsid w:val="00B20636"/>
    <w:rsid w:val="00B2066C"/>
    <w:rsid w:val="00B20787"/>
    <w:rsid w:val="00B20818"/>
    <w:rsid w:val="00B2090A"/>
    <w:rsid w:val="00B20931"/>
    <w:rsid w:val="00B20A83"/>
    <w:rsid w:val="00B20AAA"/>
    <w:rsid w:val="00B20BCB"/>
    <w:rsid w:val="00B2105B"/>
    <w:rsid w:val="00B211B3"/>
    <w:rsid w:val="00B211F3"/>
    <w:rsid w:val="00B21577"/>
    <w:rsid w:val="00B217F4"/>
    <w:rsid w:val="00B21882"/>
    <w:rsid w:val="00B21983"/>
    <w:rsid w:val="00B21C51"/>
    <w:rsid w:val="00B2210A"/>
    <w:rsid w:val="00B2231B"/>
    <w:rsid w:val="00B223DA"/>
    <w:rsid w:val="00B22551"/>
    <w:rsid w:val="00B225B5"/>
    <w:rsid w:val="00B22761"/>
    <w:rsid w:val="00B22802"/>
    <w:rsid w:val="00B22B29"/>
    <w:rsid w:val="00B22BF4"/>
    <w:rsid w:val="00B22BFD"/>
    <w:rsid w:val="00B22CB0"/>
    <w:rsid w:val="00B22D26"/>
    <w:rsid w:val="00B22EBA"/>
    <w:rsid w:val="00B22F83"/>
    <w:rsid w:val="00B2326E"/>
    <w:rsid w:val="00B2330A"/>
    <w:rsid w:val="00B23310"/>
    <w:rsid w:val="00B23315"/>
    <w:rsid w:val="00B2339A"/>
    <w:rsid w:val="00B233A1"/>
    <w:rsid w:val="00B2357C"/>
    <w:rsid w:val="00B235DC"/>
    <w:rsid w:val="00B2360E"/>
    <w:rsid w:val="00B237BC"/>
    <w:rsid w:val="00B23B45"/>
    <w:rsid w:val="00B23CB1"/>
    <w:rsid w:val="00B23CC9"/>
    <w:rsid w:val="00B23E81"/>
    <w:rsid w:val="00B23F3C"/>
    <w:rsid w:val="00B23F49"/>
    <w:rsid w:val="00B23F5C"/>
    <w:rsid w:val="00B23FB2"/>
    <w:rsid w:val="00B2405F"/>
    <w:rsid w:val="00B24066"/>
    <w:rsid w:val="00B24086"/>
    <w:rsid w:val="00B2416F"/>
    <w:rsid w:val="00B24653"/>
    <w:rsid w:val="00B2465D"/>
    <w:rsid w:val="00B2484F"/>
    <w:rsid w:val="00B248CA"/>
    <w:rsid w:val="00B248EF"/>
    <w:rsid w:val="00B24972"/>
    <w:rsid w:val="00B24A4F"/>
    <w:rsid w:val="00B24D6F"/>
    <w:rsid w:val="00B24F66"/>
    <w:rsid w:val="00B24FC6"/>
    <w:rsid w:val="00B250A7"/>
    <w:rsid w:val="00B251AB"/>
    <w:rsid w:val="00B253E1"/>
    <w:rsid w:val="00B253F6"/>
    <w:rsid w:val="00B2540C"/>
    <w:rsid w:val="00B25696"/>
    <w:rsid w:val="00B25781"/>
    <w:rsid w:val="00B25AF1"/>
    <w:rsid w:val="00B25BC1"/>
    <w:rsid w:val="00B25E5A"/>
    <w:rsid w:val="00B25FBA"/>
    <w:rsid w:val="00B260B1"/>
    <w:rsid w:val="00B26392"/>
    <w:rsid w:val="00B265EC"/>
    <w:rsid w:val="00B2671A"/>
    <w:rsid w:val="00B26962"/>
    <w:rsid w:val="00B26C04"/>
    <w:rsid w:val="00B26C83"/>
    <w:rsid w:val="00B26F47"/>
    <w:rsid w:val="00B26FB1"/>
    <w:rsid w:val="00B27283"/>
    <w:rsid w:val="00B2728E"/>
    <w:rsid w:val="00B272B3"/>
    <w:rsid w:val="00B2730E"/>
    <w:rsid w:val="00B2736F"/>
    <w:rsid w:val="00B27409"/>
    <w:rsid w:val="00B27454"/>
    <w:rsid w:val="00B2781C"/>
    <w:rsid w:val="00B27896"/>
    <w:rsid w:val="00B278E5"/>
    <w:rsid w:val="00B27CD4"/>
    <w:rsid w:val="00B27DCD"/>
    <w:rsid w:val="00B301AB"/>
    <w:rsid w:val="00B30283"/>
    <w:rsid w:val="00B30610"/>
    <w:rsid w:val="00B30879"/>
    <w:rsid w:val="00B3097C"/>
    <w:rsid w:val="00B30A87"/>
    <w:rsid w:val="00B30B3B"/>
    <w:rsid w:val="00B310C3"/>
    <w:rsid w:val="00B31124"/>
    <w:rsid w:val="00B3116E"/>
    <w:rsid w:val="00B31195"/>
    <w:rsid w:val="00B3133C"/>
    <w:rsid w:val="00B31453"/>
    <w:rsid w:val="00B3150C"/>
    <w:rsid w:val="00B31732"/>
    <w:rsid w:val="00B31765"/>
    <w:rsid w:val="00B31773"/>
    <w:rsid w:val="00B3189B"/>
    <w:rsid w:val="00B318CF"/>
    <w:rsid w:val="00B3192B"/>
    <w:rsid w:val="00B31A92"/>
    <w:rsid w:val="00B31C9A"/>
    <w:rsid w:val="00B31F10"/>
    <w:rsid w:val="00B31FA7"/>
    <w:rsid w:val="00B32048"/>
    <w:rsid w:val="00B32122"/>
    <w:rsid w:val="00B321F5"/>
    <w:rsid w:val="00B32200"/>
    <w:rsid w:val="00B3222E"/>
    <w:rsid w:val="00B324EF"/>
    <w:rsid w:val="00B32852"/>
    <w:rsid w:val="00B32948"/>
    <w:rsid w:val="00B32991"/>
    <w:rsid w:val="00B329F3"/>
    <w:rsid w:val="00B32BD6"/>
    <w:rsid w:val="00B332F6"/>
    <w:rsid w:val="00B3333B"/>
    <w:rsid w:val="00B333E1"/>
    <w:rsid w:val="00B3341E"/>
    <w:rsid w:val="00B3378E"/>
    <w:rsid w:val="00B3386F"/>
    <w:rsid w:val="00B339A4"/>
    <w:rsid w:val="00B339DF"/>
    <w:rsid w:val="00B33A25"/>
    <w:rsid w:val="00B33B8E"/>
    <w:rsid w:val="00B33BA4"/>
    <w:rsid w:val="00B33BE5"/>
    <w:rsid w:val="00B3411A"/>
    <w:rsid w:val="00B341B8"/>
    <w:rsid w:val="00B34265"/>
    <w:rsid w:val="00B3450A"/>
    <w:rsid w:val="00B3451F"/>
    <w:rsid w:val="00B347EE"/>
    <w:rsid w:val="00B34847"/>
    <w:rsid w:val="00B34A66"/>
    <w:rsid w:val="00B34BEC"/>
    <w:rsid w:val="00B34D3B"/>
    <w:rsid w:val="00B34D97"/>
    <w:rsid w:val="00B350D8"/>
    <w:rsid w:val="00B35313"/>
    <w:rsid w:val="00B3537B"/>
    <w:rsid w:val="00B356EB"/>
    <w:rsid w:val="00B35799"/>
    <w:rsid w:val="00B35862"/>
    <w:rsid w:val="00B359E9"/>
    <w:rsid w:val="00B35B54"/>
    <w:rsid w:val="00B3608F"/>
    <w:rsid w:val="00B3649C"/>
    <w:rsid w:val="00B366AE"/>
    <w:rsid w:val="00B367EC"/>
    <w:rsid w:val="00B368BC"/>
    <w:rsid w:val="00B36A01"/>
    <w:rsid w:val="00B36B77"/>
    <w:rsid w:val="00B36C22"/>
    <w:rsid w:val="00B36C83"/>
    <w:rsid w:val="00B36F43"/>
    <w:rsid w:val="00B36FAC"/>
    <w:rsid w:val="00B37010"/>
    <w:rsid w:val="00B37191"/>
    <w:rsid w:val="00B371CE"/>
    <w:rsid w:val="00B375F7"/>
    <w:rsid w:val="00B37626"/>
    <w:rsid w:val="00B37967"/>
    <w:rsid w:val="00B37A73"/>
    <w:rsid w:val="00B37DCC"/>
    <w:rsid w:val="00B37DF2"/>
    <w:rsid w:val="00B40239"/>
    <w:rsid w:val="00B4061B"/>
    <w:rsid w:val="00B40665"/>
    <w:rsid w:val="00B40771"/>
    <w:rsid w:val="00B40C78"/>
    <w:rsid w:val="00B40E3C"/>
    <w:rsid w:val="00B40EB0"/>
    <w:rsid w:val="00B40FCA"/>
    <w:rsid w:val="00B40FFE"/>
    <w:rsid w:val="00B411DE"/>
    <w:rsid w:val="00B412EA"/>
    <w:rsid w:val="00B4138E"/>
    <w:rsid w:val="00B4150A"/>
    <w:rsid w:val="00B41545"/>
    <w:rsid w:val="00B4167E"/>
    <w:rsid w:val="00B416F4"/>
    <w:rsid w:val="00B41790"/>
    <w:rsid w:val="00B418C8"/>
    <w:rsid w:val="00B41A82"/>
    <w:rsid w:val="00B41A91"/>
    <w:rsid w:val="00B41C9C"/>
    <w:rsid w:val="00B41D3D"/>
    <w:rsid w:val="00B41F96"/>
    <w:rsid w:val="00B4216E"/>
    <w:rsid w:val="00B4228C"/>
    <w:rsid w:val="00B4233B"/>
    <w:rsid w:val="00B42819"/>
    <w:rsid w:val="00B42A5F"/>
    <w:rsid w:val="00B42A68"/>
    <w:rsid w:val="00B42B08"/>
    <w:rsid w:val="00B42B12"/>
    <w:rsid w:val="00B42B9F"/>
    <w:rsid w:val="00B42BE3"/>
    <w:rsid w:val="00B42C21"/>
    <w:rsid w:val="00B42C71"/>
    <w:rsid w:val="00B42E03"/>
    <w:rsid w:val="00B43070"/>
    <w:rsid w:val="00B4308B"/>
    <w:rsid w:val="00B430F4"/>
    <w:rsid w:val="00B43441"/>
    <w:rsid w:val="00B43577"/>
    <w:rsid w:val="00B4358F"/>
    <w:rsid w:val="00B4383C"/>
    <w:rsid w:val="00B43A21"/>
    <w:rsid w:val="00B43C9F"/>
    <w:rsid w:val="00B43F82"/>
    <w:rsid w:val="00B440A7"/>
    <w:rsid w:val="00B445E4"/>
    <w:rsid w:val="00B447AC"/>
    <w:rsid w:val="00B44D10"/>
    <w:rsid w:val="00B4557A"/>
    <w:rsid w:val="00B45860"/>
    <w:rsid w:val="00B459F3"/>
    <w:rsid w:val="00B45D1C"/>
    <w:rsid w:val="00B46410"/>
    <w:rsid w:val="00B465A1"/>
    <w:rsid w:val="00B465CA"/>
    <w:rsid w:val="00B4660B"/>
    <w:rsid w:val="00B4668F"/>
    <w:rsid w:val="00B46750"/>
    <w:rsid w:val="00B46BCE"/>
    <w:rsid w:val="00B46CDE"/>
    <w:rsid w:val="00B46DA5"/>
    <w:rsid w:val="00B46DFB"/>
    <w:rsid w:val="00B46FF9"/>
    <w:rsid w:val="00B47071"/>
    <w:rsid w:val="00B470C8"/>
    <w:rsid w:val="00B4714A"/>
    <w:rsid w:val="00B47158"/>
    <w:rsid w:val="00B47206"/>
    <w:rsid w:val="00B4753C"/>
    <w:rsid w:val="00B476F3"/>
    <w:rsid w:val="00B479C3"/>
    <w:rsid w:val="00B47AC8"/>
    <w:rsid w:val="00B47BF1"/>
    <w:rsid w:val="00B47D1F"/>
    <w:rsid w:val="00B47F10"/>
    <w:rsid w:val="00B5009B"/>
    <w:rsid w:val="00B5022E"/>
    <w:rsid w:val="00B5042B"/>
    <w:rsid w:val="00B5042D"/>
    <w:rsid w:val="00B50667"/>
    <w:rsid w:val="00B50763"/>
    <w:rsid w:val="00B507E3"/>
    <w:rsid w:val="00B5088E"/>
    <w:rsid w:val="00B50990"/>
    <w:rsid w:val="00B50A18"/>
    <w:rsid w:val="00B50A61"/>
    <w:rsid w:val="00B50B25"/>
    <w:rsid w:val="00B50B8E"/>
    <w:rsid w:val="00B50BF9"/>
    <w:rsid w:val="00B50E61"/>
    <w:rsid w:val="00B5114E"/>
    <w:rsid w:val="00B51408"/>
    <w:rsid w:val="00B5157C"/>
    <w:rsid w:val="00B518A3"/>
    <w:rsid w:val="00B51A04"/>
    <w:rsid w:val="00B51C40"/>
    <w:rsid w:val="00B51DB9"/>
    <w:rsid w:val="00B51F9E"/>
    <w:rsid w:val="00B520B0"/>
    <w:rsid w:val="00B5219D"/>
    <w:rsid w:val="00B521DA"/>
    <w:rsid w:val="00B5220F"/>
    <w:rsid w:val="00B523AE"/>
    <w:rsid w:val="00B523C2"/>
    <w:rsid w:val="00B52471"/>
    <w:rsid w:val="00B5255F"/>
    <w:rsid w:val="00B52572"/>
    <w:rsid w:val="00B52717"/>
    <w:rsid w:val="00B52754"/>
    <w:rsid w:val="00B52867"/>
    <w:rsid w:val="00B52AA3"/>
    <w:rsid w:val="00B52AB9"/>
    <w:rsid w:val="00B53061"/>
    <w:rsid w:val="00B53088"/>
    <w:rsid w:val="00B53098"/>
    <w:rsid w:val="00B532BD"/>
    <w:rsid w:val="00B534C1"/>
    <w:rsid w:val="00B536C4"/>
    <w:rsid w:val="00B536D7"/>
    <w:rsid w:val="00B53776"/>
    <w:rsid w:val="00B538A4"/>
    <w:rsid w:val="00B53B50"/>
    <w:rsid w:val="00B53C0A"/>
    <w:rsid w:val="00B53D6B"/>
    <w:rsid w:val="00B53DD5"/>
    <w:rsid w:val="00B53E1A"/>
    <w:rsid w:val="00B53ED9"/>
    <w:rsid w:val="00B53EEA"/>
    <w:rsid w:val="00B53EF7"/>
    <w:rsid w:val="00B5404A"/>
    <w:rsid w:val="00B54365"/>
    <w:rsid w:val="00B543C5"/>
    <w:rsid w:val="00B544C7"/>
    <w:rsid w:val="00B5461C"/>
    <w:rsid w:val="00B54809"/>
    <w:rsid w:val="00B54AE8"/>
    <w:rsid w:val="00B54B5D"/>
    <w:rsid w:val="00B54D2A"/>
    <w:rsid w:val="00B54D9E"/>
    <w:rsid w:val="00B54EF6"/>
    <w:rsid w:val="00B54F30"/>
    <w:rsid w:val="00B54F62"/>
    <w:rsid w:val="00B5514C"/>
    <w:rsid w:val="00B55504"/>
    <w:rsid w:val="00B55527"/>
    <w:rsid w:val="00B55560"/>
    <w:rsid w:val="00B5561D"/>
    <w:rsid w:val="00B5579A"/>
    <w:rsid w:val="00B55911"/>
    <w:rsid w:val="00B55AE2"/>
    <w:rsid w:val="00B55AF4"/>
    <w:rsid w:val="00B55BF6"/>
    <w:rsid w:val="00B55BF9"/>
    <w:rsid w:val="00B55C64"/>
    <w:rsid w:val="00B55CB0"/>
    <w:rsid w:val="00B55CEC"/>
    <w:rsid w:val="00B562F1"/>
    <w:rsid w:val="00B565AD"/>
    <w:rsid w:val="00B5677A"/>
    <w:rsid w:val="00B5678F"/>
    <w:rsid w:val="00B5679E"/>
    <w:rsid w:val="00B567E6"/>
    <w:rsid w:val="00B56A5E"/>
    <w:rsid w:val="00B56B10"/>
    <w:rsid w:val="00B5753B"/>
    <w:rsid w:val="00B576AF"/>
    <w:rsid w:val="00B579A8"/>
    <w:rsid w:val="00B57A24"/>
    <w:rsid w:val="00B57BBD"/>
    <w:rsid w:val="00B60078"/>
    <w:rsid w:val="00B600DF"/>
    <w:rsid w:val="00B6014E"/>
    <w:rsid w:val="00B6029E"/>
    <w:rsid w:val="00B602D8"/>
    <w:rsid w:val="00B606A9"/>
    <w:rsid w:val="00B60DAA"/>
    <w:rsid w:val="00B611CE"/>
    <w:rsid w:val="00B6120D"/>
    <w:rsid w:val="00B61FA2"/>
    <w:rsid w:val="00B61FD1"/>
    <w:rsid w:val="00B626B9"/>
    <w:rsid w:val="00B628C5"/>
    <w:rsid w:val="00B62913"/>
    <w:rsid w:val="00B62A1D"/>
    <w:rsid w:val="00B62BEC"/>
    <w:rsid w:val="00B62C22"/>
    <w:rsid w:val="00B62D2B"/>
    <w:rsid w:val="00B62D4A"/>
    <w:rsid w:val="00B62EBD"/>
    <w:rsid w:val="00B63057"/>
    <w:rsid w:val="00B63135"/>
    <w:rsid w:val="00B632E9"/>
    <w:rsid w:val="00B6333D"/>
    <w:rsid w:val="00B633B6"/>
    <w:rsid w:val="00B633F5"/>
    <w:rsid w:val="00B6341D"/>
    <w:rsid w:val="00B6345C"/>
    <w:rsid w:val="00B635B4"/>
    <w:rsid w:val="00B63688"/>
    <w:rsid w:val="00B636D5"/>
    <w:rsid w:val="00B63734"/>
    <w:rsid w:val="00B63770"/>
    <w:rsid w:val="00B63877"/>
    <w:rsid w:val="00B638B9"/>
    <w:rsid w:val="00B63A3A"/>
    <w:rsid w:val="00B63A88"/>
    <w:rsid w:val="00B63A90"/>
    <w:rsid w:val="00B63C09"/>
    <w:rsid w:val="00B63E0E"/>
    <w:rsid w:val="00B63F1B"/>
    <w:rsid w:val="00B63F85"/>
    <w:rsid w:val="00B64013"/>
    <w:rsid w:val="00B64054"/>
    <w:rsid w:val="00B6443A"/>
    <w:rsid w:val="00B64889"/>
    <w:rsid w:val="00B64AA7"/>
    <w:rsid w:val="00B64BDF"/>
    <w:rsid w:val="00B64C29"/>
    <w:rsid w:val="00B64C40"/>
    <w:rsid w:val="00B64C69"/>
    <w:rsid w:val="00B64C82"/>
    <w:rsid w:val="00B64CEC"/>
    <w:rsid w:val="00B64CFC"/>
    <w:rsid w:val="00B64D86"/>
    <w:rsid w:val="00B64E51"/>
    <w:rsid w:val="00B64EE3"/>
    <w:rsid w:val="00B64F1A"/>
    <w:rsid w:val="00B64F76"/>
    <w:rsid w:val="00B64FF1"/>
    <w:rsid w:val="00B65017"/>
    <w:rsid w:val="00B65397"/>
    <w:rsid w:val="00B654EB"/>
    <w:rsid w:val="00B656B7"/>
    <w:rsid w:val="00B657AF"/>
    <w:rsid w:val="00B657CC"/>
    <w:rsid w:val="00B65883"/>
    <w:rsid w:val="00B65B02"/>
    <w:rsid w:val="00B65B15"/>
    <w:rsid w:val="00B65B3D"/>
    <w:rsid w:val="00B65BA4"/>
    <w:rsid w:val="00B65DCC"/>
    <w:rsid w:val="00B66000"/>
    <w:rsid w:val="00B66033"/>
    <w:rsid w:val="00B6607F"/>
    <w:rsid w:val="00B66102"/>
    <w:rsid w:val="00B6610C"/>
    <w:rsid w:val="00B6611D"/>
    <w:rsid w:val="00B66127"/>
    <w:rsid w:val="00B661D0"/>
    <w:rsid w:val="00B6620E"/>
    <w:rsid w:val="00B66BD9"/>
    <w:rsid w:val="00B66BF2"/>
    <w:rsid w:val="00B66ECE"/>
    <w:rsid w:val="00B6703B"/>
    <w:rsid w:val="00B672B8"/>
    <w:rsid w:val="00B675A6"/>
    <w:rsid w:val="00B677BE"/>
    <w:rsid w:val="00B67AC5"/>
    <w:rsid w:val="00B67AEC"/>
    <w:rsid w:val="00B67D06"/>
    <w:rsid w:val="00B67E14"/>
    <w:rsid w:val="00B7003B"/>
    <w:rsid w:val="00B700B9"/>
    <w:rsid w:val="00B702D5"/>
    <w:rsid w:val="00B703DC"/>
    <w:rsid w:val="00B7054E"/>
    <w:rsid w:val="00B708FB"/>
    <w:rsid w:val="00B709BE"/>
    <w:rsid w:val="00B70BD6"/>
    <w:rsid w:val="00B70D37"/>
    <w:rsid w:val="00B70D3E"/>
    <w:rsid w:val="00B70D67"/>
    <w:rsid w:val="00B70D86"/>
    <w:rsid w:val="00B71160"/>
    <w:rsid w:val="00B711DF"/>
    <w:rsid w:val="00B7145E"/>
    <w:rsid w:val="00B714B4"/>
    <w:rsid w:val="00B71592"/>
    <w:rsid w:val="00B7174A"/>
    <w:rsid w:val="00B7192D"/>
    <w:rsid w:val="00B71CEF"/>
    <w:rsid w:val="00B71D4C"/>
    <w:rsid w:val="00B71E43"/>
    <w:rsid w:val="00B71FFD"/>
    <w:rsid w:val="00B7212A"/>
    <w:rsid w:val="00B7222D"/>
    <w:rsid w:val="00B7269A"/>
    <w:rsid w:val="00B72BA8"/>
    <w:rsid w:val="00B72C77"/>
    <w:rsid w:val="00B72CCC"/>
    <w:rsid w:val="00B732AA"/>
    <w:rsid w:val="00B733CA"/>
    <w:rsid w:val="00B73474"/>
    <w:rsid w:val="00B734F6"/>
    <w:rsid w:val="00B7357C"/>
    <w:rsid w:val="00B7361D"/>
    <w:rsid w:val="00B736F4"/>
    <w:rsid w:val="00B73BBB"/>
    <w:rsid w:val="00B73D55"/>
    <w:rsid w:val="00B73DA4"/>
    <w:rsid w:val="00B73DB7"/>
    <w:rsid w:val="00B74039"/>
    <w:rsid w:val="00B74246"/>
    <w:rsid w:val="00B7425F"/>
    <w:rsid w:val="00B743BD"/>
    <w:rsid w:val="00B74447"/>
    <w:rsid w:val="00B7451E"/>
    <w:rsid w:val="00B7480A"/>
    <w:rsid w:val="00B74813"/>
    <w:rsid w:val="00B74A14"/>
    <w:rsid w:val="00B74ABB"/>
    <w:rsid w:val="00B74B6D"/>
    <w:rsid w:val="00B74C85"/>
    <w:rsid w:val="00B74E5F"/>
    <w:rsid w:val="00B74F1F"/>
    <w:rsid w:val="00B75086"/>
    <w:rsid w:val="00B7518D"/>
    <w:rsid w:val="00B75397"/>
    <w:rsid w:val="00B754AE"/>
    <w:rsid w:val="00B754B7"/>
    <w:rsid w:val="00B7575C"/>
    <w:rsid w:val="00B7580C"/>
    <w:rsid w:val="00B75828"/>
    <w:rsid w:val="00B75DA4"/>
    <w:rsid w:val="00B75DED"/>
    <w:rsid w:val="00B75E52"/>
    <w:rsid w:val="00B75EDF"/>
    <w:rsid w:val="00B75F04"/>
    <w:rsid w:val="00B760B2"/>
    <w:rsid w:val="00B7612B"/>
    <w:rsid w:val="00B761C4"/>
    <w:rsid w:val="00B7640E"/>
    <w:rsid w:val="00B76592"/>
    <w:rsid w:val="00B76622"/>
    <w:rsid w:val="00B76877"/>
    <w:rsid w:val="00B768C3"/>
    <w:rsid w:val="00B76F34"/>
    <w:rsid w:val="00B76F35"/>
    <w:rsid w:val="00B77014"/>
    <w:rsid w:val="00B77099"/>
    <w:rsid w:val="00B77250"/>
    <w:rsid w:val="00B77454"/>
    <w:rsid w:val="00B774C3"/>
    <w:rsid w:val="00B7754D"/>
    <w:rsid w:val="00B776AC"/>
    <w:rsid w:val="00B776B6"/>
    <w:rsid w:val="00B776BD"/>
    <w:rsid w:val="00B77772"/>
    <w:rsid w:val="00B779EC"/>
    <w:rsid w:val="00B77B8D"/>
    <w:rsid w:val="00B77BF2"/>
    <w:rsid w:val="00B77C2E"/>
    <w:rsid w:val="00B77D10"/>
    <w:rsid w:val="00B77E2B"/>
    <w:rsid w:val="00B77FC2"/>
    <w:rsid w:val="00B8003C"/>
    <w:rsid w:val="00B8016D"/>
    <w:rsid w:val="00B8018C"/>
    <w:rsid w:val="00B803F2"/>
    <w:rsid w:val="00B80551"/>
    <w:rsid w:val="00B80B1B"/>
    <w:rsid w:val="00B80BDB"/>
    <w:rsid w:val="00B80D75"/>
    <w:rsid w:val="00B80E18"/>
    <w:rsid w:val="00B81080"/>
    <w:rsid w:val="00B8111B"/>
    <w:rsid w:val="00B811BB"/>
    <w:rsid w:val="00B812C2"/>
    <w:rsid w:val="00B813B6"/>
    <w:rsid w:val="00B813F5"/>
    <w:rsid w:val="00B81507"/>
    <w:rsid w:val="00B81935"/>
    <w:rsid w:val="00B819AF"/>
    <w:rsid w:val="00B819D0"/>
    <w:rsid w:val="00B81B71"/>
    <w:rsid w:val="00B81C0D"/>
    <w:rsid w:val="00B82138"/>
    <w:rsid w:val="00B8247F"/>
    <w:rsid w:val="00B82556"/>
    <w:rsid w:val="00B82BD3"/>
    <w:rsid w:val="00B82ECF"/>
    <w:rsid w:val="00B8315F"/>
    <w:rsid w:val="00B8326E"/>
    <w:rsid w:val="00B832DD"/>
    <w:rsid w:val="00B8335C"/>
    <w:rsid w:val="00B8344D"/>
    <w:rsid w:val="00B837FD"/>
    <w:rsid w:val="00B8398B"/>
    <w:rsid w:val="00B83E86"/>
    <w:rsid w:val="00B83E94"/>
    <w:rsid w:val="00B84146"/>
    <w:rsid w:val="00B843B5"/>
    <w:rsid w:val="00B84432"/>
    <w:rsid w:val="00B84683"/>
    <w:rsid w:val="00B84898"/>
    <w:rsid w:val="00B84AD9"/>
    <w:rsid w:val="00B84BBB"/>
    <w:rsid w:val="00B84D3E"/>
    <w:rsid w:val="00B8511B"/>
    <w:rsid w:val="00B85340"/>
    <w:rsid w:val="00B85925"/>
    <w:rsid w:val="00B859D7"/>
    <w:rsid w:val="00B85C27"/>
    <w:rsid w:val="00B85F2C"/>
    <w:rsid w:val="00B85F9A"/>
    <w:rsid w:val="00B85F9D"/>
    <w:rsid w:val="00B861C3"/>
    <w:rsid w:val="00B861C6"/>
    <w:rsid w:val="00B862D8"/>
    <w:rsid w:val="00B86334"/>
    <w:rsid w:val="00B86499"/>
    <w:rsid w:val="00B86515"/>
    <w:rsid w:val="00B866AD"/>
    <w:rsid w:val="00B86DDE"/>
    <w:rsid w:val="00B86F2B"/>
    <w:rsid w:val="00B86F58"/>
    <w:rsid w:val="00B8711C"/>
    <w:rsid w:val="00B87540"/>
    <w:rsid w:val="00B875F6"/>
    <w:rsid w:val="00B8765C"/>
    <w:rsid w:val="00B876BB"/>
    <w:rsid w:val="00B877CB"/>
    <w:rsid w:val="00B87BB6"/>
    <w:rsid w:val="00B87D28"/>
    <w:rsid w:val="00B87E04"/>
    <w:rsid w:val="00B87E5C"/>
    <w:rsid w:val="00B87F9E"/>
    <w:rsid w:val="00B90001"/>
    <w:rsid w:val="00B90071"/>
    <w:rsid w:val="00B902BA"/>
    <w:rsid w:val="00B906A4"/>
    <w:rsid w:val="00B90723"/>
    <w:rsid w:val="00B90ADA"/>
    <w:rsid w:val="00B90B85"/>
    <w:rsid w:val="00B90CFF"/>
    <w:rsid w:val="00B91235"/>
    <w:rsid w:val="00B91247"/>
    <w:rsid w:val="00B9126D"/>
    <w:rsid w:val="00B913AA"/>
    <w:rsid w:val="00B914CB"/>
    <w:rsid w:val="00B914DD"/>
    <w:rsid w:val="00B91642"/>
    <w:rsid w:val="00B916A1"/>
    <w:rsid w:val="00B91768"/>
    <w:rsid w:val="00B91B6E"/>
    <w:rsid w:val="00B91BD6"/>
    <w:rsid w:val="00B91D51"/>
    <w:rsid w:val="00B91F2A"/>
    <w:rsid w:val="00B91FC9"/>
    <w:rsid w:val="00B92067"/>
    <w:rsid w:val="00B9216A"/>
    <w:rsid w:val="00B92367"/>
    <w:rsid w:val="00B923B0"/>
    <w:rsid w:val="00B923D1"/>
    <w:rsid w:val="00B92811"/>
    <w:rsid w:val="00B92A36"/>
    <w:rsid w:val="00B92B21"/>
    <w:rsid w:val="00B92BA8"/>
    <w:rsid w:val="00B92CF5"/>
    <w:rsid w:val="00B92E3C"/>
    <w:rsid w:val="00B92E96"/>
    <w:rsid w:val="00B9317C"/>
    <w:rsid w:val="00B931E3"/>
    <w:rsid w:val="00B93214"/>
    <w:rsid w:val="00B932B0"/>
    <w:rsid w:val="00B932E7"/>
    <w:rsid w:val="00B93526"/>
    <w:rsid w:val="00B93678"/>
    <w:rsid w:val="00B938CB"/>
    <w:rsid w:val="00B9390B"/>
    <w:rsid w:val="00B9396C"/>
    <w:rsid w:val="00B939D2"/>
    <w:rsid w:val="00B93B9F"/>
    <w:rsid w:val="00B93BA7"/>
    <w:rsid w:val="00B93E27"/>
    <w:rsid w:val="00B9405A"/>
    <w:rsid w:val="00B9422D"/>
    <w:rsid w:val="00B94247"/>
    <w:rsid w:val="00B94313"/>
    <w:rsid w:val="00B94384"/>
    <w:rsid w:val="00B94435"/>
    <w:rsid w:val="00B94681"/>
    <w:rsid w:val="00B94774"/>
    <w:rsid w:val="00B9481D"/>
    <w:rsid w:val="00B948E2"/>
    <w:rsid w:val="00B94959"/>
    <w:rsid w:val="00B94A0E"/>
    <w:rsid w:val="00B94B6F"/>
    <w:rsid w:val="00B94C70"/>
    <w:rsid w:val="00B94CFB"/>
    <w:rsid w:val="00B94DCF"/>
    <w:rsid w:val="00B95047"/>
    <w:rsid w:val="00B950C7"/>
    <w:rsid w:val="00B950D7"/>
    <w:rsid w:val="00B951D5"/>
    <w:rsid w:val="00B951D8"/>
    <w:rsid w:val="00B9539D"/>
    <w:rsid w:val="00B956A9"/>
    <w:rsid w:val="00B95828"/>
    <w:rsid w:val="00B95896"/>
    <w:rsid w:val="00B958A7"/>
    <w:rsid w:val="00B959C5"/>
    <w:rsid w:val="00B95A63"/>
    <w:rsid w:val="00B95BB5"/>
    <w:rsid w:val="00B95EBA"/>
    <w:rsid w:val="00B960BE"/>
    <w:rsid w:val="00B960CE"/>
    <w:rsid w:val="00B96485"/>
    <w:rsid w:val="00B9689C"/>
    <w:rsid w:val="00B968AE"/>
    <w:rsid w:val="00B96C80"/>
    <w:rsid w:val="00B96D1E"/>
    <w:rsid w:val="00B96D39"/>
    <w:rsid w:val="00B97085"/>
    <w:rsid w:val="00B970EF"/>
    <w:rsid w:val="00B973A6"/>
    <w:rsid w:val="00B974B1"/>
    <w:rsid w:val="00B97642"/>
    <w:rsid w:val="00B977F6"/>
    <w:rsid w:val="00B9789F"/>
    <w:rsid w:val="00B979D4"/>
    <w:rsid w:val="00B97A10"/>
    <w:rsid w:val="00B97B8D"/>
    <w:rsid w:val="00B97C62"/>
    <w:rsid w:val="00B97EDF"/>
    <w:rsid w:val="00BA0065"/>
    <w:rsid w:val="00BA01F3"/>
    <w:rsid w:val="00BA0362"/>
    <w:rsid w:val="00BA0391"/>
    <w:rsid w:val="00BA05A2"/>
    <w:rsid w:val="00BA05A9"/>
    <w:rsid w:val="00BA0881"/>
    <w:rsid w:val="00BA0AB8"/>
    <w:rsid w:val="00BA0BB6"/>
    <w:rsid w:val="00BA0C1A"/>
    <w:rsid w:val="00BA0C84"/>
    <w:rsid w:val="00BA12FA"/>
    <w:rsid w:val="00BA136A"/>
    <w:rsid w:val="00BA1593"/>
    <w:rsid w:val="00BA1594"/>
    <w:rsid w:val="00BA1664"/>
    <w:rsid w:val="00BA1AEF"/>
    <w:rsid w:val="00BA1BF5"/>
    <w:rsid w:val="00BA1C07"/>
    <w:rsid w:val="00BA1D21"/>
    <w:rsid w:val="00BA2021"/>
    <w:rsid w:val="00BA2533"/>
    <w:rsid w:val="00BA2584"/>
    <w:rsid w:val="00BA26FE"/>
    <w:rsid w:val="00BA2930"/>
    <w:rsid w:val="00BA2ABB"/>
    <w:rsid w:val="00BA2CA7"/>
    <w:rsid w:val="00BA2D95"/>
    <w:rsid w:val="00BA323F"/>
    <w:rsid w:val="00BA34E8"/>
    <w:rsid w:val="00BA355E"/>
    <w:rsid w:val="00BA3595"/>
    <w:rsid w:val="00BA3997"/>
    <w:rsid w:val="00BA3D8B"/>
    <w:rsid w:val="00BA3DE1"/>
    <w:rsid w:val="00BA3EBF"/>
    <w:rsid w:val="00BA3ED1"/>
    <w:rsid w:val="00BA3EF3"/>
    <w:rsid w:val="00BA40ED"/>
    <w:rsid w:val="00BA40F1"/>
    <w:rsid w:val="00BA4258"/>
    <w:rsid w:val="00BA43B0"/>
    <w:rsid w:val="00BA443F"/>
    <w:rsid w:val="00BA4800"/>
    <w:rsid w:val="00BA4A06"/>
    <w:rsid w:val="00BA4B36"/>
    <w:rsid w:val="00BA4C53"/>
    <w:rsid w:val="00BA4FE1"/>
    <w:rsid w:val="00BA4FFD"/>
    <w:rsid w:val="00BA5110"/>
    <w:rsid w:val="00BA548E"/>
    <w:rsid w:val="00BA5705"/>
    <w:rsid w:val="00BA578F"/>
    <w:rsid w:val="00BA59DD"/>
    <w:rsid w:val="00BA5A30"/>
    <w:rsid w:val="00BA5B99"/>
    <w:rsid w:val="00BA5D8B"/>
    <w:rsid w:val="00BA5E17"/>
    <w:rsid w:val="00BA6325"/>
    <w:rsid w:val="00BA6361"/>
    <w:rsid w:val="00BA658D"/>
    <w:rsid w:val="00BA670B"/>
    <w:rsid w:val="00BA6C7E"/>
    <w:rsid w:val="00BA6D7D"/>
    <w:rsid w:val="00BA6DCB"/>
    <w:rsid w:val="00BA6ED0"/>
    <w:rsid w:val="00BA6ED9"/>
    <w:rsid w:val="00BA7086"/>
    <w:rsid w:val="00BA713C"/>
    <w:rsid w:val="00BA72B7"/>
    <w:rsid w:val="00BA739A"/>
    <w:rsid w:val="00BA752B"/>
    <w:rsid w:val="00BA754D"/>
    <w:rsid w:val="00BA7A3F"/>
    <w:rsid w:val="00BA7A7F"/>
    <w:rsid w:val="00BA7AE1"/>
    <w:rsid w:val="00BA7B7A"/>
    <w:rsid w:val="00BA7BE1"/>
    <w:rsid w:val="00BA7CF0"/>
    <w:rsid w:val="00BA7D5B"/>
    <w:rsid w:val="00BA7F26"/>
    <w:rsid w:val="00BB04EE"/>
    <w:rsid w:val="00BB05EF"/>
    <w:rsid w:val="00BB0EE0"/>
    <w:rsid w:val="00BB0F07"/>
    <w:rsid w:val="00BB1133"/>
    <w:rsid w:val="00BB122C"/>
    <w:rsid w:val="00BB1517"/>
    <w:rsid w:val="00BB1726"/>
    <w:rsid w:val="00BB19DA"/>
    <w:rsid w:val="00BB1AC4"/>
    <w:rsid w:val="00BB1AE7"/>
    <w:rsid w:val="00BB1B01"/>
    <w:rsid w:val="00BB1D59"/>
    <w:rsid w:val="00BB1F61"/>
    <w:rsid w:val="00BB1FEE"/>
    <w:rsid w:val="00BB2035"/>
    <w:rsid w:val="00BB20D0"/>
    <w:rsid w:val="00BB2146"/>
    <w:rsid w:val="00BB2442"/>
    <w:rsid w:val="00BB24EA"/>
    <w:rsid w:val="00BB2552"/>
    <w:rsid w:val="00BB27C9"/>
    <w:rsid w:val="00BB287E"/>
    <w:rsid w:val="00BB2A28"/>
    <w:rsid w:val="00BB2C29"/>
    <w:rsid w:val="00BB2C36"/>
    <w:rsid w:val="00BB2CD4"/>
    <w:rsid w:val="00BB2E1F"/>
    <w:rsid w:val="00BB2EB7"/>
    <w:rsid w:val="00BB30D6"/>
    <w:rsid w:val="00BB30E5"/>
    <w:rsid w:val="00BB30F7"/>
    <w:rsid w:val="00BB35AF"/>
    <w:rsid w:val="00BB365A"/>
    <w:rsid w:val="00BB37F0"/>
    <w:rsid w:val="00BB3860"/>
    <w:rsid w:val="00BB39BD"/>
    <w:rsid w:val="00BB401D"/>
    <w:rsid w:val="00BB4157"/>
    <w:rsid w:val="00BB4177"/>
    <w:rsid w:val="00BB4278"/>
    <w:rsid w:val="00BB428B"/>
    <w:rsid w:val="00BB4402"/>
    <w:rsid w:val="00BB4755"/>
    <w:rsid w:val="00BB481A"/>
    <w:rsid w:val="00BB4A86"/>
    <w:rsid w:val="00BB4B13"/>
    <w:rsid w:val="00BB4DAD"/>
    <w:rsid w:val="00BB51BF"/>
    <w:rsid w:val="00BB51EE"/>
    <w:rsid w:val="00BB5255"/>
    <w:rsid w:val="00BB545C"/>
    <w:rsid w:val="00BB547E"/>
    <w:rsid w:val="00BB54BA"/>
    <w:rsid w:val="00BB557B"/>
    <w:rsid w:val="00BB5593"/>
    <w:rsid w:val="00BB56A2"/>
    <w:rsid w:val="00BB56B0"/>
    <w:rsid w:val="00BB5729"/>
    <w:rsid w:val="00BB581E"/>
    <w:rsid w:val="00BB590D"/>
    <w:rsid w:val="00BB5AC0"/>
    <w:rsid w:val="00BB5B0B"/>
    <w:rsid w:val="00BB5C38"/>
    <w:rsid w:val="00BB5D3E"/>
    <w:rsid w:val="00BB6146"/>
    <w:rsid w:val="00BB61F1"/>
    <w:rsid w:val="00BB6337"/>
    <w:rsid w:val="00BB6355"/>
    <w:rsid w:val="00BB6512"/>
    <w:rsid w:val="00BB65D9"/>
    <w:rsid w:val="00BB670E"/>
    <w:rsid w:val="00BB681C"/>
    <w:rsid w:val="00BB6926"/>
    <w:rsid w:val="00BB6B08"/>
    <w:rsid w:val="00BB6B8D"/>
    <w:rsid w:val="00BB6BDF"/>
    <w:rsid w:val="00BB6BEB"/>
    <w:rsid w:val="00BB6EEF"/>
    <w:rsid w:val="00BB6F95"/>
    <w:rsid w:val="00BB71BB"/>
    <w:rsid w:val="00BB7231"/>
    <w:rsid w:val="00BB7329"/>
    <w:rsid w:val="00BB73D2"/>
    <w:rsid w:val="00BB7494"/>
    <w:rsid w:val="00BB76FF"/>
    <w:rsid w:val="00BB77F2"/>
    <w:rsid w:val="00BB78FB"/>
    <w:rsid w:val="00BB7A16"/>
    <w:rsid w:val="00BB7A39"/>
    <w:rsid w:val="00BB7AFD"/>
    <w:rsid w:val="00BB7C3E"/>
    <w:rsid w:val="00BB7CD6"/>
    <w:rsid w:val="00BB7DD4"/>
    <w:rsid w:val="00BB7E7D"/>
    <w:rsid w:val="00BB7F6E"/>
    <w:rsid w:val="00BC0191"/>
    <w:rsid w:val="00BC0198"/>
    <w:rsid w:val="00BC0298"/>
    <w:rsid w:val="00BC043D"/>
    <w:rsid w:val="00BC0791"/>
    <w:rsid w:val="00BC07DF"/>
    <w:rsid w:val="00BC08CB"/>
    <w:rsid w:val="00BC097C"/>
    <w:rsid w:val="00BC0B60"/>
    <w:rsid w:val="00BC0CA8"/>
    <w:rsid w:val="00BC0D9C"/>
    <w:rsid w:val="00BC0DCF"/>
    <w:rsid w:val="00BC0EE2"/>
    <w:rsid w:val="00BC0F90"/>
    <w:rsid w:val="00BC11D8"/>
    <w:rsid w:val="00BC11F9"/>
    <w:rsid w:val="00BC1385"/>
    <w:rsid w:val="00BC14C2"/>
    <w:rsid w:val="00BC1767"/>
    <w:rsid w:val="00BC19CF"/>
    <w:rsid w:val="00BC1B20"/>
    <w:rsid w:val="00BC1BB4"/>
    <w:rsid w:val="00BC1BD8"/>
    <w:rsid w:val="00BC1C78"/>
    <w:rsid w:val="00BC1D59"/>
    <w:rsid w:val="00BC1E43"/>
    <w:rsid w:val="00BC1EE0"/>
    <w:rsid w:val="00BC1EF7"/>
    <w:rsid w:val="00BC1F30"/>
    <w:rsid w:val="00BC202B"/>
    <w:rsid w:val="00BC239F"/>
    <w:rsid w:val="00BC2414"/>
    <w:rsid w:val="00BC25DC"/>
    <w:rsid w:val="00BC2613"/>
    <w:rsid w:val="00BC284F"/>
    <w:rsid w:val="00BC285D"/>
    <w:rsid w:val="00BC2C89"/>
    <w:rsid w:val="00BC2CF0"/>
    <w:rsid w:val="00BC2D04"/>
    <w:rsid w:val="00BC2E75"/>
    <w:rsid w:val="00BC2FFB"/>
    <w:rsid w:val="00BC30D2"/>
    <w:rsid w:val="00BC344E"/>
    <w:rsid w:val="00BC34CD"/>
    <w:rsid w:val="00BC3651"/>
    <w:rsid w:val="00BC373D"/>
    <w:rsid w:val="00BC37E4"/>
    <w:rsid w:val="00BC3921"/>
    <w:rsid w:val="00BC3D16"/>
    <w:rsid w:val="00BC3E58"/>
    <w:rsid w:val="00BC408A"/>
    <w:rsid w:val="00BC4136"/>
    <w:rsid w:val="00BC4408"/>
    <w:rsid w:val="00BC4513"/>
    <w:rsid w:val="00BC457D"/>
    <w:rsid w:val="00BC4622"/>
    <w:rsid w:val="00BC4857"/>
    <w:rsid w:val="00BC48FA"/>
    <w:rsid w:val="00BC4970"/>
    <w:rsid w:val="00BC49DB"/>
    <w:rsid w:val="00BC49E0"/>
    <w:rsid w:val="00BC4CED"/>
    <w:rsid w:val="00BC4FFD"/>
    <w:rsid w:val="00BC5100"/>
    <w:rsid w:val="00BC54DE"/>
    <w:rsid w:val="00BC55ED"/>
    <w:rsid w:val="00BC5722"/>
    <w:rsid w:val="00BC5728"/>
    <w:rsid w:val="00BC58EA"/>
    <w:rsid w:val="00BC5900"/>
    <w:rsid w:val="00BC59A0"/>
    <w:rsid w:val="00BC5A1A"/>
    <w:rsid w:val="00BC5BDE"/>
    <w:rsid w:val="00BC5C16"/>
    <w:rsid w:val="00BC5C84"/>
    <w:rsid w:val="00BC5F95"/>
    <w:rsid w:val="00BC64AE"/>
    <w:rsid w:val="00BC65EE"/>
    <w:rsid w:val="00BC666F"/>
    <w:rsid w:val="00BC66A9"/>
    <w:rsid w:val="00BC66FC"/>
    <w:rsid w:val="00BC6727"/>
    <w:rsid w:val="00BC675E"/>
    <w:rsid w:val="00BC68EE"/>
    <w:rsid w:val="00BC69F3"/>
    <w:rsid w:val="00BC6C26"/>
    <w:rsid w:val="00BC6C47"/>
    <w:rsid w:val="00BC6D73"/>
    <w:rsid w:val="00BC6F5C"/>
    <w:rsid w:val="00BC6FCF"/>
    <w:rsid w:val="00BC7009"/>
    <w:rsid w:val="00BC7029"/>
    <w:rsid w:val="00BC7063"/>
    <w:rsid w:val="00BC7183"/>
    <w:rsid w:val="00BC7240"/>
    <w:rsid w:val="00BC73F1"/>
    <w:rsid w:val="00BC75C4"/>
    <w:rsid w:val="00BC76A2"/>
    <w:rsid w:val="00BC7720"/>
    <w:rsid w:val="00BC7839"/>
    <w:rsid w:val="00BC7BBE"/>
    <w:rsid w:val="00BC7E3D"/>
    <w:rsid w:val="00BC7EEB"/>
    <w:rsid w:val="00BD0141"/>
    <w:rsid w:val="00BD0167"/>
    <w:rsid w:val="00BD01C1"/>
    <w:rsid w:val="00BD028F"/>
    <w:rsid w:val="00BD08C3"/>
    <w:rsid w:val="00BD0E82"/>
    <w:rsid w:val="00BD0EB1"/>
    <w:rsid w:val="00BD0F03"/>
    <w:rsid w:val="00BD0F4D"/>
    <w:rsid w:val="00BD0F89"/>
    <w:rsid w:val="00BD13F3"/>
    <w:rsid w:val="00BD1543"/>
    <w:rsid w:val="00BD16F7"/>
    <w:rsid w:val="00BD1DBA"/>
    <w:rsid w:val="00BD1FE9"/>
    <w:rsid w:val="00BD1FF1"/>
    <w:rsid w:val="00BD2159"/>
    <w:rsid w:val="00BD21DB"/>
    <w:rsid w:val="00BD2A87"/>
    <w:rsid w:val="00BD2AA5"/>
    <w:rsid w:val="00BD2C3C"/>
    <w:rsid w:val="00BD2DE0"/>
    <w:rsid w:val="00BD2E1F"/>
    <w:rsid w:val="00BD33D0"/>
    <w:rsid w:val="00BD34E4"/>
    <w:rsid w:val="00BD387D"/>
    <w:rsid w:val="00BD3AAF"/>
    <w:rsid w:val="00BD3BC4"/>
    <w:rsid w:val="00BD3C69"/>
    <w:rsid w:val="00BD3CB7"/>
    <w:rsid w:val="00BD3EE2"/>
    <w:rsid w:val="00BD3F82"/>
    <w:rsid w:val="00BD3F83"/>
    <w:rsid w:val="00BD41DD"/>
    <w:rsid w:val="00BD43E1"/>
    <w:rsid w:val="00BD453A"/>
    <w:rsid w:val="00BD468A"/>
    <w:rsid w:val="00BD46A1"/>
    <w:rsid w:val="00BD46E6"/>
    <w:rsid w:val="00BD4740"/>
    <w:rsid w:val="00BD4767"/>
    <w:rsid w:val="00BD47C8"/>
    <w:rsid w:val="00BD47E9"/>
    <w:rsid w:val="00BD48D8"/>
    <w:rsid w:val="00BD4954"/>
    <w:rsid w:val="00BD49E9"/>
    <w:rsid w:val="00BD4B1C"/>
    <w:rsid w:val="00BD4B44"/>
    <w:rsid w:val="00BD4C31"/>
    <w:rsid w:val="00BD4E1A"/>
    <w:rsid w:val="00BD4EB2"/>
    <w:rsid w:val="00BD4F6B"/>
    <w:rsid w:val="00BD5035"/>
    <w:rsid w:val="00BD531D"/>
    <w:rsid w:val="00BD5426"/>
    <w:rsid w:val="00BD54F5"/>
    <w:rsid w:val="00BD554E"/>
    <w:rsid w:val="00BD5698"/>
    <w:rsid w:val="00BD59A9"/>
    <w:rsid w:val="00BD5AFA"/>
    <w:rsid w:val="00BD5C77"/>
    <w:rsid w:val="00BD5C8E"/>
    <w:rsid w:val="00BD5E6D"/>
    <w:rsid w:val="00BD5F5F"/>
    <w:rsid w:val="00BD5F7F"/>
    <w:rsid w:val="00BD6101"/>
    <w:rsid w:val="00BD62F3"/>
    <w:rsid w:val="00BD6540"/>
    <w:rsid w:val="00BD6608"/>
    <w:rsid w:val="00BD6657"/>
    <w:rsid w:val="00BD674C"/>
    <w:rsid w:val="00BD68F4"/>
    <w:rsid w:val="00BD69E9"/>
    <w:rsid w:val="00BD6D13"/>
    <w:rsid w:val="00BD6D76"/>
    <w:rsid w:val="00BD6DDA"/>
    <w:rsid w:val="00BD705C"/>
    <w:rsid w:val="00BD7156"/>
    <w:rsid w:val="00BD7D0E"/>
    <w:rsid w:val="00BD7D19"/>
    <w:rsid w:val="00BD7E81"/>
    <w:rsid w:val="00BD7E8F"/>
    <w:rsid w:val="00BD7F90"/>
    <w:rsid w:val="00BE0077"/>
    <w:rsid w:val="00BE00A4"/>
    <w:rsid w:val="00BE0196"/>
    <w:rsid w:val="00BE01D5"/>
    <w:rsid w:val="00BE0251"/>
    <w:rsid w:val="00BE02E6"/>
    <w:rsid w:val="00BE0609"/>
    <w:rsid w:val="00BE061D"/>
    <w:rsid w:val="00BE0775"/>
    <w:rsid w:val="00BE0FA3"/>
    <w:rsid w:val="00BE11B3"/>
    <w:rsid w:val="00BE1483"/>
    <w:rsid w:val="00BE152F"/>
    <w:rsid w:val="00BE1840"/>
    <w:rsid w:val="00BE1D6B"/>
    <w:rsid w:val="00BE1DA4"/>
    <w:rsid w:val="00BE2365"/>
    <w:rsid w:val="00BE248B"/>
    <w:rsid w:val="00BE259E"/>
    <w:rsid w:val="00BE266E"/>
    <w:rsid w:val="00BE26C5"/>
    <w:rsid w:val="00BE26EE"/>
    <w:rsid w:val="00BE295C"/>
    <w:rsid w:val="00BE2A20"/>
    <w:rsid w:val="00BE2A3C"/>
    <w:rsid w:val="00BE2CAE"/>
    <w:rsid w:val="00BE2CF0"/>
    <w:rsid w:val="00BE2D66"/>
    <w:rsid w:val="00BE2DC5"/>
    <w:rsid w:val="00BE2EE3"/>
    <w:rsid w:val="00BE2F9B"/>
    <w:rsid w:val="00BE345C"/>
    <w:rsid w:val="00BE3545"/>
    <w:rsid w:val="00BE36F3"/>
    <w:rsid w:val="00BE39F2"/>
    <w:rsid w:val="00BE3A1F"/>
    <w:rsid w:val="00BE3D63"/>
    <w:rsid w:val="00BE3DDC"/>
    <w:rsid w:val="00BE3F68"/>
    <w:rsid w:val="00BE402A"/>
    <w:rsid w:val="00BE417A"/>
    <w:rsid w:val="00BE42B0"/>
    <w:rsid w:val="00BE4392"/>
    <w:rsid w:val="00BE446A"/>
    <w:rsid w:val="00BE44ED"/>
    <w:rsid w:val="00BE4683"/>
    <w:rsid w:val="00BE46E3"/>
    <w:rsid w:val="00BE4864"/>
    <w:rsid w:val="00BE4872"/>
    <w:rsid w:val="00BE4DDD"/>
    <w:rsid w:val="00BE500C"/>
    <w:rsid w:val="00BE5357"/>
    <w:rsid w:val="00BE54A5"/>
    <w:rsid w:val="00BE54C1"/>
    <w:rsid w:val="00BE554D"/>
    <w:rsid w:val="00BE58EA"/>
    <w:rsid w:val="00BE595D"/>
    <w:rsid w:val="00BE5B98"/>
    <w:rsid w:val="00BE5DEB"/>
    <w:rsid w:val="00BE5DED"/>
    <w:rsid w:val="00BE5E84"/>
    <w:rsid w:val="00BE5F97"/>
    <w:rsid w:val="00BE60AF"/>
    <w:rsid w:val="00BE6167"/>
    <w:rsid w:val="00BE6193"/>
    <w:rsid w:val="00BE6493"/>
    <w:rsid w:val="00BE6598"/>
    <w:rsid w:val="00BE6708"/>
    <w:rsid w:val="00BE678A"/>
    <w:rsid w:val="00BE6843"/>
    <w:rsid w:val="00BE6935"/>
    <w:rsid w:val="00BE6E6D"/>
    <w:rsid w:val="00BE6FF5"/>
    <w:rsid w:val="00BE7027"/>
    <w:rsid w:val="00BE717A"/>
    <w:rsid w:val="00BE72BD"/>
    <w:rsid w:val="00BE75C8"/>
    <w:rsid w:val="00BE75CA"/>
    <w:rsid w:val="00BE7626"/>
    <w:rsid w:val="00BE7634"/>
    <w:rsid w:val="00BE78DA"/>
    <w:rsid w:val="00BE797D"/>
    <w:rsid w:val="00BE7E2A"/>
    <w:rsid w:val="00BE7F3B"/>
    <w:rsid w:val="00BF05B0"/>
    <w:rsid w:val="00BF0764"/>
    <w:rsid w:val="00BF07CD"/>
    <w:rsid w:val="00BF0A4B"/>
    <w:rsid w:val="00BF0AED"/>
    <w:rsid w:val="00BF0B47"/>
    <w:rsid w:val="00BF0BA4"/>
    <w:rsid w:val="00BF0C0C"/>
    <w:rsid w:val="00BF0CD8"/>
    <w:rsid w:val="00BF0D6E"/>
    <w:rsid w:val="00BF1085"/>
    <w:rsid w:val="00BF1114"/>
    <w:rsid w:val="00BF1116"/>
    <w:rsid w:val="00BF116F"/>
    <w:rsid w:val="00BF13D3"/>
    <w:rsid w:val="00BF150A"/>
    <w:rsid w:val="00BF16AF"/>
    <w:rsid w:val="00BF16B2"/>
    <w:rsid w:val="00BF17C0"/>
    <w:rsid w:val="00BF1AA0"/>
    <w:rsid w:val="00BF1BF4"/>
    <w:rsid w:val="00BF1DBF"/>
    <w:rsid w:val="00BF209F"/>
    <w:rsid w:val="00BF23F3"/>
    <w:rsid w:val="00BF2623"/>
    <w:rsid w:val="00BF287C"/>
    <w:rsid w:val="00BF28E1"/>
    <w:rsid w:val="00BF2B53"/>
    <w:rsid w:val="00BF2BAC"/>
    <w:rsid w:val="00BF2C42"/>
    <w:rsid w:val="00BF2CB7"/>
    <w:rsid w:val="00BF2D8A"/>
    <w:rsid w:val="00BF315F"/>
    <w:rsid w:val="00BF318F"/>
    <w:rsid w:val="00BF31DC"/>
    <w:rsid w:val="00BF3263"/>
    <w:rsid w:val="00BF3391"/>
    <w:rsid w:val="00BF33F5"/>
    <w:rsid w:val="00BF3405"/>
    <w:rsid w:val="00BF343B"/>
    <w:rsid w:val="00BF350D"/>
    <w:rsid w:val="00BF35F7"/>
    <w:rsid w:val="00BF3916"/>
    <w:rsid w:val="00BF3B13"/>
    <w:rsid w:val="00BF3BEF"/>
    <w:rsid w:val="00BF3C1B"/>
    <w:rsid w:val="00BF3C51"/>
    <w:rsid w:val="00BF3CEB"/>
    <w:rsid w:val="00BF3FF4"/>
    <w:rsid w:val="00BF407F"/>
    <w:rsid w:val="00BF42B7"/>
    <w:rsid w:val="00BF4394"/>
    <w:rsid w:val="00BF43A2"/>
    <w:rsid w:val="00BF4407"/>
    <w:rsid w:val="00BF4489"/>
    <w:rsid w:val="00BF44E4"/>
    <w:rsid w:val="00BF47FC"/>
    <w:rsid w:val="00BF4BFF"/>
    <w:rsid w:val="00BF4C70"/>
    <w:rsid w:val="00BF4CBE"/>
    <w:rsid w:val="00BF4D38"/>
    <w:rsid w:val="00BF4FD5"/>
    <w:rsid w:val="00BF509B"/>
    <w:rsid w:val="00BF50D6"/>
    <w:rsid w:val="00BF554A"/>
    <w:rsid w:val="00BF55E5"/>
    <w:rsid w:val="00BF5614"/>
    <w:rsid w:val="00BF56D2"/>
    <w:rsid w:val="00BF5813"/>
    <w:rsid w:val="00BF5900"/>
    <w:rsid w:val="00BF5928"/>
    <w:rsid w:val="00BF5975"/>
    <w:rsid w:val="00BF5999"/>
    <w:rsid w:val="00BF5A7A"/>
    <w:rsid w:val="00BF5B48"/>
    <w:rsid w:val="00BF5B50"/>
    <w:rsid w:val="00BF5CA7"/>
    <w:rsid w:val="00BF5DB7"/>
    <w:rsid w:val="00BF5EB9"/>
    <w:rsid w:val="00BF5ECC"/>
    <w:rsid w:val="00BF5F28"/>
    <w:rsid w:val="00BF5F8C"/>
    <w:rsid w:val="00BF6BCC"/>
    <w:rsid w:val="00BF6DE8"/>
    <w:rsid w:val="00BF6E63"/>
    <w:rsid w:val="00BF7047"/>
    <w:rsid w:val="00BF70C0"/>
    <w:rsid w:val="00BF7134"/>
    <w:rsid w:val="00BF7317"/>
    <w:rsid w:val="00BF73EF"/>
    <w:rsid w:val="00BF745F"/>
    <w:rsid w:val="00BF7482"/>
    <w:rsid w:val="00BF76B5"/>
    <w:rsid w:val="00BF7A9B"/>
    <w:rsid w:val="00BF7C23"/>
    <w:rsid w:val="00BF7DE8"/>
    <w:rsid w:val="00BF7FF5"/>
    <w:rsid w:val="00C00007"/>
    <w:rsid w:val="00C0000E"/>
    <w:rsid w:val="00C00234"/>
    <w:rsid w:val="00C00255"/>
    <w:rsid w:val="00C0043D"/>
    <w:rsid w:val="00C004BC"/>
    <w:rsid w:val="00C00A85"/>
    <w:rsid w:val="00C00ADC"/>
    <w:rsid w:val="00C00D06"/>
    <w:rsid w:val="00C00D80"/>
    <w:rsid w:val="00C00EB6"/>
    <w:rsid w:val="00C00FC8"/>
    <w:rsid w:val="00C0108E"/>
    <w:rsid w:val="00C01094"/>
    <w:rsid w:val="00C01212"/>
    <w:rsid w:val="00C01456"/>
    <w:rsid w:val="00C01632"/>
    <w:rsid w:val="00C01838"/>
    <w:rsid w:val="00C0189B"/>
    <w:rsid w:val="00C01ABD"/>
    <w:rsid w:val="00C01B80"/>
    <w:rsid w:val="00C01CFF"/>
    <w:rsid w:val="00C01D04"/>
    <w:rsid w:val="00C01D1D"/>
    <w:rsid w:val="00C01D5E"/>
    <w:rsid w:val="00C01D6E"/>
    <w:rsid w:val="00C02144"/>
    <w:rsid w:val="00C0218B"/>
    <w:rsid w:val="00C02270"/>
    <w:rsid w:val="00C023A3"/>
    <w:rsid w:val="00C023B5"/>
    <w:rsid w:val="00C024CA"/>
    <w:rsid w:val="00C024D4"/>
    <w:rsid w:val="00C025B0"/>
    <w:rsid w:val="00C025B1"/>
    <w:rsid w:val="00C0267E"/>
    <w:rsid w:val="00C02750"/>
    <w:rsid w:val="00C02A66"/>
    <w:rsid w:val="00C02AFC"/>
    <w:rsid w:val="00C02F5D"/>
    <w:rsid w:val="00C031BE"/>
    <w:rsid w:val="00C0345F"/>
    <w:rsid w:val="00C036DA"/>
    <w:rsid w:val="00C0381B"/>
    <w:rsid w:val="00C038FB"/>
    <w:rsid w:val="00C0390F"/>
    <w:rsid w:val="00C03993"/>
    <w:rsid w:val="00C040C1"/>
    <w:rsid w:val="00C042B7"/>
    <w:rsid w:val="00C042F8"/>
    <w:rsid w:val="00C043B1"/>
    <w:rsid w:val="00C04403"/>
    <w:rsid w:val="00C046F5"/>
    <w:rsid w:val="00C048A8"/>
    <w:rsid w:val="00C04FBF"/>
    <w:rsid w:val="00C050CA"/>
    <w:rsid w:val="00C05107"/>
    <w:rsid w:val="00C051F8"/>
    <w:rsid w:val="00C05302"/>
    <w:rsid w:val="00C05399"/>
    <w:rsid w:val="00C05406"/>
    <w:rsid w:val="00C0580F"/>
    <w:rsid w:val="00C0596F"/>
    <w:rsid w:val="00C05A37"/>
    <w:rsid w:val="00C05AA7"/>
    <w:rsid w:val="00C05B08"/>
    <w:rsid w:val="00C05E19"/>
    <w:rsid w:val="00C05EA0"/>
    <w:rsid w:val="00C05F50"/>
    <w:rsid w:val="00C05F52"/>
    <w:rsid w:val="00C06034"/>
    <w:rsid w:val="00C0618E"/>
    <w:rsid w:val="00C06259"/>
    <w:rsid w:val="00C06291"/>
    <w:rsid w:val="00C064FA"/>
    <w:rsid w:val="00C06679"/>
    <w:rsid w:val="00C0679B"/>
    <w:rsid w:val="00C06C64"/>
    <w:rsid w:val="00C06C79"/>
    <w:rsid w:val="00C06CB6"/>
    <w:rsid w:val="00C06E85"/>
    <w:rsid w:val="00C06FD2"/>
    <w:rsid w:val="00C07050"/>
    <w:rsid w:val="00C07104"/>
    <w:rsid w:val="00C07225"/>
    <w:rsid w:val="00C07266"/>
    <w:rsid w:val="00C07342"/>
    <w:rsid w:val="00C0734B"/>
    <w:rsid w:val="00C07488"/>
    <w:rsid w:val="00C0755F"/>
    <w:rsid w:val="00C0758F"/>
    <w:rsid w:val="00C0760D"/>
    <w:rsid w:val="00C0773A"/>
    <w:rsid w:val="00C078DC"/>
    <w:rsid w:val="00C07BB4"/>
    <w:rsid w:val="00C07BBE"/>
    <w:rsid w:val="00C07BD8"/>
    <w:rsid w:val="00C07C96"/>
    <w:rsid w:val="00C07D71"/>
    <w:rsid w:val="00C07E13"/>
    <w:rsid w:val="00C07F93"/>
    <w:rsid w:val="00C1015D"/>
    <w:rsid w:val="00C10175"/>
    <w:rsid w:val="00C101A6"/>
    <w:rsid w:val="00C10387"/>
    <w:rsid w:val="00C10481"/>
    <w:rsid w:val="00C10715"/>
    <w:rsid w:val="00C107D6"/>
    <w:rsid w:val="00C10A6E"/>
    <w:rsid w:val="00C10CB2"/>
    <w:rsid w:val="00C10CB3"/>
    <w:rsid w:val="00C11028"/>
    <w:rsid w:val="00C1114E"/>
    <w:rsid w:val="00C11198"/>
    <w:rsid w:val="00C11785"/>
    <w:rsid w:val="00C118D9"/>
    <w:rsid w:val="00C1192E"/>
    <w:rsid w:val="00C11933"/>
    <w:rsid w:val="00C11A0B"/>
    <w:rsid w:val="00C11AEE"/>
    <w:rsid w:val="00C11B4F"/>
    <w:rsid w:val="00C11BD1"/>
    <w:rsid w:val="00C11C59"/>
    <w:rsid w:val="00C11D49"/>
    <w:rsid w:val="00C11EAC"/>
    <w:rsid w:val="00C12018"/>
    <w:rsid w:val="00C12021"/>
    <w:rsid w:val="00C12164"/>
    <w:rsid w:val="00C121F5"/>
    <w:rsid w:val="00C123BF"/>
    <w:rsid w:val="00C126AB"/>
    <w:rsid w:val="00C12736"/>
    <w:rsid w:val="00C12825"/>
    <w:rsid w:val="00C129B5"/>
    <w:rsid w:val="00C12AD0"/>
    <w:rsid w:val="00C12D0B"/>
    <w:rsid w:val="00C12E89"/>
    <w:rsid w:val="00C12F90"/>
    <w:rsid w:val="00C131A9"/>
    <w:rsid w:val="00C132F2"/>
    <w:rsid w:val="00C13778"/>
    <w:rsid w:val="00C1384A"/>
    <w:rsid w:val="00C138AE"/>
    <w:rsid w:val="00C13992"/>
    <w:rsid w:val="00C139BB"/>
    <w:rsid w:val="00C13A80"/>
    <w:rsid w:val="00C13E3E"/>
    <w:rsid w:val="00C13FA3"/>
    <w:rsid w:val="00C14177"/>
    <w:rsid w:val="00C141C5"/>
    <w:rsid w:val="00C143D5"/>
    <w:rsid w:val="00C144AC"/>
    <w:rsid w:val="00C14516"/>
    <w:rsid w:val="00C14578"/>
    <w:rsid w:val="00C1500E"/>
    <w:rsid w:val="00C15700"/>
    <w:rsid w:val="00C15891"/>
    <w:rsid w:val="00C15A29"/>
    <w:rsid w:val="00C15B7E"/>
    <w:rsid w:val="00C15D5B"/>
    <w:rsid w:val="00C15D6F"/>
    <w:rsid w:val="00C15DF4"/>
    <w:rsid w:val="00C15E6E"/>
    <w:rsid w:val="00C15F30"/>
    <w:rsid w:val="00C1602D"/>
    <w:rsid w:val="00C16187"/>
    <w:rsid w:val="00C161C7"/>
    <w:rsid w:val="00C161D5"/>
    <w:rsid w:val="00C161F0"/>
    <w:rsid w:val="00C16309"/>
    <w:rsid w:val="00C163AB"/>
    <w:rsid w:val="00C16511"/>
    <w:rsid w:val="00C16770"/>
    <w:rsid w:val="00C16903"/>
    <w:rsid w:val="00C16A73"/>
    <w:rsid w:val="00C16A90"/>
    <w:rsid w:val="00C16B84"/>
    <w:rsid w:val="00C16B91"/>
    <w:rsid w:val="00C16E13"/>
    <w:rsid w:val="00C16ECC"/>
    <w:rsid w:val="00C170D0"/>
    <w:rsid w:val="00C17111"/>
    <w:rsid w:val="00C17217"/>
    <w:rsid w:val="00C172B3"/>
    <w:rsid w:val="00C173E6"/>
    <w:rsid w:val="00C1777D"/>
    <w:rsid w:val="00C178DF"/>
    <w:rsid w:val="00C1790B"/>
    <w:rsid w:val="00C17ABA"/>
    <w:rsid w:val="00C20516"/>
    <w:rsid w:val="00C2054C"/>
    <w:rsid w:val="00C20588"/>
    <w:rsid w:val="00C20858"/>
    <w:rsid w:val="00C20A28"/>
    <w:rsid w:val="00C20B14"/>
    <w:rsid w:val="00C20B22"/>
    <w:rsid w:val="00C20C1D"/>
    <w:rsid w:val="00C20C82"/>
    <w:rsid w:val="00C20C86"/>
    <w:rsid w:val="00C20CBA"/>
    <w:rsid w:val="00C20CDA"/>
    <w:rsid w:val="00C20CF2"/>
    <w:rsid w:val="00C20F33"/>
    <w:rsid w:val="00C20F82"/>
    <w:rsid w:val="00C2121A"/>
    <w:rsid w:val="00C2160F"/>
    <w:rsid w:val="00C216A9"/>
    <w:rsid w:val="00C217AD"/>
    <w:rsid w:val="00C2191C"/>
    <w:rsid w:val="00C21A26"/>
    <w:rsid w:val="00C21B68"/>
    <w:rsid w:val="00C21C2C"/>
    <w:rsid w:val="00C21CCD"/>
    <w:rsid w:val="00C21EA8"/>
    <w:rsid w:val="00C21EB4"/>
    <w:rsid w:val="00C2232D"/>
    <w:rsid w:val="00C22410"/>
    <w:rsid w:val="00C224DF"/>
    <w:rsid w:val="00C22A80"/>
    <w:rsid w:val="00C22A9F"/>
    <w:rsid w:val="00C22CEC"/>
    <w:rsid w:val="00C22E82"/>
    <w:rsid w:val="00C22E8E"/>
    <w:rsid w:val="00C22FDA"/>
    <w:rsid w:val="00C23057"/>
    <w:rsid w:val="00C23251"/>
    <w:rsid w:val="00C236C2"/>
    <w:rsid w:val="00C236EE"/>
    <w:rsid w:val="00C2389A"/>
    <w:rsid w:val="00C23A60"/>
    <w:rsid w:val="00C2403A"/>
    <w:rsid w:val="00C240B3"/>
    <w:rsid w:val="00C240F5"/>
    <w:rsid w:val="00C24362"/>
    <w:rsid w:val="00C24661"/>
    <w:rsid w:val="00C24909"/>
    <w:rsid w:val="00C24E5A"/>
    <w:rsid w:val="00C24FB1"/>
    <w:rsid w:val="00C2502A"/>
    <w:rsid w:val="00C250D1"/>
    <w:rsid w:val="00C25250"/>
    <w:rsid w:val="00C25443"/>
    <w:rsid w:val="00C25482"/>
    <w:rsid w:val="00C254F9"/>
    <w:rsid w:val="00C25564"/>
    <w:rsid w:val="00C258A5"/>
    <w:rsid w:val="00C25935"/>
    <w:rsid w:val="00C25A4A"/>
    <w:rsid w:val="00C25CCE"/>
    <w:rsid w:val="00C25CDE"/>
    <w:rsid w:val="00C25DA3"/>
    <w:rsid w:val="00C25FDC"/>
    <w:rsid w:val="00C26072"/>
    <w:rsid w:val="00C26241"/>
    <w:rsid w:val="00C262B4"/>
    <w:rsid w:val="00C26397"/>
    <w:rsid w:val="00C264FD"/>
    <w:rsid w:val="00C26565"/>
    <w:rsid w:val="00C266EA"/>
    <w:rsid w:val="00C267E0"/>
    <w:rsid w:val="00C2687E"/>
    <w:rsid w:val="00C268E3"/>
    <w:rsid w:val="00C26B30"/>
    <w:rsid w:val="00C26C4B"/>
    <w:rsid w:val="00C26D70"/>
    <w:rsid w:val="00C26D92"/>
    <w:rsid w:val="00C26DBD"/>
    <w:rsid w:val="00C27007"/>
    <w:rsid w:val="00C27039"/>
    <w:rsid w:val="00C2722D"/>
    <w:rsid w:val="00C27328"/>
    <w:rsid w:val="00C2746C"/>
    <w:rsid w:val="00C275D5"/>
    <w:rsid w:val="00C2765D"/>
    <w:rsid w:val="00C276D9"/>
    <w:rsid w:val="00C2770F"/>
    <w:rsid w:val="00C2781F"/>
    <w:rsid w:val="00C27846"/>
    <w:rsid w:val="00C27AE3"/>
    <w:rsid w:val="00C27C0F"/>
    <w:rsid w:val="00C27C18"/>
    <w:rsid w:val="00C27CE6"/>
    <w:rsid w:val="00C3004F"/>
    <w:rsid w:val="00C30193"/>
    <w:rsid w:val="00C3048A"/>
    <w:rsid w:val="00C30502"/>
    <w:rsid w:val="00C30743"/>
    <w:rsid w:val="00C30826"/>
    <w:rsid w:val="00C30AAD"/>
    <w:rsid w:val="00C30D76"/>
    <w:rsid w:val="00C31107"/>
    <w:rsid w:val="00C31167"/>
    <w:rsid w:val="00C31251"/>
    <w:rsid w:val="00C31319"/>
    <w:rsid w:val="00C314C2"/>
    <w:rsid w:val="00C31571"/>
    <w:rsid w:val="00C3163E"/>
    <w:rsid w:val="00C3172B"/>
    <w:rsid w:val="00C31840"/>
    <w:rsid w:val="00C31856"/>
    <w:rsid w:val="00C319C6"/>
    <w:rsid w:val="00C31AE9"/>
    <w:rsid w:val="00C31D85"/>
    <w:rsid w:val="00C31DAB"/>
    <w:rsid w:val="00C31E16"/>
    <w:rsid w:val="00C31E2F"/>
    <w:rsid w:val="00C31E88"/>
    <w:rsid w:val="00C31EA7"/>
    <w:rsid w:val="00C32020"/>
    <w:rsid w:val="00C3204B"/>
    <w:rsid w:val="00C3237B"/>
    <w:rsid w:val="00C3238B"/>
    <w:rsid w:val="00C32397"/>
    <w:rsid w:val="00C32476"/>
    <w:rsid w:val="00C326B5"/>
    <w:rsid w:val="00C32840"/>
    <w:rsid w:val="00C329D0"/>
    <w:rsid w:val="00C32B47"/>
    <w:rsid w:val="00C32D82"/>
    <w:rsid w:val="00C32DA6"/>
    <w:rsid w:val="00C32F61"/>
    <w:rsid w:val="00C32FB2"/>
    <w:rsid w:val="00C33066"/>
    <w:rsid w:val="00C33314"/>
    <w:rsid w:val="00C334AB"/>
    <w:rsid w:val="00C334BF"/>
    <w:rsid w:val="00C335C3"/>
    <w:rsid w:val="00C33600"/>
    <w:rsid w:val="00C33808"/>
    <w:rsid w:val="00C339AC"/>
    <w:rsid w:val="00C33BEB"/>
    <w:rsid w:val="00C33C57"/>
    <w:rsid w:val="00C33E02"/>
    <w:rsid w:val="00C341AF"/>
    <w:rsid w:val="00C341C2"/>
    <w:rsid w:val="00C342D1"/>
    <w:rsid w:val="00C34374"/>
    <w:rsid w:val="00C345D5"/>
    <w:rsid w:val="00C347A6"/>
    <w:rsid w:val="00C3480B"/>
    <w:rsid w:val="00C348CA"/>
    <w:rsid w:val="00C34A9F"/>
    <w:rsid w:val="00C34B24"/>
    <w:rsid w:val="00C34C43"/>
    <w:rsid w:val="00C34F3C"/>
    <w:rsid w:val="00C351F5"/>
    <w:rsid w:val="00C353D2"/>
    <w:rsid w:val="00C357BC"/>
    <w:rsid w:val="00C3584D"/>
    <w:rsid w:val="00C35A29"/>
    <w:rsid w:val="00C35B41"/>
    <w:rsid w:val="00C35B49"/>
    <w:rsid w:val="00C35BA1"/>
    <w:rsid w:val="00C35E02"/>
    <w:rsid w:val="00C35E45"/>
    <w:rsid w:val="00C35E80"/>
    <w:rsid w:val="00C35F9F"/>
    <w:rsid w:val="00C35FC8"/>
    <w:rsid w:val="00C3608A"/>
    <w:rsid w:val="00C362F9"/>
    <w:rsid w:val="00C3634E"/>
    <w:rsid w:val="00C36669"/>
    <w:rsid w:val="00C367C2"/>
    <w:rsid w:val="00C36843"/>
    <w:rsid w:val="00C36DA9"/>
    <w:rsid w:val="00C36FA7"/>
    <w:rsid w:val="00C371C3"/>
    <w:rsid w:val="00C371DC"/>
    <w:rsid w:val="00C371E3"/>
    <w:rsid w:val="00C371EE"/>
    <w:rsid w:val="00C37393"/>
    <w:rsid w:val="00C373D1"/>
    <w:rsid w:val="00C374BC"/>
    <w:rsid w:val="00C37626"/>
    <w:rsid w:val="00C3768C"/>
    <w:rsid w:val="00C376D5"/>
    <w:rsid w:val="00C37A57"/>
    <w:rsid w:val="00C37A9B"/>
    <w:rsid w:val="00C37B0D"/>
    <w:rsid w:val="00C37D8C"/>
    <w:rsid w:val="00C37DA5"/>
    <w:rsid w:val="00C4030A"/>
    <w:rsid w:val="00C403D0"/>
    <w:rsid w:val="00C40589"/>
    <w:rsid w:val="00C406A3"/>
    <w:rsid w:val="00C407FA"/>
    <w:rsid w:val="00C408E3"/>
    <w:rsid w:val="00C40A4D"/>
    <w:rsid w:val="00C40A6F"/>
    <w:rsid w:val="00C40BC4"/>
    <w:rsid w:val="00C40CF5"/>
    <w:rsid w:val="00C40D52"/>
    <w:rsid w:val="00C410E4"/>
    <w:rsid w:val="00C41383"/>
    <w:rsid w:val="00C413AC"/>
    <w:rsid w:val="00C4160E"/>
    <w:rsid w:val="00C41942"/>
    <w:rsid w:val="00C419E0"/>
    <w:rsid w:val="00C41B52"/>
    <w:rsid w:val="00C41CB6"/>
    <w:rsid w:val="00C41D93"/>
    <w:rsid w:val="00C41D9E"/>
    <w:rsid w:val="00C41E3B"/>
    <w:rsid w:val="00C41E5F"/>
    <w:rsid w:val="00C41F42"/>
    <w:rsid w:val="00C42132"/>
    <w:rsid w:val="00C422D1"/>
    <w:rsid w:val="00C42329"/>
    <w:rsid w:val="00C42430"/>
    <w:rsid w:val="00C424D4"/>
    <w:rsid w:val="00C4253C"/>
    <w:rsid w:val="00C42579"/>
    <w:rsid w:val="00C42602"/>
    <w:rsid w:val="00C4261F"/>
    <w:rsid w:val="00C426EE"/>
    <w:rsid w:val="00C4298D"/>
    <w:rsid w:val="00C42C4A"/>
    <w:rsid w:val="00C42C4E"/>
    <w:rsid w:val="00C42EDE"/>
    <w:rsid w:val="00C430C3"/>
    <w:rsid w:val="00C431BC"/>
    <w:rsid w:val="00C43273"/>
    <w:rsid w:val="00C432AB"/>
    <w:rsid w:val="00C434EF"/>
    <w:rsid w:val="00C4353A"/>
    <w:rsid w:val="00C435CF"/>
    <w:rsid w:val="00C436C2"/>
    <w:rsid w:val="00C436DA"/>
    <w:rsid w:val="00C438DC"/>
    <w:rsid w:val="00C43C4B"/>
    <w:rsid w:val="00C43E50"/>
    <w:rsid w:val="00C4419F"/>
    <w:rsid w:val="00C443AC"/>
    <w:rsid w:val="00C4442F"/>
    <w:rsid w:val="00C44619"/>
    <w:rsid w:val="00C44A9C"/>
    <w:rsid w:val="00C44B6A"/>
    <w:rsid w:val="00C44BAA"/>
    <w:rsid w:val="00C44BE1"/>
    <w:rsid w:val="00C44D45"/>
    <w:rsid w:val="00C44E23"/>
    <w:rsid w:val="00C44F87"/>
    <w:rsid w:val="00C4526D"/>
    <w:rsid w:val="00C45519"/>
    <w:rsid w:val="00C455A9"/>
    <w:rsid w:val="00C45AEA"/>
    <w:rsid w:val="00C460E9"/>
    <w:rsid w:val="00C46147"/>
    <w:rsid w:val="00C4617E"/>
    <w:rsid w:val="00C461B0"/>
    <w:rsid w:val="00C46381"/>
    <w:rsid w:val="00C46619"/>
    <w:rsid w:val="00C466AA"/>
    <w:rsid w:val="00C4673B"/>
    <w:rsid w:val="00C4697C"/>
    <w:rsid w:val="00C46981"/>
    <w:rsid w:val="00C46B13"/>
    <w:rsid w:val="00C46BAA"/>
    <w:rsid w:val="00C46BD2"/>
    <w:rsid w:val="00C46E16"/>
    <w:rsid w:val="00C4706C"/>
    <w:rsid w:val="00C47314"/>
    <w:rsid w:val="00C47392"/>
    <w:rsid w:val="00C477AA"/>
    <w:rsid w:val="00C477B4"/>
    <w:rsid w:val="00C4786B"/>
    <w:rsid w:val="00C47AAF"/>
    <w:rsid w:val="00C47C06"/>
    <w:rsid w:val="00C47E0A"/>
    <w:rsid w:val="00C5001E"/>
    <w:rsid w:val="00C50062"/>
    <w:rsid w:val="00C50235"/>
    <w:rsid w:val="00C50273"/>
    <w:rsid w:val="00C5027D"/>
    <w:rsid w:val="00C502C7"/>
    <w:rsid w:val="00C50599"/>
    <w:rsid w:val="00C50674"/>
    <w:rsid w:val="00C50812"/>
    <w:rsid w:val="00C508AA"/>
    <w:rsid w:val="00C508B0"/>
    <w:rsid w:val="00C50C1E"/>
    <w:rsid w:val="00C50C3C"/>
    <w:rsid w:val="00C50CC2"/>
    <w:rsid w:val="00C50F60"/>
    <w:rsid w:val="00C50FF1"/>
    <w:rsid w:val="00C51161"/>
    <w:rsid w:val="00C5119F"/>
    <w:rsid w:val="00C511F4"/>
    <w:rsid w:val="00C513A2"/>
    <w:rsid w:val="00C513FB"/>
    <w:rsid w:val="00C514A5"/>
    <w:rsid w:val="00C515C2"/>
    <w:rsid w:val="00C515DF"/>
    <w:rsid w:val="00C51668"/>
    <w:rsid w:val="00C517E6"/>
    <w:rsid w:val="00C51979"/>
    <w:rsid w:val="00C51B0A"/>
    <w:rsid w:val="00C51EAA"/>
    <w:rsid w:val="00C51FC0"/>
    <w:rsid w:val="00C52052"/>
    <w:rsid w:val="00C52078"/>
    <w:rsid w:val="00C5208B"/>
    <w:rsid w:val="00C5216A"/>
    <w:rsid w:val="00C5243E"/>
    <w:rsid w:val="00C5249C"/>
    <w:rsid w:val="00C52579"/>
    <w:rsid w:val="00C5268B"/>
    <w:rsid w:val="00C5295B"/>
    <w:rsid w:val="00C529BE"/>
    <w:rsid w:val="00C52A69"/>
    <w:rsid w:val="00C52CBA"/>
    <w:rsid w:val="00C52E38"/>
    <w:rsid w:val="00C52E75"/>
    <w:rsid w:val="00C53498"/>
    <w:rsid w:val="00C5363D"/>
    <w:rsid w:val="00C53657"/>
    <w:rsid w:val="00C53751"/>
    <w:rsid w:val="00C5385D"/>
    <w:rsid w:val="00C53A07"/>
    <w:rsid w:val="00C53B7A"/>
    <w:rsid w:val="00C53C84"/>
    <w:rsid w:val="00C53CF9"/>
    <w:rsid w:val="00C53DE1"/>
    <w:rsid w:val="00C5415E"/>
    <w:rsid w:val="00C541D3"/>
    <w:rsid w:val="00C541E1"/>
    <w:rsid w:val="00C54261"/>
    <w:rsid w:val="00C542CD"/>
    <w:rsid w:val="00C543A3"/>
    <w:rsid w:val="00C54751"/>
    <w:rsid w:val="00C547A9"/>
    <w:rsid w:val="00C54A5C"/>
    <w:rsid w:val="00C54ACC"/>
    <w:rsid w:val="00C54C95"/>
    <w:rsid w:val="00C54D58"/>
    <w:rsid w:val="00C54E96"/>
    <w:rsid w:val="00C55732"/>
    <w:rsid w:val="00C559C1"/>
    <w:rsid w:val="00C55A1F"/>
    <w:rsid w:val="00C55B45"/>
    <w:rsid w:val="00C55C2E"/>
    <w:rsid w:val="00C55D03"/>
    <w:rsid w:val="00C55D1B"/>
    <w:rsid w:val="00C55E3B"/>
    <w:rsid w:val="00C55E4D"/>
    <w:rsid w:val="00C56034"/>
    <w:rsid w:val="00C56075"/>
    <w:rsid w:val="00C5614A"/>
    <w:rsid w:val="00C56225"/>
    <w:rsid w:val="00C56300"/>
    <w:rsid w:val="00C563CF"/>
    <w:rsid w:val="00C563F6"/>
    <w:rsid w:val="00C564DC"/>
    <w:rsid w:val="00C5653C"/>
    <w:rsid w:val="00C5678B"/>
    <w:rsid w:val="00C56860"/>
    <w:rsid w:val="00C568CD"/>
    <w:rsid w:val="00C56916"/>
    <w:rsid w:val="00C56953"/>
    <w:rsid w:val="00C569D1"/>
    <w:rsid w:val="00C56A1B"/>
    <w:rsid w:val="00C56A74"/>
    <w:rsid w:val="00C56DB0"/>
    <w:rsid w:val="00C56DB6"/>
    <w:rsid w:val="00C56F7E"/>
    <w:rsid w:val="00C57143"/>
    <w:rsid w:val="00C572EE"/>
    <w:rsid w:val="00C5755E"/>
    <w:rsid w:val="00C57679"/>
    <w:rsid w:val="00C57737"/>
    <w:rsid w:val="00C57808"/>
    <w:rsid w:val="00C578DE"/>
    <w:rsid w:val="00C579AD"/>
    <w:rsid w:val="00C57C0E"/>
    <w:rsid w:val="00C57DB1"/>
    <w:rsid w:val="00C57E2A"/>
    <w:rsid w:val="00C57E9E"/>
    <w:rsid w:val="00C57F39"/>
    <w:rsid w:val="00C57F72"/>
    <w:rsid w:val="00C600D9"/>
    <w:rsid w:val="00C60611"/>
    <w:rsid w:val="00C608DF"/>
    <w:rsid w:val="00C608E1"/>
    <w:rsid w:val="00C60904"/>
    <w:rsid w:val="00C60A1F"/>
    <w:rsid w:val="00C60A35"/>
    <w:rsid w:val="00C60B7A"/>
    <w:rsid w:val="00C60BA5"/>
    <w:rsid w:val="00C60C58"/>
    <w:rsid w:val="00C60D27"/>
    <w:rsid w:val="00C60D51"/>
    <w:rsid w:val="00C60FF3"/>
    <w:rsid w:val="00C610A2"/>
    <w:rsid w:val="00C61116"/>
    <w:rsid w:val="00C61133"/>
    <w:rsid w:val="00C61288"/>
    <w:rsid w:val="00C6151A"/>
    <w:rsid w:val="00C615D4"/>
    <w:rsid w:val="00C61832"/>
    <w:rsid w:val="00C61BA9"/>
    <w:rsid w:val="00C61C05"/>
    <w:rsid w:val="00C61D31"/>
    <w:rsid w:val="00C62002"/>
    <w:rsid w:val="00C627F5"/>
    <w:rsid w:val="00C62B4F"/>
    <w:rsid w:val="00C62B9A"/>
    <w:rsid w:val="00C62D39"/>
    <w:rsid w:val="00C62D65"/>
    <w:rsid w:val="00C62E79"/>
    <w:rsid w:val="00C630AD"/>
    <w:rsid w:val="00C6325D"/>
    <w:rsid w:val="00C6327B"/>
    <w:rsid w:val="00C6394A"/>
    <w:rsid w:val="00C63A20"/>
    <w:rsid w:val="00C63A2A"/>
    <w:rsid w:val="00C63C58"/>
    <w:rsid w:val="00C63C69"/>
    <w:rsid w:val="00C63C78"/>
    <w:rsid w:val="00C63E1C"/>
    <w:rsid w:val="00C63E7D"/>
    <w:rsid w:val="00C6405A"/>
    <w:rsid w:val="00C640A5"/>
    <w:rsid w:val="00C6423C"/>
    <w:rsid w:val="00C64305"/>
    <w:rsid w:val="00C64373"/>
    <w:rsid w:val="00C6485B"/>
    <w:rsid w:val="00C649AC"/>
    <w:rsid w:val="00C649BD"/>
    <w:rsid w:val="00C64C6D"/>
    <w:rsid w:val="00C64CE2"/>
    <w:rsid w:val="00C6535C"/>
    <w:rsid w:val="00C6592D"/>
    <w:rsid w:val="00C65975"/>
    <w:rsid w:val="00C65BC6"/>
    <w:rsid w:val="00C65D1B"/>
    <w:rsid w:val="00C65E39"/>
    <w:rsid w:val="00C65EBF"/>
    <w:rsid w:val="00C6636B"/>
    <w:rsid w:val="00C66596"/>
    <w:rsid w:val="00C66822"/>
    <w:rsid w:val="00C66BD7"/>
    <w:rsid w:val="00C66DB4"/>
    <w:rsid w:val="00C67123"/>
    <w:rsid w:val="00C67370"/>
    <w:rsid w:val="00C673F9"/>
    <w:rsid w:val="00C6781F"/>
    <w:rsid w:val="00C6789B"/>
    <w:rsid w:val="00C678FC"/>
    <w:rsid w:val="00C679BD"/>
    <w:rsid w:val="00C67E1B"/>
    <w:rsid w:val="00C67ED3"/>
    <w:rsid w:val="00C701A9"/>
    <w:rsid w:val="00C701B6"/>
    <w:rsid w:val="00C7022D"/>
    <w:rsid w:val="00C70263"/>
    <w:rsid w:val="00C703D7"/>
    <w:rsid w:val="00C7084F"/>
    <w:rsid w:val="00C7090F"/>
    <w:rsid w:val="00C70AE4"/>
    <w:rsid w:val="00C7106F"/>
    <w:rsid w:val="00C712F2"/>
    <w:rsid w:val="00C71358"/>
    <w:rsid w:val="00C713E0"/>
    <w:rsid w:val="00C71650"/>
    <w:rsid w:val="00C716F8"/>
    <w:rsid w:val="00C7172B"/>
    <w:rsid w:val="00C7198A"/>
    <w:rsid w:val="00C71B05"/>
    <w:rsid w:val="00C71D13"/>
    <w:rsid w:val="00C71E4F"/>
    <w:rsid w:val="00C720B6"/>
    <w:rsid w:val="00C721AD"/>
    <w:rsid w:val="00C722DB"/>
    <w:rsid w:val="00C72959"/>
    <w:rsid w:val="00C72B80"/>
    <w:rsid w:val="00C72CFC"/>
    <w:rsid w:val="00C72D76"/>
    <w:rsid w:val="00C72F4F"/>
    <w:rsid w:val="00C732CE"/>
    <w:rsid w:val="00C7355C"/>
    <w:rsid w:val="00C7374C"/>
    <w:rsid w:val="00C73945"/>
    <w:rsid w:val="00C73985"/>
    <w:rsid w:val="00C73AF9"/>
    <w:rsid w:val="00C73D5B"/>
    <w:rsid w:val="00C73EDD"/>
    <w:rsid w:val="00C74032"/>
    <w:rsid w:val="00C74241"/>
    <w:rsid w:val="00C7436E"/>
    <w:rsid w:val="00C743FD"/>
    <w:rsid w:val="00C744E5"/>
    <w:rsid w:val="00C74A9D"/>
    <w:rsid w:val="00C74D89"/>
    <w:rsid w:val="00C74D8D"/>
    <w:rsid w:val="00C74DF3"/>
    <w:rsid w:val="00C74F9F"/>
    <w:rsid w:val="00C74FC9"/>
    <w:rsid w:val="00C75055"/>
    <w:rsid w:val="00C7509F"/>
    <w:rsid w:val="00C752EF"/>
    <w:rsid w:val="00C7536A"/>
    <w:rsid w:val="00C754D2"/>
    <w:rsid w:val="00C7562E"/>
    <w:rsid w:val="00C75633"/>
    <w:rsid w:val="00C75684"/>
    <w:rsid w:val="00C758D0"/>
    <w:rsid w:val="00C75C7B"/>
    <w:rsid w:val="00C75CA0"/>
    <w:rsid w:val="00C75DF4"/>
    <w:rsid w:val="00C7602D"/>
    <w:rsid w:val="00C76044"/>
    <w:rsid w:val="00C76328"/>
    <w:rsid w:val="00C76464"/>
    <w:rsid w:val="00C7664B"/>
    <w:rsid w:val="00C76EC4"/>
    <w:rsid w:val="00C76FA7"/>
    <w:rsid w:val="00C770CA"/>
    <w:rsid w:val="00C770E2"/>
    <w:rsid w:val="00C77157"/>
    <w:rsid w:val="00C7721B"/>
    <w:rsid w:val="00C7737D"/>
    <w:rsid w:val="00C7745A"/>
    <w:rsid w:val="00C77626"/>
    <w:rsid w:val="00C776F3"/>
    <w:rsid w:val="00C777E8"/>
    <w:rsid w:val="00C77882"/>
    <w:rsid w:val="00C77977"/>
    <w:rsid w:val="00C77A0C"/>
    <w:rsid w:val="00C77A21"/>
    <w:rsid w:val="00C77A29"/>
    <w:rsid w:val="00C77BA3"/>
    <w:rsid w:val="00C77C40"/>
    <w:rsid w:val="00C77CA7"/>
    <w:rsid w:val="00C805D7"/>
    <w:rsid w:val="00C807D6"/>
    <w:rsid w:val="00C80A13"/>
    <w:rsid w:val="00C80AF4"/>
    <w:rsid w:val="00C80B81"/>
    <w:rsid w:val="00C80BA0"/>
    <w:rsid w:val="00C81009"/>
    <w:rsid w:val="00C81276"/>
    <w:rsid w:val="00C8139F"/>
    <w:rsid w:val="00C814BC"/>
    <w:rsid w:val="00C81A47"/>
    <w:rsid w:val="00C81D3B"/>
    <w:rsid w:val="00C81FA2"/>
    <w:rsid w:val="00C821F4"/>
    <w:rsid w:val="00C8227C"/>
    <w:rsid w:val="00C823D4"/>
    <w:rsid w:val="00C82632"/>
    <w:rsid w:val="00C826AB"/>
    <w:rsid w:val="00C826BA"/>
    <w:rsid w:val="00C82982"/>
    <w:rsid w:val="00C82C1D"/>
    <w:rsid w:val="00C82C2C"/>
    <w:rsid w:val="00C8328B"/>
    <w:rsid w:val="00C83407"/>
    <w:rsid w:val="00C8357E"/>
    <w:rsid w:val="00C835C2"/>
    <w:rsid w:val="00C8377C"/>
    <w:rsid w:val="00C838A3"/>
    <w:rsid w:val="00C83974"/>
    <w:rsid w:val="00C83B3E"/>
    <w:rsid w:val="00C83E2D"/>
    <w:rsid w:val="00C83F93"/>
    <w:rsid w:val="00C842FE"/>
    <w:rsid w:val="00C84476"/>
    <w:rsid w:val="00C846AF"/>
    <w:rsid w:val="00C84832"/>
    <w:rsid w:val="00C84AE8"/>
    <w:rsid w:val="00C84B9A"/>
    <w:rsid w:val="00C84E47"/>
    <w:rsid w:val="00C84F49"/>
    <w:rsid w:val="00C84FA9"/>
    <w:rsid w:val="00C852CA"/>
    <w:rsid w:val="00C85417"/>
    <w:rsid w:val="00C8549B"/>
    <w:rsid w:val="00C8559D"/>
    <w:rsid w:val="00C855B3"/>
    <w:rsid w:val="00C855C1"/>
    <w:rsid w:val="00C856C0"/>
    <w:rsid w:val="00C85785"/>
    <w:rsid w:val="00C8579B"/>
    <w:rsid w:val="00C857C4"/>
    <w:rsid w:val="00C85B38"/>
    <w:rsid w:val="00C85D41"/>
    <w:rsid w:val="00C85DE4"/>
    <w:rsid w:val="00C85FF0"/>
    <w:rsid w:val="00C863BF"/>
    <w:rsid w:val="00C86496"/>
    <w:rsid w:val="00C8651E"/>
    <w:rsid w:val="00C865ED"/>
    <w:rsid w:val="00C86922"/>
    <w:rsid w:val="00C8696D"/>
    <w:rsid w:val="00C86A62"/>
    <w:rsid w:val="00C86BA8"/>
    <w:rsid w:val="00C86BF0"/>
    <w:rsid w:val="00C86EB3"/>
    <w:rsid w:val="00C87175"/>
    <w:rsid w:val="00C87424"/>
    <w:rsid w:val="00C87883"/>
    <w:rsid w:val="00C879CD"/>
    <w:rsid w:val="00C87BA8"/>
    <w:rsid w:val="00C87BCA"/>
    <w:rsid w:val="00C87CD0"/>
    <w:rsid w:val="00C87CFC"/>
    <w:rsid w:val="00C87D3C"/>
    <w:rsid w:val="00C87D64"/>
    <w:rsid w:val="00C87EAD"/>
    <w:rsid w:val="00C9028E"/>
    <w:rsid w:val="00C902D1"/>
    <w:rsid w:val="00C90345"/>
    <w:rsid w:val="00C90379"/>
    <w:rsid w:val="00C90508"/>
    <w:rsid w:val="00C906DF"/>
    <w:rsid w:val="00C90970"/>
    <w:rsid w:val="00C909F2"/>
    <w:rsid w:val="00C90B02"/>
    <w:rsid w:val="00C90B65"/>
    <w:rsid w:val="00C90C6E"/>
    <w:rsid w:val="00C90E7C"/>
    <w:rsid w:val="00C90FB1"/>
    <w:rsid w:val="00C910EE"/>
    <w:rsid w:val="00C91138"/>
    <w:rsid w:val="00C9148F"/>
    <w:rsid w:val="00C915D6"/>
    <w:rsid w:val="00C91633"/>
    <w:rsid w:val="00C91837"/>
    <w:rsid w:val="00C918AF"/>
    <w:rsid w:val="00C919EA"/>
    <w:rsid w:val="00C91B47"/>
    <w:rsid w:val="00C91CA7"/>
    <w:rsid w:val="00C92088"/>
    <w:rsid w:val="00C92168"/>
    <w:rsid w:val="00C921CA"/>
    <w:rsid w:val="00C921CD"/>
    <w:rsid w:val="00C922DD"/>
    <w:rsid w:val="00C9234F"/>
    <w:rsid w:val="00C92391"/>
    <w:rsid w:val="00C925E8"/>
    <w:rsid w:val="00C92720"/>
    <w:rsid w:val="00C92B0E"/>
    <w:rsid w:val="00C92B26"/>
    <w:rsid w:val="00C92C5D"/>
    <w:rsid w:val="00C92CBC"/>
    <w:rsid w:val="00C9304E"/>
    <w:rsid w:val="00C931E1"/>
    <w:rsid w:val="00C93463"/>
    <w:rsid w:val="00C93491"/>
    <w:rsid w:val="00C93541"/>
    <w:rsid w:val="00C9389A"/>
    <w:rsid w:val="00C93918"/>
    <w:rsid w:val="00C939E0"/>
    <w:rsid w:val="00C93B5F"/>
    <w:rsid w:val="00C93C7B"/>
    <w:rsid w:val="00C93DA4"/>
    <w:rsid w:val="00C93E1B"/>
    <w:rsid w:val="00C93E2C"/>
    <w:rsid w:val="00C943B2"/>
    <w:rsid w:val="00C94540"/>
    <w:rsid w:val="00C945C0"/>
    <w:rsid w:val="00C945ED"/>
    <w:rsid w:val="00C94694"/>
    <w:rsid w:val="00C94994"/>
    <w:rsid w:val="00C94B3F"/>
    <w:rsid w:val="00C94C6B"/>
    <w:rsid w:val="00C95109"/>
    <w:rsid w:val="00C953FE"/>
    <w:rsid w:val="00C9541F"/>
    <w:rsid w:val="00C9561D"/>
    <w:rsid w:val="00C9568E"/>
    <w:rsid w:val="00C9579A"/>
    <w:rsid w:val="00C957DE"/>
    <w:rsid w:val="00C959B7"/>
    <w:rsid w:val="00C95DCF"/>
    <w:rsid w:val="00C95DD6"/>
    <w:rsid w:val="00C95E8B"/>
    <w:rsid w:val="00C95FA3"/>
    <w:rsid w:val="00C961AC"/>
    <w:rsid w:val="00C96270"/>
    <w:rsid w:val="00C9637C"/>
    <w:rsid w:val="00C96464"/>
    <w:rsid w:val="00C964F1"/>
    <w:rsid w:val="00C9682E"/>
    <w:rsid w:val="00C968D6"/>
    <w:rsid w:val="00C969C6"/>
    <w:rsid w:val="00C96B25"/>
    <w:rsid w:val="00C96BA9"/>
    <w:rsid w:val="00C96C52"/>
    <w:rsid w:val="00C970B6"/>
    <w:rsid w:val="00C970D2"/>
    <w:rsid w:val="00C971E9"/>
    <w:rsid w:val="00C972D2"/>
    <w:rsid w:val="00C97377"/>
    <w:rsid w:val="00C976F4"/>
    <w:rsid w:val="00C97704"/>
    <w:rsid w:val="00C9783D"/>
    <w:rsid w:val="00C978A5"/>
    <w:rsid w:val="00C97925"/>
    <w:rsid w:val="00C97C88"/>
    <w:rsid w:val="00C97CD5"/>
    <w:rsid w:val="00C97EF2"/>
    <w:rsid w:val="00CA01D3"/>
    <w:rsid w:val="00CA0231"/>
    <w:rsid w:val="00CA04B2"/>
    <w:rsid w:val="00CA08CB"/>
    <w:rsid w:val="00CA0ACB"/>
    <w:rsid w:val="00CA0C64"/>
    <w:rsid w:val="00CA0C8B"/>
    <w:rsid w:val="00CA0E03"/>
    <w:rsid w:val="00CA0E3A"/>
    <w:rsid w:val="00CA1296"/>
    <w:rsid w:val="00CA129C"/>
    <w:rsid w:val="00CA12DC"/>
    <w:rsid w:val="00CA1385"/>
    <w:rsid w:val="00CA149C"/>
    <w:rsid w:val="00CA16AC"/>
    <w:rsid w:val="00CA1758"/>
    <w:rsid w:val="00CA1956"/>
    <w:rsid w:val="00CA1B20"/>
    <w:rsid w:val="00CA1CD7"/>
    <w:rsid w:val="00CA1F61"/>
    <w:rsid w:val="00CA1FB2"/>
    <w:rsid w:val="00CA209C"/>
    <w:rsid w:val="00CA2222"/>
    <w:rsid w:val="00CA2250"/>
    <w:rsid w:val="00CA228B"/>
    <w:rsid w:val="00CA22D0"/>
    <w:rsid w:val="00CA2779"/>
    <w:rsid w:val="00CA287C"/>
    <w:rsid w:val="00CA2AEE"/>
    <w:rsid w:val="00CA2E18"/>
    <w:rsid w:val="00CA2EE4"/>
    <w:rsid w:val="00CA2F1D"/>
    <w:rsid w:val="00CA2F26"/>
    <w:rsid w:val="00CA3204"/>
    <w:rsid w:val="00CA3290"/>
    <w:rsid w:val="00CA331A"/>
    <w:rsid w:val="00CA3462"/>
    <w:rsid w:val="00CA34C2"/>
    <w:rsid w:val="00CA358B"/>
    <w:rsid w:val="00CA358D"/>
    <w:rsid w:val="00CA366C"/>
    <w:rsid w:val="00CA36CC"/>
    <w:rsid w:val="00CA3782"/>
    <w:rsid w:val="00CA37C1"/>
    <w:rsid w:val="00CA38BB"/>
    <w:rsid w:val="00CA3B3A"/>
    <w:rsid w:val="00CA3D61"/>
    <w:rsid w:val="00CA3EC2"/>
    <w:rsid w:val="00CA3F60"/>
    <w:rsid w:val="00CA4074"/>
    <w:rsid w:val="00CA4155"/>
    <w:rsid w:val="00CA4301"/>
    <w:rsid w:val="00CA4308"/>
    <w:rsid w:val="00CA43BF"/>
    <w:rsid w:val="00CA448A"/>
    <w:rsid w:val="00CA44D1"/>
    <w:rsid w:val="00CA4728"/>
    <w:rsid w:val="00CA47ED"/>
    <w:rsid w:val="00CA489F"/>
    <w:rsid w:val="00CA50BD"/>
    <w:rsid w:val="00CA5190"/>
    <w:rsid w:val="00CA51BA"/>
    <w:rsid w:val="00CA5229"/>
    <w:rsid w:val="00CA5335"/>
    <w:rsid w:val="00CA552E"/>
    <w:rsid w:val="00CA55D3"/>
    <w:rsid w:val="00CA569F"/>
    <w:rsid w:val="00CA5763"/>
    <w:rsid w:val="00CA5AAD"/>
    <w:rsid w:val="00CA5BD0"/>
    <w:rsid w:val="00CA5C3B"/>
    <w:rsid w:val="00CA5D76"/>
    <w:rsid w:val="00CA60B0"/>
    <w:rsid w:val="00CA60D8"/>
    <w:rsid w:val="00CA6128"/>
    <w:rsid w:val="00CA6291"/>
    <w:rsid w:val="00CA62BE"/>
    <w:rsid w:val="00CA6403"/>
    <w:rsid w:val="00CA6600"/>
    <w:rsid w:val="00CA670F"/>
    <w:rsid w:val="00CA695A"/>
    <w:rsid w:val="00CA69E1"/>
    <w:rsid w:val="00CA6B14"/>
    <w:rsid w:val="00CA6BE6"/>
    <w:rsid w:val="00CA6D6C"/>
    <w:rsid w:val="00CA7236"/>
    <w:rsid w:val="00CA7242"/>
    <w:rsid w:val="00CA75A6"/>
    <w:rsid w:val="00CA7699"/>
    <w:rsid w:val="00CA7971"/>
    <w:rsid w:val="00CA7AFA"/>
    <w:rsid w:val="00CA7C47"/>
    <w:rsid w:val="00CA7C49"/>
    <w:rsid w:val="00CA7CEE"/>
    <w:rsid w:val="00CA7D91"/>
    <w:rsid w:val="00CA7E7B"/>
    <w:rsid w:val="00CA7F4F"/>
    <w:rsid w:val="00CB0286"/>
    <w:rsid w:val="00CB036F"/>
    <w:rsid w:val="00CB0579"/>
    <w:rsid w:val="00CB05AD"/>
    <w:rsid w:val="00CB06D0"/>
    <w:rsid w:val="00CB0868"/>
    <w:rsid w:val="00CB086A"/>
    <w:rsid w:val="00CB097A"/>
    <w:rsid w:val="00CB0C21"/>
    <w:rsid w:val="00CB102F"/>
    <w:rsid w:val="00CB10D6"/>
    <w:rsid w:val="00CB1307"/>
    <w:rsid w:val="00CB1312"/>
    <w:rsid w:val="00CB1350"/>
    <w:rsid w:val="00CB1392"/>
    <w:rsid w:val="00CB1464"/>
    <w:rsid w:val="00CB1608"/>
    <w:rsid w:val="00CB1846"/>
    <w:rsid w:val="00CB1C6A"/>
    <w:rsid w:val="00CB1CE5"/>
    <w:rsid w:val="00CB1D8B"/>
    <w:rsid w:val="00CB2039"/>
    <w:rsid w:val="00CB20C2"/>
    <w:rsid w:val="00CB211C"/>
    <w:rsid w:val="00CB22A0"/>
    <w:rsid w:val="00CB22F1"/>
    <w:rsid w:val="00CB240A"/>
    <w:rsid w:val="00CB2472"/>
    <w:rsid w:val="00CB2566"/>
    <w:rsid w:val="00CB29D9"/>
    <w:rsid w:val="00CB2A1A"/>
    <w:rsid w:val="00CB2BD7"/>
    <w:rsid w:val="00CB2DF3"/>
    <w:rsid w:val="00CB2EA5"/>
    <w:rsid w:val="00CB3126"/>
    <w:rsid w:val="00CB318B"/>
    <w:rsid w:val="00CB319A"/>
    <w:rsid w:val="00CB3488"/>
    <w:rsid w:val="00CB3516"/>
    <w:rsid w:val="00CB365C"/>
    <w:rsid w:val="00CB371E"/>
    <w:rsid w:val="00CB3775"/>
    <w:rsid w:val="00CB3ADE"/>
    <w:rsid w:val="00CB3E21"/>
    <w:rsid w:val="00CB3E41"/>
    <w:rsid w:val="00CB41B4"/>
    <w:rsid w:val="00CB4296"/>
    <w:rsid w:val="00CB45D8"/>
    <w:rsid w:val="00CB4611"/>
    <w:rsid w:val="00CB46CE"/>
    <w:rsid w:val="00CB487B"/>
    <w:rsid w:val="00CB48F2"/>
    <w:rsid w:val="00CB4959"/>
    <w:rsid w:val="00CB495E"/>
    <w:rsid w:val="00CB4A28"/>
    <w:rsid w:val="00CB4F3D"/>
    <w:rsid w:val="00CB4FFE"/>
    <w:rsid w:val="00CB541B"/>
    <w:rsid w:val="00CB55E5"/>
    <w:rsid w:val="00CB563A"/>
    <w:rsid w:val="00CB5814"/>
    <w:rsid w:val="00CB5977"/>
    <w:rsid w:val="00CB5A37"/>
    <w:rsid w:val="00CB5B59"/>
    <w:rsid w:val="00CB5CB9"/>
    <w:rsid w:val="00CB5D2A"/>
    <w:rsid w:val="00CB5DED"/>
    <w:rsid w:val="00CB5E89"/>
    <w:rsid w:val="00CB60E3"/>
    <w:rsid w:val="00CB6196"/>
    <w:rsid w:val="00CB6199"/>
    <w:rsid w:val="00CB61EC"/>
    <w:rsid w:val="00CB6388"/>
    <w:rsid w:val="00CB699F"/>
    <w:rsid w:val="00CB6B94"/>
    <w:rsid w:val="00CB7318"/>
    <w:rsid w:val="00CB7345"/>
    <w:rsid w:val="00CB75F0"/>
    <w:rsid w:val="00CB76DB"/>
    <w:rsid w:val="00CB7827"/>
    <w:rsid w:val="00CB789F"/>
    <w:rsid w:val="00CB78BE"/>
    <w:rsid w:val="00CB7A61"/>
    <w:rsid w:val="00CB7A97"/>
    <w:rsid w:val="00CB7CB9"/>
    <w:rsid w:val="00CB7D50"/>
    <w:rsid w:val="00CB7D64"/>
    <w:rsid w:val="00CB7F6F"/>
    <w:rsid w:val="00CC02C6"/>
    <w:rsid w:val="00CC049E"/>
    <w:rsid w:val="00CC04C7"/>
    <w:rsid w:val="00CC0723"/>
    <w:rsid w:val="00CC0892"/>
    <w:rsid w:val="00CC0897"/>
    <w:rsid w:val="00CC0B38"/>
    <w:rsid w:val="00CC0C18"/>
    <w:rsid w:val="00CC0D65"/>
    <w:rsid w:val="00CC10AE"/>
    <w:rsid w:val="00CC10D8"/>
    <w:rsid w:val="00CC1112"/>
    <w:rsid w:val="00CC1315"/>
    <w:rsid w:val="00CC139A"/>
    <w:rsid w:val="00CC1952"/>
    <w:rsid w:val="00CC1EBF"/>
    <w:rsid w:val="00CC2119"/>
    <w:rsid w:val="00CC23EC"/>
    <w:rsid w:val="00CC25AC"/>
    <w:rsid w:val="00CC263F"/>
    <w:rsid w:val="00CC28BB"/>
    <w:rsid w:val="00CC2A4C"/>
    <w:rsid w:val="00CC2AB9"/>
    <w:rsid w:val="00CC2B51"/>
    <w:rsid w:val="00CC2E3C"/>
    <w:rsid w:val="00CC3032"/>
    <w:rsid w:val="00CC3192"/>
    <w:rsid w:val="00CC32B4"/>
    <w:rsid w:val="00CC343C"/>
    <w:rsid w:val="00CC34A8"/>
    <w:rsid w:val="00CC35AE"/>
    <w:rsid w:val="00CC35C8"/>
    <w:rsid w:val="00CC3612"/>
    <w:rsid w:val="00CC3677"/>
    <w:rsid w:val="00CC3965"/>
    <w:rsid w:val="00CC39D8"/>
    <w:rsid w:val="00CC3B97"/>
    <w:rsid w:val="00CC3C58"/>
    <w:rsid w:val="00CC3DBA"/>
    <w:rsid w:val="00CC3DC6"/>
    <w:rsid w:val="00CC3E91"/>
    <w:rsid w:val="00CC3FB9"/>
    <w:rsid w:val="00CC4564"/>
    <w:rsid w:val="00CC4797"/>
    <w:rsid w:val="00CC4CA7"/>
    <w:rsid w:val="00CC5027"/>
    <w:rsid w:val="00CC50A3"/>
    <w:rsid w:val="00CC510A"/>
    <w:rsid w:val="00CC5225"/>
    <w:rsid w:val="00CC5273"/>
    <w:rsid w:val="00CC57DF"/>
    <w:rsid w:val="00CC5887"/>
    <w:rsid w:val="00CC589E"/>
    <w:rsid w:val="00CC5BD2"/>
    <w:rsid w:val="00CC5D0B"/>
    <w:rsid w:val="00CC5E10"/>
    <w:rsid w:val="00CC5FC6"/>
    <w:rsid w:val="00CC60E9"/>
    <w:rsid w:val="00CC61E7"/>
    <w:rsid w:val="00CC62D3"/>
    <w:rsid w:val="00CC62FC"/>
    <w:rsid w:val="00CC6361"/>
    <w:rsid w:val="00CC6609"/>
    <w:rsid w:val="00CC68CC"/>
    <w:rsid w:val="00CC69C0"/>
    <w:rsid w:val="00CC6A68"/>
    <w:rsid w:val="00CC6B20"/>
    <w:rsid w:val="00CC6BD2"/>
    <w:rsid w:val="00CC6C61"/>
    <w:rsid w:val="00CC6D6A"/>
    <w:rsid w:val="00CC6FCC"/>
    <w:rsid w:val="00CC70B1"/>
    <w:rsid w:val="00CC756A"/>
    <w:rsid w:val="00CC75C7"/>
    <w:rsid w:val="00CC768E"/>
    <w:rsid w:val="00CC7839"/>
    <w:rsid w:val="00CC7C58"/>
    <w:rsid w:val="00CC7CBB"/>
    <w:rsid w:val="00CC7D13"/>
    <w:rsid w:val="00CD0202"/>
    <w:rsid w:val="00CD027B"/>
    <w:rsid w:val="00CD030B"/>
    <w:rsid w:val="00CD0344"/>
    <w:rsid w:val="00CD0414"/>
    <w:rsid w:val="00CD044A"/>
    <w:rsid w:val="00CD055F"/>
    <w:rsid w:val="00CD0885"/>
    <w:rsid w:val="00CD0DB7"/>
    <w:rsid w:val="00CD0E3F"/>
    <w:rsid w:val="00CD0FDE"/>
    <w:rsid w:val="00CD14D5"/>
    <w:rsid w:val="00CD152F"/>
    <w:rsid w:val="00CD16AE"/>
    <w:rsid w:val="00CD16D2"/>
    <w:rsid w:val="00CD19B7"/>
    <w:rsid w:val="00CD19FE"/>
    <w:rsid w:val="00CD1FC3"/>
    <w:rsid w:val="00CD20E2"/>
    <w:rsid w:val="00CD212E"/>
    <w:rsid w:val="00CD2176"/>
    <w:rsid w:val="00CD2189"/>
    <w:rsid w:val="00CD2207"/>
    <w:rsid w:val="00CD23B8"/>
    <w:rsid w:val="00CD2403"/>
    <w:rsid w:val="00CD2578"/>
    <w:rsid w:val="00CD25AA"/>
    <w:rsid w:val="00CD268F"/>
    <w:rsid w:val="00CD27E7"/>
    <w:rsid w:val="00CD28D9"/>
    <w:rsid w:val="00CD2A6B"/>
    <w:rsid w:val="00CD2C12"/>
    <w:rsid w:val="00CD31BA"/>
    <w:rsid w:val="00CD338D"/>
    <w:rsid w:val="00CD34D4"/>
    <w:rsid w:val="00CD351F"/>
    <w:rsid w:val="00CD365C"/>
    <w:rsid w:val="00CD3925"/>
    <w:rsid w:val="00CD39BE"/>
    <w:rsid w:val="00CD3AC1"/>
    <w:rsid w:val="00CD3C8B"/>
    <w:rsid w:val="00CD3EC1"/>
    <w:rsid w:val="00CD3F22"/>
    <w:rsid w:val="00CD3F4A"/>
    <w:rsid w:val="00CD3FD5"/>
    <w:rsid w:val="00CD4235"/>
    <w:rsid w:val="00CD4486"/>
    <w:rsid w:val="00CD44CD"/>
    <w:rsid w:val="00CD45A8"/>
    <w:rsid w:val="00CD4AA0"/>
    <w:rsid w:val="00CD4CC1"/>
    <w:rsid w:val="00CD4ED2"/>
    <w:rsid w:val="00CD50AA"/>
    <w:rsid w:val="00CD515A"/>
    <w:rsid w:val="00CD527E"/>
    <w:rsid w:val="00CD5355"/>
    <w:rsid w:val="00CD562F"/>
    <w:rsid w:val="00CD56F0"/>
    <w:rsid w:val="00CD59A4"/>
    <w:rsid w:val="00CD5A9F"/>
    <w:rsid w:val="00CD5ACE"/>
    <w:rsid w:val="00CD5B17"/>
    <w:rsid w:val="00CD5D6A"/>
    <w:rsid w:val="00CD5EA3"/>
    <w:rsid w:val="00CD5FEE"/>
    <w:rsid w:val="00CD60EB"/>
    <w:rsid w:val="00CD6131"/>
    <w:rsid w:val="00CD61C5"/>
    <w:rsid w:val="00CD6308"/>
    <w:rsid w:val="00CD64CF"/>
    <w:rsid w:val="00CD6543"/>
    <w:rsid w:val="00CD65FB"/>
    <w:rsid w:val="00CD67A3"/>
    <w:rsid w:val="00CD67E3"/>
    <w:rsid w:val="00CD68E8"/>
    <w:rsid w:val="00CD6939"/>
    <w:rsid w:val="00CD6B7E"/>
    <w:rsid w:val="00CD6CE3"/>
    <w:rsid w:val="00CD6D7B"/>
    <w:rsid w:val="00CD6FA2"/>
    <w:rsid w:val="00CD7025"/>
    <w:rsid w:val="00CD73BF"/>
    <w:rsid w:val="00CD761E"/>
    <w:rsid w:val="00CD7671"/>
    <w:rsid w:val="00CD78B8"/>
    <w:rsid w:val="00CD79AF"/>
    <w:rsid w:val="00CD7DFF"/>
    <w:rsid w:val="00CD7EDB"/>
    <w:rsid w:val="00CD7F89"/>
    <w:rsid w:val="00CE007C"/>
    <w:rsid w:val="00CE0936"/>
    <w:rsid w:val="00CE09DF"/>
    <w:rsid w:val="00CE0BE9"/>
    <w:rsid w:val="00CE0C14"/>
    <w:rsid w:val="00CE0C6F"/>
    <w:rsid w:val="00CE0CD9"/>
    <w:rsid w:val="00CE0FD7"/>
    <w:rsid w:val="00CE11BD"/>
    <w:rsid w:val="00CE11CB"/>
    <w:rsid w:val="00CE139C"/>
    <w:rsid w:val="00CE14BD"/>
    <w:rsid w:val="00CE153D"/>
    <w:rsid w:val="00CE16EB"/>
    <w:rsid w:val="00CE1739"/>
    <w:rsid w:val="00CE1912"/>
    <w:rsid w:val="00CE1959"/>
    <w:rsid w:val="00CE1984"/>
    <w:rsid w:val="00CE19F3"/>
    <w:rsid w:val="00CE1A72"/>
    <w:rsid w:val="00CE1B69"/>
    <w:rsid w:val="00CE1D14"/>
    <w:rsid w:val="00CE20E1"/>
    <w:rsid w:val="00CE23C7"/>
    <w:rsid w:val="00CE247E"/>
    <w:rsid w:val="00CE264F"/>
    <w:rsid w:val="00CE276B"/>
    <w:rsid w:val="00CE28BC"/>
    <w:rsid w:val="00CE2B81"/>
    <w:rsid w:val="00CE2E7F"/>
    <w:rsid w:val="00CE2FE1"/>
    <w:rsid w:val="00CE30FA"/>
    <w:rsid w:val="00CE331E"/>
    <w:rsid w:val="00CE33AA"/>
    <w:rsid w:val="00CE3756"/>
    <w:rsid w:val="00CE375D"/>
    <w:rsid w:val="00CE375F"/>
    <w:rsid w:val="00CE37B6"/>
    <w:rsid w:val="00CE3866"/>
    <w:rsid w:val="00CE3972"/>
    <w:rsid w:val="00CE3B89"/>
    <w:rsid w:val="00CE3C00"/>
    <w:rsid w:val="00CE4137"/>
    <w:rsid w:val="00CE4501"/>
    <w:rsid w:val="00CE462E"/>
    <w:rsid w:val="00CE46B4"/>
    <w:rsid w:val="00CE4883"/>
    <w:rsid w:val="00CE48F1"/>
    <w:rsid w:val="00CE4977"/>
    <w:rsid w:val="00CE4A2F"/>
    <w:rsid w:val="00CE4B0B"/>
    <w:rsid w:val="00CE4B58"/>
    <w:rsid w:val="00CE4B7D"/>
    <w:rsid w:val="00CE4BC0"/>
    <w:rsid w:val="00CE4CBF"/>
    <w:rsid w:val="00CE4D6F"/>
    <w:rsid w:val="00CE4EB5"/>
    <w:rsid w:val="00CE4F49"/>
    <w:rsid w:val="00CE5103"/>
    <w:rsid w:val="00CE5254"/>
    <w:rsid w:val="00CE5372"/>
    <w:rsid w:val="00CE539B"/>
    <w:rsid w:val="00CE53C8"/>
    <w:rsid w:val="00CE56BC"/>
    <w:rsid w:val="00CE5700"/>
    <w:rsid w:val="00CE571A"/>
    <w:rsid w:val="00CE5753"/>
    <w:rsid w:val="00CE5B76"/>
    <w:rsid w:val="00CE5CCB"/>
    <w:rsid w:val="00CE5DCB"/>
    <w:rsid w:val="00CE60CF"/>
    <w:rsid w:val="00CE60D7"/>
    <w:rsid w:val="00CE618A"/>
    <w:rsid w:val="00CE61BE"/>
    <w:rsid w:val="00CE65E4"/>
    <w:rsid w:val="00CE69A6"/>
    <w:rsid w:val="00CE6B2F"/>
    <w:rsid w:val="00CE6C85"/>
    <w:rsid w:val="00CE6F6A"/>
    <w:rsid w:val="00CE7203"/>
    <w:rsid w:val="00CE7213"/>
    <w:rsid w:val="00CE73FF"/>
    <w:rsid w:val="00CE7441"/>
    <w:rsid w:val="00CE74CF"/>
    <w:rsid w:val="00CE79C3"/>
    <w:rsid w:val="00CE79C9"/>
    <w:rsid w:val="00CE7AB1"/>
    <w:rsid w:val="00CE7B10"/>
    <w:rsid w:val="00CE7C54"/>
    <w:rsid w:val="00CE7DA2"/>
    <w:rsid w:val="00CE7FB0"/>
    <w:rsid w:val="00CF02B6"/>
    <w:rsid w:val="00CF02CE"/>
    <w:rsid w:val="00CF04D6"/>
    <w:rsid w:val="00CF058E"/>
    <w:rsid w:val="00CF05C0"/>
    <w:rsid w:val="00CF0661"/>
    <w:rsid w:val="00CF06E6"/>
    <w:rsid w:val="00CF07EB"/>
    <w:rsid w:val="00CF0883"/>
    <w:rsid w:val="00CF0990"/>
    <w:rsid w:val="00CF0A4B"/>
    <w:rsid w:val="00CF0A91"/>
    <w:rsid w:val="00CF0B47"/>
    <w:rsid w:val="00CF0CD6"/>
    <w:rsid w:val="00CF0EED"/>
    <w:rsid w:val="00CF0F0C"/>
    <w:rsid w:val="00CF1067"/>
    <w:rsid w:val="00CF129A"/>
    <w:rsid w:val="00CF1301"/>
    <w:rsid w:val="00CF1476"/>
    <w:rsid w:val="00CF18A0"/>
    <w:rsid w:val="00CF19B6"/>
    <w:rsid w:val="00CF1AB5"/>
    <w:rsid w:val="00CF1B82"/>
    <w:rsid w:val="00CF1DE8"/>
    <w:rsid w:val="00CF1DF9"/>
    <w:rsid w:val="00CF1ED5"/>
    <w:rsid w:val="00CF2639"/>
    <w:rsid w:val="00CF2848"/>
    <w:rsid w:val="00CF2853"/>
    <w:rsid w:val="00CF2900"/>
    <w:rsid w:val="00CF294B"/>
    <w:rsid w:val="00CF2A60"/>
    <w:rsid w:val="00CF2CCC"/>
    <w:rsid w:val="00CF2FBA"/>
    <w:rsid w:val="00CF30CD"/>
    <w:rsid w:val="00CF354E"/>
    <w:rsid w:val="00CF3601"/>
    <w:rsid w:val="00CF37AF"/>
    <w:rsid w:val="00CF3856"/>
    <w:rsid w:val="00CF38D1"/>
    <w:rsid w:val="00CF3A81"/>
    <w:rsid w:val="00CF3B41"/>
    <w:rsid w:val="00CF3BCA"/>
    <w:rsid w:val="00CF3CA0"/>
    <w:rsid w:val="00CF3D43"/>
    <w:rsid w:val="00CF3D89"/>
    <w:rsid w:val="00CF3D8C"/>
    <w:rsid w:val="00CF410C"/>
    <w:rsid w:val="00CF4202"/>
    <w:rsid w:val="00CF4404"/>
    <w:rsid w:val="00CF44FF"/>
    <w:rsid w:val="00CF45A3"/>
    <w:rsid w:val="00CF45B2"/>
    <w:rsid w:val="00CF465D"/>
    <w:rsid w:val="00CF477C"/>
    <w:rsid w:val="00CF49DA"/>
    <w:rsid w:val="00CF4CA0"/>
    <w:rsid w:val="00CF4CE7"/>
    <w:rsid w:val="00CF4E3C"/>
    <w:rsid w:val="00CF4F39"/>
    <w:rsid w:val="00CF5067"/>
    <w:rsid w:val="00CF509A"/>
    <w:rsid w:val="00CF52E8"/>
    <w:rsid w:val="00CF551E"/>
    <w:rsid w:val="00CF568F"/>
    <w:rsid w:val="00CF5720"/>
    <w:rsid w:val="00CF5722"/>
    <w:rsid w:val="00CF586B"/>
    <w:rsid w:val="00CF59B5"/>
    <w:rsid w:val="00CF5D51"/>
    <w:rsid w:val="00CF5F4E"/>
    <w:rsid w:val="00CF607D"/>
    <w:rsid w:val="00CF615B"/>
    <w:rsid w:val="00CF63E9"/>
    <w:rsid w:val="00CF677E"/>
    <w:rsid w:val="00CF6785"/>
    <w:rsid w:val="00CF68E0"/>
    <w:rsid w:val="00CF692C"/>
    <w:rsid w:val="00CF6DB4"/>
    <w:rsid w:val="00CF6F12"/>
    <w:rsid w:val="00CF6FAC"/>
    <w:rsid w:val="00CF728B"/>
    <w:rsid w:val="00CF72EE"/>
    <w:rsid w:val="00CF7466"/>
    <w:rsid w:val="00CF7959"/>
    <w:rsid w:val="00CF7B12"/>
    <w:rsid w:val="00CF7B2F"/>
    <w:rsid w:val="00CF7B7E"/>
    <w:rsid w:val="00CF7CAA"/>
    <w:rsid w:val="00CF7D29"/>
    <w:rsid w:val="00CF7D96"/>
    <w:rsid w:val="00CF7FC7"/>
    <w:rsid w:val="00CF7FFD"/>
    <w:rsid w:val="00D000B3"/>
    <w:rsid w:val="00D000CA"/>
    <w:rsid w:val="00D001D2"/>
    <w:rsid w:val="00D002F7"/>
    <w:rsid w:val="00D00538"/>
    <w:rsid w:val="00D0068C"/>
    <w:rsid w:val="00D008D6"/>
    <w:rsid w:val="00D00971"/>
    <w:rsid w:val="00D00A32"/>
    <w:rsid w:val="00D00AE8"/>
    <w:rsid w:val="00D00C22"/>
    <w:rsid w:val="00D00DE5"/>
    <w:rsid w:val="00D00E1D"/>
    <w:rsid w:val="00D00E3B"/>
    <w:rsid w:val="00D00EFB"/>
    <w:rsid w:val="00D01072"/>
    <w:rsid w:val="00D011FF"/>
    <w:rsid w:val="00D012BC"/>
    <w:rsid w:val="00D012F5"/>
    <w:rsid w:val="00D01335"/>
    <w:rsid w:val="00D01499"/>
    <w:rsid w:val="00D01542"/>
    <w:rsid w:val="00D019AE"/>
    <w:rsid w:val="00D01AE1"/>
    <w:rsid w:val="00D01B2A"/>
    <w:rsid w:val="00D01C5A"/>
    <w:rsid w:val="00D01D2A"/>
    <w:rsid w:val="00D01E02"/>
    <w:rsid w:val="00D02184"/>
    <w:rsid w:val="00D021E9"/>
    <w:rsid w:val="00D0239F"/>
    <w:rsid w:val="00D02466"/>
    <w:rsid w:val="00D026ED"/>
    <w:rsid w:val="00D0273E"/>
    <w:rsid w:val="00D02A5F"/>
    <w:rsid w:val="00D02D3D"/>
    <w:rsid w:val="00D02DB9"/>
    <w:rsid w:val="00D03491"/>
    <w:rsid w:val="00D036EE"/>
    <w:rsid w:val="00D03929"/>
    <w:rsid w:val="00D03C41"/>
    <w:rsid w:val="00D03F5E"/>
    <w:rsid w:val="00D03FEC"/>
    <w:rsid w:val="00D040BB"/>
    <w:rsid w:val="00D04177"/>
    <w:rsid w:val="00D04484"/>
    <w:rsid w:val="00D0463C"/>
    <w:rsid w:val="00D04712"/>
    <w:rsid w:val="00D0484B"/>
    <w:rsid w:val="00D0484F"/>
    <w:rsid w:val="00D04BB0"/>
    <w:rsid w:val="00D04C5C"/>
    <w:rsid w:val="00D04F09"/>
    <w:rsid w:val="00D05057"/>
    <w:rsid w:val="00D05179"/>
    <w:rsid w:val="00D0517C"/>
    <w:rsid w:val="00D05376"/>
    <w:rsid w:val="00D05731"/>
    <w:rsid w:val="00D05AA0"/>
    <w:rsid w:val="00D05D80"/>
    <w:rsid w:val="00D05F13"/>
    <w:rsid w:val="00D06264"/>
    <w:rsid w:val="00D063C6"/>
    <w:rsid w:val="00D06405"/>
    <w:rsid w:val="00D06555"/>
    <w:rsid w:val="00D066D7"/>
    <w:rsid w:val="00D06855"/>
    <w:rsid w:val="00D069D8"/>
    <w:rsid w:val="00D06A8B"/>
    <w:rsid w:val="00D06F20"/>
    <w:rsid w:val="00D072B4"/>
    <w:rsid w:val="00D07402"/>
    <w:rsid w:val="00D07484"/>
    <w:rsid w:val="00D07557"/>
    <w:rsid w:val="00D0762D"/>
    <w:rsid w:val="00D076AE"/>
    <w:rsid w:val="00D07B48"/>
    <w:rsid w:val="00D07CF0"/>
    <w:rsid w:val="00D07D5B"/>
    <w:rsid w:val="00D07E59"/>
    <w:rsid w:val="00D07EAB"/>
    <w:rsid w:val="00D10319"/>
    <w:rsid w:val="00D1053A"/>
    <w:rsid w:val="00D10600"/>
    <w:rsid w:val="00D106E1"/>
    <w:rsid w:val="00D10B14"/>
    <w:rsid w:val="00D10C42"/>
    <w:rsid w:val="00D10F94"/>
    <w:rsid w:val="00D11096"/>
    <w:rsid w:val="00D11133"/>
    <w:rsid w:val="00D111F7"/>
    <w:rsid w:val="00D11421"/>
    <w:rsid w:val="00D114E0"/>
    <w:rsid w:val="00D11515"/>
    <w:rsid w:val="00D117C6"/>
    <w:rsid w:val="00D119BD"/>
    <w:rsid w:val="00D119C1"/>
    <w:rsid w:val="00D11A78"/>
    <w:rsid w:val="00D11B22"/>
    <w:rsid w:val="00D11CF3"/>
    <w:rsid w:val="00D11EC5"/>
    <w:rsid w:val="00D11F1B"/>
    <w:rsid w:val="00D11F5C"/>
    <w:rsid w:val="00D122AB"/>
    <w:rsid w:val="00D12960"/>
    <w:rsid w:val="00D12A12"/>
    <w:rsid w:val="00D12C8F"/>
    <w:rsid w:val="00D12EA4"/>
    <w:rsid w:val="00D12F35"/>
    <w:rsid w:val="00D132C6"/>
    <w:rsid w:val="00D133AC"/>
    <w:rsid w:val="00D1347B"/>
    <w:rsid w:val="00D13500"/>
    <w:rsid w:val="00D135C6"/>
    <w:rsid w:val="00D1365C"/>
    <w:rsid w:val="00D137F0"/>
    <w:rsid w:val="00D1382C"/>
    <w:rsid w:val="00D13873"/>
    <w:rsid w:val="00D13A57"/>
    <w:rsid w:val="00D13F37"/>
    <w:rsid w:val="00D13F63"/>
    <w:rsid w:val="00D14297"/>
    <w:rsid w:val="00D14411"/>
    <w:rsid w:val="00D145CB"/>
    <w:rsid w:val="00D14657"/>
    <w:rsid w:val="00D146E4"/>
    <w:rsid w:val="00D147C5"/>
    <w:rsid w:val="00D149A4"/>
    <w:rsid w:val="00D14BB9"/>
    <w:rsid w:val="00D14C87"/>
    <w:rsid w:val="00D14CCD"/>
    <w:rsid w:val="00D14DCF"/>
    <w:rsid w:val="00D14E45"/>
    <w:rsid w:val="00D14EA4"/>
    <w:rsid w:val="00D1540E"/>
    <w:rsid w:val="00D154A1"/>
    <w:rsid w:val="00D15622"/>
    <w:rsid w:val="00D15815"/>
    <w:rsid w:val="00D15870"/>
    <w:rsid w:val="00D15A23"/>
    <w:rsid w:val="00D15C9C"/>
    <w:rsid w:val="00D15DF6"/>
    <w:rsid w:val="00D15E02"/>
    <w:rsid w:val="00D15E55"/>
    <w:rsid w:val="00D16003"/>
    <w:rsid w:val="00D161C7"/>
    <w:rsid w:val="00D161F1"/>
    <w:rsid w:val="00D162B6"/>
    <w:rsid w:val="00D162F4"/>
    <w:rsid w:val="00D163A8"/>
    <w:rsid w:val="00D164CD"/>
    <w:rsid w:val="00D1650E"/>
    <w:rsid w:val="00D1664F"/>
    <w:rsid w:val="00D16712"/>
    <w:rsid w:val="00D168DE"/>
    <w:rsid w:val="00D1691B"/>
    <w:rsid w:val="00D16935"/>
    <w:rsid w:val="00D16ABD"/>
    <w:rsid w:val="00D16F31"/>
    <w:rsid w:val="00D1706C"/>
    <w:rsid w:val="00D1706D"/>
    <w:rsid w:val="00D170C0"/>
    <w:rsid w:val="00D1717D"/>
    <w:rsid w:val="00D17378"/>
    <w:rsid w:val="00D17454"/>
    <w:rsid w:val="00D1746B"/>
    <w:rsid w:val="00D17520"/>
    <w:rsid w:val="00D17541"/>
    <w:rsid w:val="00D175D3"/>
    <w:rsid w:val="00D17687"/>
    <w:rsid w:val="00D1772E"/>
    <w:rsid w:val="00D179AD"/>
    <w:rsid w:val="00D17C2C"/>
    <w:rsid w:val="00D17D44"/>
    <w:rsid w:val="00D17F53"/>
    <w:rsid w:val="00D20113"/>
    <w:rsid w:val="00D2014A"/>
    <w:rsid w:val="00D201FE"/>
    <w:rsid w:val="00D20292"/>
    <w:rsid w:val="00D20299"/>
    <w:rsid w:val="00D20322"/>
    <w:rsid w:val="00D2037F"/>
    <w:rsid w:val="00D207E5"/>
    <w:rsid w:val="00D208E9"/>
    <w:rsid w:val="00D20A6E"/>
    <w:rsid w:val="00D20AE9"/>
    <w:rsid w:val="00D20C3C"/>
    <w:rsid w:val="00D20CCB"/>
    <w:rsid w:val="00D20E2A"/>
    <w:rsid w:val="00D20EAA"/>
    <w:rsid w:val="00D21156"/>
    <w:rsid w:val="00D21307"/>
    <w:rsid w:val="00D2141D"/>
    <w:rsid w:val="00D21637"/>
    <w:rsid w:val="00D2163D"/>
    <w:rsid w:val="00D2175C"/>
    <w:rsid w:val="00D21DCB"/>
    <w:rsid w:val="00D21DF6"/>
    <w:rsid w:val="00D21EAE"/>
    <w:rsid w:val="00D21F1A"/>
    <w:rsid w:val="00D21FC3"/>
    <w:rsid w:val="00D2230D"/>
    <w:rsid w:val="00D22312"/>
    <w:rsid w:val="00D2243F"/>
    <w:rsid w:val="00D225AE"/>
    <w:rsid w:val="00D22920"/>
    <w:rsid w:val="00D22AD2"/>
    <w:rsid w:val="00D22EFA"/>
    <w:rsid w:val="00D22F7C"/>
    <w:rsid w:val="00D23034"/>
    <w:rsid w:val="00D23147"/>
    <w:rsid w:val="00D23213"/>
    <w:rsid w:val="00D23714"/>
    <w:rsid w:val="00D2378F"/>
    <w:rsid w:val="00D23810"/>
    <w:rsid w:val="00D23922"/>
    <w:rsid w:val="00D23A8B"/>
    <w:rsid w:val="00D23F8F"/>
    <w:rsid w:val="00D23FFC"/>
    <w:rsid w:val="00D24263"/>
    <w:rsid w:val="00D24274"/>
    <w:rsid w:val="00D24286"/>
    <w:rsid w:val="00D242B3"/>
    <w:rsid w:val="00D24326"/>
    <w:rsid w:val="00D2439C"/>
    <w:rsid w:val="00D24592"/>
    <w:rsid w:val="00D2483C"/>
    <w:rsid w:val="00D249A6"/>
    <w:rsid w:val="00D24D5C"/>
    <w:rsid w:val="00D24D7A"/>
    <w:rsid w:val="00D24E31"/>
    <w:rsid w:val="00D252C4"/>
    <w:rsid w:val="00D25621"/>
    <w:rsid w:val="00D256CB"/>
    <w:rsid w:val="00D25877"/>
    <w:rsid w:val="00D258C4"/>
    <w:rsid w:val="00D25A4F"/>
    <w:rsid w:val="00D25B69"/>
    <w:rsid w:val="00D25E10"/>
    <w:rsid w:val="00D25E5E"/>
    <w:rsid w:val="00D26099"/>
    <w:rsid w:val="00D26126"/>
    <w:rsid w:val="00D261ED"/>
    <w:rsid w:val="00D263C4"/>
    <w:rsid w:val="00D267E4"/>
    <w:rsid w:val="00D267FC"/>
    <w:rsid w:val="00D26AC7"/>
    <w:rsid w:val="00D26D1A"/>
    <w:rsid w:val="00D26D29"/>
    <w:rsid w:val="00D26D46"/>
    <w:rsid w:val="00D26D88"/>
    <w:rsid w:val="00D26E01"/>
    <w:rsid w:val="00D2731B"/>
    <w:rsid w:val="00D273E6"/>
    <w:rsid w:val="00D277DD"/>
    <w:rsid w:val="00D27C02"/>
    <w:rsid w:val="00D27C4B"/>
    <w:rsid w:val="00D27D0F"/>
    <w:rsid w:val="00D27D1E"/>
    <w:rsid w:val="00D27D49"/>
    <w:rsid w:val="00D27DE8"/>
    <w:rsid w:val="00D27F53"/>
    <w:rsid w:val="00D27F5C"/>
    <w:rsid w:val="00D3007F"/>
    <w:rsid w:val="00D3027B"/>
    <w:rsid w:val="00D303DA"/>
    <w:rsid w:val="00D30524"/>
    <w:rsid w:val="00D30B60"/>
    <w:rsid w:val="00D30F6E"/>
    <w:rsid w:val="00D310E0"/>
    <w:rsid w:val="00D311C1"/>
    <w:rsid w:val="00D3137B"/>
    <w:rsid w:val="00D314A6"/>
    <w:rsid w:val="00D31548"/>
    <w:rsid w:val="00D31564"/>
    <w:rsid w:val="00D3176F"/>
    <w:rsid w:val="00D3177C"/>
    <w:rsid w:val="00D3190E"/>
    <w:rsid w:val="00D31920"/>
    <w:rsid w:val="00D319CB"/>
    <w:rsid w:val="00D31D06"/>
    <w:rsid w:val="00D31D1A"/>
    <w:rsid w:val="00D31DE9"/>
    <w:rsid w:val="00D31DF7"/>
    <w:rsid w:val="00D31E02"/>
    <w:rsid w:val="00D31F3F"/>
    <w:rsid w:val="00D322D7"/>
    <w:rsid w:val="00D32643"/>
    <w:rsid w:val="00D32789"/>
    <w:rsid w:val="00D3278D"/>
    <w:rsid w:val="00D32881"/>
    <w:rsid w:val="00D32958"/>
    <w:rsid w:val="00D32A2B"/>
    <w:rsid w:val="00D32A4F"/>
    <w:rsid w:val="00D32C5C"/>
    <w:rsid w:val="00D32C63"/>
    <w:rsid w:val="00D32E79"/>
    <w:rsid w:val="00D32FE4"/>
    <w:rsid w:val="00D33008"/>
    <w:rsid w:val="00D33113"/>
    <w:rsid w:val="00D332AA"/>
    <w:rsid w:val="00D3336B"/>
    <w:rsid w:val="00D334C7"/>
    <w:rsid w:val="00D3386D"/>
    <w:rsid w:val="00D33899"/>
    <w:rsid w:val="00D338C1"/>
    <w:rsid w:val="00D33955"/>
    <w:rsid w:val="00D339C2"/>
    <w:rsid w:val="00D33B60"/>
    <w:rsid w:val="00D33CF1"/>
    <w:rsid w:val="00D33CFD"/>
    <w:rsid w:val="00D33D23"/>
    <w:rsid w:val="00D3406D"/>
    <w:rsid w:val="00D3409D"/>
    <w:rsid w:val="00D340D6"/>
    <w:rsid w:val="00D34187"/>
    <w:rsid w:val="00D342C5"/>
    <w:rsid w:val="00D34441"/>
    <w:rsid w:val="00D34560"/>
    <w:rsid w:val="00D34808"/>
    <w:rsid w:val="00D3480F"/>
    <w:rsid w:val="00D348A2"/>
    <w:rsid w:val="00D34B1B"/>
    <w:rsid w:val="00D34B52"/>
    <w:rsid w:val="00D34F81"/>
    <w:rsid w:val="00D3584D"/>
    <w:rsid w:val="00D3585A"/>
    <w:rsid w:val="00D35932"/>
    <w:rsid w:val="00D35963"/>
    <w:rsid w:val="00D359D7"/>
    <w:rsid w:val="00D35A2F"/>
    <w:rsid w:val="00D35CC6"/>
    <w:rsid w:val="00D3608A"/>
    <w:rsid w:val="00D36113"/>
    <w:rsid w:val="00D36574"/>
    <w:rsid w:val="00D36877"/>
    <w:rsid w:val="00D368E5"/>
    <w:rsid w:val="00D36A46"/>
    <w:rsid w:val="00D36CB3"/>
    <w:rsid w:val="00D371FB"/>
    <w:rsid w:val="00D37424"/>
    <w:rsid w:val="00D3754F"/>
    <w:rsid w:val="00D37575"/>
    <w:rsid w:val="00D37B28"/>
    <w:rsid w:val="00D37BD3"/>
    <w:rsid w:val="00D37D1F"/>
    <w:rsid w:val="00D37DC6"/>
    <w:rsid w:val="00D37F07"/>
    <w:rsid w:val="00D37FC0"/>
    <w:rsid w:val="00D37FD7"/>
    <w:rsid w:val="00D400E5"/>
    <w:rsid w:val="00D40139"/>
    <w:rsid w:val="00D4039A"/>
    <w:rsid w:val="00D403F4"/>
    <w:rsid w:val="00D405D0"/>
    <w:rsid w:val="00D40860"/>
    <w:rsid w:val="00D4094C"/>
    <w:rsid w:val="00D40AA5"/>
    <w:rsid w:val="00D40B3B"/>
    <w:rsid w:val="00D40C49"/>
    <w:rsid w:val="00D40D00"/>
    <w:rsid w:val="00D40E98"/>
    <w:rsid w:val="00D40ED1"/>
    <w:rsid w:val="00D4100D"/>
    <w:rsid w:val="00D4125A"/>
    <w:rsid w:val="00D4126B"/>
    <w:rsid w:val="00D412CD"/>
    <w:rsid w:val="00D41429"/>
    <w:rsid w:val="00D414C2"/>
    <w:rsid w:val="00D415BA"/>
    <w:rsid w:val="00D41734"/>
    <w:rsid w:val="00D419C0"/>
    <w:rsid w:val="00D41A24"/>
    <w:rsid w:val="00D41B06"/>
    <w:rsid w:val="00D41BF2"/>
    <w:rsid w:val="00D41D61"/>
    <w:rsid w:val="00D41DD8"/>
    <w:rsid w:val="00D41F43"/>
    <w:rsid w:val="00D41F5B"/>
    <w:rsid w:val="00D420F3"/>
    <w:rsid w:val="00D42394"/>
    <w:rsid w:val="00D42615"/>
    <w:rsid w:val="00D42643"/>
    <w:rsid w:val="00D42809"/>
    <w:rsid w:val="00D42CED"/>
    <w:rsid w:val="00D42D4C"/>
    <w:rsid w:val="00D42DF7"/>
    <w:rsid w:val="00D42E85"/>
    <w:rsid w:val="00D430FA"/>
    <w:rsid w:val="00D43195"/>
    <w:rsid w:val="00D4358F"/>
    <w:rsid w:val="00D43961"/>
    <w:rsid w:val="00D43A6E"/>
    <w:rsid w:val="00D43AD8"/>
    <w:rsid w:val="00D43B1A"/>
    <w:rsid w:val="00D43B44"/>
    <w:rsid w:val="00D43D90"/>
    <w:rsid w:val="00D43DF4"/>
    <w:rsid w:val="00D43F11"/>
    <w:rsid w:val="00D43F86"/>
    <w:rsid w:val="00D44214"/>
    <w:rsid w:val="00D4421E"/>
    <w:rsid w:val="00D4426F"/>
    <w:rsid w:val="00D443A0"/>
    <w:rsid w:val="00D444CB"/>
    <w:rsid w:val="00D448BC"/>
    <w:rsid w:val="00D44B24"/>
    <w:rsid w:val="00D44CC7"/>
    <w:rsid w:val="00D44DBB"/>
    <w:rsid w:val="00D44E65"/>
    <w:rsid w:val="00D45035"/>
    <w:rsid w:val="00D451D7"/>
    <w:rsid w:val="00D453D6"/>
    <w:rsid w:val="00D45410"/>
    <w:rsid w:val="00D4548F"/>
    <w:rsid w:val="00D45824"/>
    <w:rsid w:val="00D458BE"/>
    <w:rsid w:val="00D45A9C"/>
    <w:rsid w:val="00D45C0A"/>
    <w:rsid w:val="00D45F8D"/>
    <w:rsid w:val="00D45FE4"/>
    <w:rsid w:val="00D46297"/>
    <w:rsid w:val="00D4653B"/>
    <w:rsid w:val="00D4654F"/>
    <w:rsid w:val="00D465F3"/>
    <w:rsid w:val="00D46B0C"/>
    <w:rsid w:val="00D46E78"/>
    <w:rsid w:val="00D4712A"/>
    <w:rsid w:val="00D47360"/>
    <w:rsid w:val="00D47560"/>
    <w:rsid w:val="00D475D7"/>
    <w:rsid w:val="00D477C3"/>
    <w:rsid w:val="00D478B0"/>
    <w:rsid w:val="00D47972"/>
    <w:rsid w:val="00D479ED"/>
    <w:rsid w:val="00D47A57"/>
    <w:rsid w:val="00D47A63"/>
    <w:rsid w:val="00D47CA3"/>
    <w:rsid w:val="00D47D83"/>
    <w:rsid w:val="00D47ECE"/>
    <w:rsid w:val="00D47FC8"/>
    <w:rsid w:val="00D5011A"/>
    <w:rsid w:val="00D50388"/>
    <w:rsid w:val="00D5049A"/>
    <w:rsid w:val="00D504A4"/>
    <w:rsid w:val="00D508D7"/>
    <w:rsid w:val="00D50915"/>
    <w:rsid w:val="00D50A51"/>
    <w:rsid w:val="00D50B19"/>
    <w:rsid w:val="00D50B8C"/>
    <w:rsid w:val="00D50D59"/>
    <w:rsid w:val="00D51015"/>
    <w:rsid w:val="00D510E1"/>
    <w:rsid w:val="00D511DD"/>
    <w:rsid w:val="00D51258"/>
    <w:rsid w:val="00D514F7"/>
    <w:rsid w:val="00D51511"/>
    <w:rsid w:val="00D51670"/>
    <w:rsid w:val="00D51771"/>
    <w:rsid w:val="00D51893"/>
    <w:rsid w:val="00D51B7E"/>
    <w:rsid w:val="00D51BF1"/>
    <w:rsid w:val="00D51C8C"/>
    <w:rsid w:val="00D51EB1"/>
    <w:rsid w:val="00D52349"/>
    <w:rsid w:val="00D5240E"/>
    <w:rsid w:val="00D52542"/>
    <w:rsid w:val="00D52581"/>
    <w:rsid w:val="00D527F5"/>
    <w:rsid w:val="00D52BE2"/>
    <w:rsid w:val="00D52DAB"/>
    <w:rsid w:val="00D52EAA"/>
    <w:rsid w:val="00D52EFD"/>
    <w:rsid w:val="00D52EFE"/>
    <w:rsid w:val="00D52F78"/>
    <w:rsid w:val="00D5310E"/>
    <w:rsid w:val="00D532BA"/>
    <w:rsid w:val="00D5340E"/>
    <w:rsid w:val="00D5380E"/>
    <w:rsid w:val="00D53815"/>
    <w:rsid w:val="00D53860"/>
    <w:rsid w:val="00D53A1D"/>
    <w:rsid w:val="00D53A8F"/>
    <w:rsid w:val="00D53BBE"/>
    <w:rsid w:val="00D53BDA"/>
    <w:rsid w:val="00D53DE8"/>
    <w:rsid w:val="00D54012"/>
    <w:rsid w:val="00D54168"/>
    <w:rsid w:val="00D542E8"/>
    <w:rsid w:val="00D54346"/>
    <w:rsid w:val="00D543E0"/>
    <w:rsid w:val="00D546EC"/>
    <w:rsid w:val="00D5480D"/>
    <w:rsid w:val="00D54828"/>
    <w:rsid w:val="00D548FC"/>
    <w:rsid w:val="00D54A42"/>
    <w:rsid w:val="00D54B3B"/>
    <w:rsid w:val="00D54B40"/>
    <w:rsid w:val="00D54D9E"/>
    <w:rsid w:val="00D54E75"/>
    <w:rsid w:val="00D54FE9"/>
    <w:rsid w:val="00D550FD"/>
    <w:rsid w:val="00D554D6"/>
    <w:rsid w:val="00D55619"/>
    <w:rsid w:val="00D556DF"/>
    <w:rsid w:val="00D55D2D"/>
    <w:rsid w:val="00D55D6C"/>
    <w:rsid w:val="00D55E75"/>
    <w:rsid w:val="00D55FF9"/>
    <w:rsid w:val="00D562D3"/>
    <w:rsid w:val="00D56361"/>
    <w:rsid w:val="00D565F1"/>
    <w:rsid w:val="00D565F7"/>
    <w:rsid w:val="00D56603"/>
    <w:rsid w:val="00D56C7C"/>
    <w:rsid w:val="00D56C9F"/>
    <w:rsid w:val="00D56D35"/>
    <w:rsid w:val="00D56F31"/>
    <w:rsid w:val="00D56F7C"/>
    <w:rsid w:val="00D570F3"/>
    <w:rsid w:val="00D57150"/>
    <w:rsid w:val="00D5746C"/>
    <w:rsid w:val="00D57568"/>
    <w:rsid w:val="00D576B5"/>
    <w:rsid w:val="00D576F4"/>
    <w:rsid w:val="00D57C64"/>
    <w:rsid w:val="00D600BC"/>
    <w:rsid w:val="00D602E7"/>
    <w:rsid w:val="00D60456"/>
    <w:rsid w:val="00D607A9"/>
    <w:rsid w:val="00D60CBE"/>
    <w:rsid w:val="00D610B3"/>
    <w:rsid w:val="00D6110A"/>
    <w:rsid w:val="00D6136C"/>
    <w:rsid w:val="00D613C8"/>
    <w:rsid w:val="00D614E6"/>
    <w:rsid w:val="00D61509"/>
    <w:rsid w:val="00D617E3"/>
    <w:rsid w:val="00D61867"/>
    <w:rsid w:val="00D618C5"/>
    <w:rsid w:val="00D619AA"/>
    <w:rsid w:val="00D620A0"/>
    <w:rsid w:val="00D620E8"/>
    <w:rsid w:val="00D62408"/>
    <w:rsid w:val="00D62724"/>
    <w:rsid w:val="00D6276C"/>
    <w:rsid w:val="00D62869"/>
    <w:rsid w:val="00D62A77"/>
    <w:rsid w:val="00D62E64"/>
    <w:rsid w:val="00D62ECC"/>
    <w:rsid w:val="00D62FF4"/>
    <w:rsid w:val="00D630D7"/>
    <w:rsid w:val="00D630F0"/>
    <w:rsid w:val="00D63117"/>
    <w:rsid w:val="00D63196"/>
    <w:rsid w:val="00D632DD"/>
    <w:rsid w:val="00D634F6"/>
    <w:rsid w:val="00D63A4D"/>
    <w:rsid w:val="00D63B8E"/>
    <w:rsid w:val="00D63BF8"/>
    <w:rsid w:val="00D63CB2"/>
    <w:rsid w:val="00D63EAD"/>
    <w:rsid w:val="00D64159"/>
    <w:rsid w:val="00D644A6"/>
    <w:rsid w:val="00D64950"/>
    <w:rsid w:val="00D64ABD"/>
    <w:rsid w:val="00D64BE0"/>
    <w:rsid w:val="00D64C6D"/>
    <w:rsid w:val="00D64C7F"/>
    <w:rsid w:val="00D64D60"/>
    <w:rsid w:val="00D652CB"/>
    <w:rsid w:val="00D65586"/>
    <w:rsid w:val="00D65616"/>
    <w:rsid w:val="00D659D7"/>
    <w:rsid w:val="00D65AFF"/>
    <w:rsid w:val="00D65EC7"/>
    <w:rsid w:val="00D65EEE"/>
    <w:rsid w:val="00D6600A"/>
    <w:rsid w:val="00D6611B"/>
    <w:rsid w:val="00D66157"/>
    <w:rsid w:val="00D661EF"/>
    <w:rsid w:val="00D664EE"/>
    <w:rsid w:val="00D665F6"/>
    <w:rsid w:val="00D668E0"/>
    <w:rsid w:val="00D66C34"/>
    <w:rsid w:val="00D66FBB"/>
    <w:rsid w:val="00D671AA"/>
    <w:rsid w:val="00D671FC"/>
    <w:rsid w:val="00D67735"/>
    <w:rsid w:val="00D678AC"/>
    <w:rsid w:val="00D67C7A"/>
    <w:rsid w:val="00D67EF3"/>
    <w:rsid w:val="00D67F3A"/>
    <w:rsid w:val="00D67FE2"/>
    <w:rsid w:val="00D70244"/>
    <w:rsid w:val="00D703D3"/>
    <w:rsid w:val="00D70760"/>
    <w:rsid w:val="00D7094D"/>
    <w:rsid w:val="00D70CA7"/>
    <w:rsid w:val="00D7102C"/>
    <w:rsid w:val="00D710A4"/>
    <w:rsid w:val="00D71272"/>
    <w:rsid w:val="00D71793"/>
    <w:rsid w:val="00D718FF"/>
    <w:rsid w:val="00D7197F"/>
    <w:rsid w:val="00D71CCE"/>
    <w:rsid w:val="00D71DAA"/>
    <w:rsid w:val="00D720B2"/>
    <w:rsid w:val="00D720EF"/>
    <w:rsid w:val="00D7229B"/>
    <w:rsid w:val="00D727B4"/>
    <w:rsid w:val="00D72922"/>
    <w:rsid w:val="00D72A80"/>
    <w:rsid w:val="00D72C1E"/>
    <w:rsid w:val="00D72E95"/>
    <w:rsid w:val="00D73157"/>
    <w:rsid w:val="00D7338D"/>
    <w:rsid w:val="00D7382C"/>
    <w:rsid w:val="00D73CEE"/>
    <w:rsid w:val="00D73E38"/>
    <w:rsid w:val="00D73E92"/>
    <w:rsid w:val="00D73F53"/>
    <w:rsid w:val="00D74153"/>
    <w:rsid w:val="00D74170"/>
    <w:rsid w:val="00D7459C"/>
    <w:rsid w:val="00D745A0"/>
    <w:rsid w:val="00D74710"/>
    <w:rsid w:val="00D74849"/>
    <w:rsid w:val="00D74A2F"/>
    <w:rsid w:val="00D74AB4"/>
    <w:rsid w:val="00D74BD6"/>
    <w:rsid w:val="00D74E60"/>
    <w:rsid w:val="00D74EEE"/>
    <w:rsid w:val="00D75003"/>
    <w:rsid w:val="00D7501E"/>
    <w:rsid w:val="00D75078"/>
    <w:rsid w:val="00D7515B"/>
    <w:rsid w:val="00D7515C"/>
    <w:rsid w:val="00D752FE"/>
    <w:rsid w:val="00D75656"/>
    <w:rsid w:val="00D757F4"/>
    <w:rsid w:val="00D75B80"/>
    <w:rsid w:val="00D75D45"/>
    <w:rsid w:val="00D75EE6"/>
    <w:rsid w:val="00D75FF3"/>
    <w:rsid w:val="00D76BD2"/>
    <w:rsid w:val="00D76C4C"/>
    <w:rsid w:val="00D76C52"/>
    <w:rsid w:val="00D76C82"/>
    <w:rsid w:val="00D76E92"/>
    <w:rsid w:val="00D76F1D"/>
    <w:rsid w:val="00D77107"/>
    <w:rsid w:val="00D77150"/>
    <w:rsid w:val="00D777F9"/>
    <w:rsid w:val="00D77936"/>
    <w:rsid w:val="00D7795B"/>
    <w:rsid w:val="00D7798C"/>
    <w:rsid w:val="00D77AD6"/>
    <w:rsid w:val="00D77C77"/>
    <w:rsid w:val="00D77CF8"/>
    <w:rsid w:val="00D80008"/>
    <w:rsid w:val="00D80077"/>
    <w:rsid w:val="00D801DC"/>
    <w:rsid w:val="00D802E7"/>
    <w:rsid w:val="00D802F0"/>
    <w:rsid w:val="00D80708"/>
    <w:rsid w:val="00D80731"/>
    <w:rsid w:val="00D807F4"/>
    <w:rsid w:val="00D80832"/>
    <w:rsid w:val="00D80B05"/>
    <w:rsid w:val="00D80FD9"/>
    <w:rsid w:val="00D810FD"/>
    <w:rsid w:val="00D81454"/>
    <w:rsid w:val="00D81525"/>
    <w:rsid w:val="00D819DD"/>
    <w:rsid w:val="00D81B3F"/>
    <w:rsid w:val="00D81EA6"/>
    <w:rsid w:val="00D81FEE"/>
    <w:rsid w:val="00D820DA"/>
    <w:rsid w:val="00D8211E"/>
    <w:rsid w:val="00D822ED"/>
    <w:rsid w:val="00D824D8"/>
    <w:rsid w:val="00D824DC"/>
    <w:rsid w:val="00D825DE"/>
    <w:rsid w:val="00D82606"/>
    <w:rsid w:val="00D82839"/>
    <w:rsid w:val="00D82A24"/>
    <w:rsid w:val="00D82A47"/>
    <w:rsid w:val="00D82A88"/>
    <w:rsid w:val="00D82C1A"/>
    <w:rsid w:val="00D82D6A"/>
    <w:rsid w:val="00D82E59"/>
    <w:rsid w:val="00D83189"/>
    <w:rsid w:val="00D8319B"/>
    <w:rsid w:val="00D833E5"/>
    <w:rsid w:val="00D833EB"/>
    <w:rsid w:val="00D83645"/>
    <w:rsid w:val="00D83739"/>
    <w:rsid w:val="00D8377D"/>
    <w:rsid w:val="00D83AE0"/>
    <w:rsid w:val="00D83C44"/>
    <w:rsid w:val="00D83DC4"/>
    <w:rsid w:val="00D83DC7"/>
    <w:rsid w:val="00D83FFC"/>
    <w:rsid w:val="00D8415C"/>
    <w:rsid w:val="00D8452D"/>
    <w:rsid w:val="00D84A1B"/>
    <w:rsid w:val="00D84E32"/>
    <w:rsid w:val="00D84F1B"/>
    <w:rsid w:val="00D85134"/>
    <w:rsid w:val="00D851FB"/>
    <w:rsid w:val="00D8520F"/>
    <w:rsid w:val="00D85454"/>
    <w:rsid w:val="00D8549A"/>
    <w:rsid w:val="00D8559F"/>
    <w:rsid w:val="00D85715"/>
    <w:rsid w:val="00D857FE"/>
    <w:rsid w:val="00D8588B"/>
    <w:rsid w:val="00D859FE"/>
    <w:rsid w:val="00D85A11"/>
    <w:rsid w:val="00D85AC1"/>
    <w:rsid w:val="00D85BC9"/>
    <w:rsid w:val="00D85D2F"/>
    <w:rsid w:val="00D85E16"/>
    <w:rsid w:val="00D85E1A"/>
    <w:rsid w:val="00D85E74"/>
    <w:rsid w:val="00D85EC5"/>
    <w:rsid w:val="00D85F51"/>
    <w:rsid w:val="00D85FBC"/>
    <w:rsid w:val="00D861A9"/>
    <w:rsid w:val="00D86303"/>
    <w:rsid w:val="00D8641B"/>
    <w:rsid w:val="00D86487"/>
    <w:rsid w:val="00D86581"/>
    <w:rsid w:val="00D86692"/>
    <w:rsid w:val="00D866D1"/>
    <w:rsid w:val="00D867DF"/>
    <w:rsid w:val="00D86830"/>
    <w:rsid w:val="00D86864"/>
    <w:rsid w:val="00D86E0E"/>
    <w:rsid w:val="00D86E2B"/>
    <w:rsid w:val="00D870C6"/>
    <w:rsid w:val="00D87107"/>
    <w:rsid w:val="00D8711F"/>
    <w:rsid w:val="00D87A8F"/>
    <w:rsid w:val="00D87B6C"/>
    <w:rsid w:val="00D87CFF"/>
    <w:rsid w:val="00D87D0A"/>
    <w:rsid w:val="00D87F3D"/>
    <w:rsid w:val="00D9032E"/>
    <w:rsid w:val="00D90873"/>
    <w:rsid w:val="00D9087B"/>
    <w:rsid w:val="00D90B0C"/>
    <w:rsid w:val="00D90C52"/>
    <w:rsid w:val="00D90CF0"/>
    <w:rsid w:val="00D910D7"/>
    <w:rsid w:val="00D9120F"/>
    <w:rsid w:val="00D91247"/>
    <w:rsid w:val="00D9134A"/>
    <w:rsid w:val="00D9138A"/>
    <w:rsid w:val="00D913F9"/>
    <w:rsid w:val="00D91409"/>
    <w:rsid w:val="00D91643"/>
    <w:rsid w:val="00D917ED"/>
    <w:rsid w:val="00D918FD"/>
    <w:rsid w:val="00D91940"/>
    <w:rsid w:val="00D91957"/>
    <w:rsid w:val="00D91AA4"/>
    <w:rsid w:val="00D91AD7"/>
    <w:rsid w:val="00D91B44"/>
    <w:rsid w:val="00D91C1C"/>
    <w:rsid w:val="00D91D01"/>
    <w:rsid w:val="00D91D79"/>
    <w:rsid w:val="00D91E9E"/>
    <w:rsid w:val="00D91FC9"/>
    <w:rsid w:val="00D9204F"/>
    <w:rsid w:val="00D92187"/>
    <w:rsid w:val="00D92440"/>
    <w:rsid w:val="00D92459"/>
    <w:rsid w:val="00D924EF"/>
    <w:rsid w:val="00D92501"/>
    <w:rsid w:val="00D9253F"/>
    <w:rsid w:val="00D92564"/>
    <w:rsid w:val="00D929C7"/>
    <w:rsid w:val="00D92AF6"/>
    <w:rsid w:val="00D92B05"/>
    <w:rsid w:val="00D92C0A"/>
    <w:rsid w:val="00D92FB9"/>
    <w:rsid w:val="00D93016"/>
    <w:rsid w:val="00D9306A"/>
    <w:rsid w:val="00D93572"/>
    <w:rsid w:val="00D9376B"/>
    <w:rsid w:val="00D93778"/>
    <w:rsid w:val="00D93876"/>
    <w:rsid w:val="00D938AA"/>
    <w:rsid w:val="00D93975"/>
    <w:rsid w:val="00D93C84"/>
    <w:rsid w:val="00D93CF0"/>
    <w:rsid w:val="00D93D69"/>
    <w:rsid w:val="00D93F6F"/>
    <w:rsid w:val="00D94118"/>
    <w:rsid w:val="00D94275"/>
    <w:rsid w:val="00D942B7"/>
    <w:rsid w:val="00D9445A"/>
    <w:rsid w:val="00D94566"/>
    <w:rsid w:val="00D945F5"/>
    <w:rsid w:val="00D945F6"/>
    <w:rsid w:val="00D9470E"/>
    <w:rsid w:val="00D9476F"/>
    <w:rsid w:val="00D947FA"/>
    <w:rsid w:val="00D94827"/>
    <w:rsid w:val="00D948AA"/>
    <w:rsid w:val="00D94960"/>
    <w:rsid w:val="00D9497A"/>
    <w:rsid w:val="00D94AD8"/>
    <w:rsid w:val="00D94C5D"/>
    <w:rsid w:val="00D94C82"/>
    <w:rsid w:val="00D94CDD"/>
    <w:rsid w:val="00D94DCE"/>
    <w:rsid w:val="00D94E3B"/>
    <w:rsid w:val="00D950D2"/>
    <w:rsid w:val="00D950FC"/>
    <w:rsid w:val="00D9512E"/>
    <w:rsid w:val="00D9527A"/>
    <w:rsid w:val="00D95556"/>
    <w:rsid w:val="00D955F1"/>
    <w:rsid w:val="00D95688"/>
    <w:rsid w:val="00D95762"/>
    <w:rsid w:val="00D958DF"/>
    <w:rsid w:val="00D95A5E"/>
    <w:rsid w:val="00D95E32"/>
    <w:rsid w:val="00D95FD7"/>
    <w:rsid w:val="00D96036"/>
    <w:rsid w:val="00D96112"/>
    <w:rsid w:val="00D96982"/>
    <w:rsid w:val="00D969C1"/>
    <w:rsid w:val="00D969CE"/>
    <w:rsid w:val="00D96AA3"/>
    <w:rsid w:val="00D96E07"/>
    <w:rsid w:val="00D96FA8"/>
    <w:rsid w:val="00D96FEA"/>
    <w:rsid w:val="00D971E7"/>
    <w:rsid w:val="00D97223"/>
    <w:rsid w:val="00D972EA"/>
    <w:rsid w:val="00D976F9"/>
    <w:rsid w:val="00D977AD"/>
    <w:rsid w:val="00D977F3"/>
    <w:rsid w:val="00D9796C"/>
    <w:rsid w:val="00D97AD5"/>
    <w:rsid w:val="00D97B26"/>
    <w:rsid w:val="00D97CAF"/>
    <w:rsid w:val="00D97EBA"/>
    <w:rsid w:val="00D97F1D"/>
    <w:rsid w:val="00D97F31"/>
    <w:rsid w:val="00D97FEA"/>
    <w:rsid w:val="00DA003B"/>
    <w:rsid w:val="00DA007E"/>
    <w:rsid w:val="00DA0240"/>
    <w:rsid w:val="00DA05C5"/>
    <w:rsid w:val="00DA08E1"/>
    <w:rsid w:val="00DA0C1D"/>
    <w:rsid w:val="00DA0F25"/>
    <w:rsid w:val="00DA1082"/>
    <w:rsid w:val="00DA1221"/>
    <w:rsid w:val="00DA1326"/>
    <w:rsid w:val="00DA1449"/>
    <w:rsid w:val="00DA15B7"/>
    <w:rsid w:val="00DA1702"/>
    <w:rsid w:val="00DA193F"/>
    <w:rsid w:val="00DA1A47"/>
    <w:rsid w:val="00DA1A4F"/>
    <w:rsid w:val="00DA1C45"/>
    <w:rsid w:val="00DA2071"/>
    <w:rsid w:val="00DA20EB"/>
    <w:rsid w:val="00DA2347"/>
    <w:rsid w:val="00DA24CE"/>
    <w:rsid w:val="00DA2898"/>
    <w:rsid w:val="00DA28E3"/>
    <w:rsid w:val="00DA2910"/>
    <w:rsid w:val="00DA2949"/>
    <w:rsid w:val="00DA29FD"/>
    <w:rsid w:val="00DA2AB2"/>
    <w:rsid w:val="00DA325F"/>
    <w:rsid w:val="00DA3380"/>
    <w:rsid w:val="00DA33DE"/>
    <w:rsid w:val="00DA35AD"/>
    <w:rsid w:val="00DA36F5"/>
    <w:rsid w:val="00DA373C"/>
    <w:rsid w:val="00DA3797"/>
    <w:rsid w:val="00DA37CF"/>
    <w:rsid w:val="00DA396B"/>
    <w:rsid w:val="00DA3AC5"/>
    <w:rsid w:val="00DA3D03"/>
    <w:rsid w:val="00DA3F4B"/>
    <w:rsid w:val="00DA4443"/>
    <w:rsid w:val="00DA45F6"/>
    <w:rsid w:val="00DA46E4"/>
    <w:rsid w:val="00DA497A"/>
    <w:rsid w:val="00DA49C7"/>
    <w:rsid w:val="00DA4A3F"/>
    <w:rsid w:val="00DA4A6D"/>
    <w:rsid w:val="00DA4DF2"/>
    <w:rsid w:val="00DA4E09"/>
    <w:rsid w:val="00DA4ED9"/>
    <w:rsid w:val="00DA514A"/>
    <w:rsid w:val="00DA539D"/>
    <w:rsid w:val="00DA56F4"/>
    <w:rsid w:val="00DA5831"/>
    <w:rsid w:val="00DA58AE"/>
    <w:rsid w:val="00DA5AD0"/>
    <w:rsid w:val="00DA5B6F"/>
    <w:rsid w:val="00DA5BF0"/>
    <w:rsid w:val="00DA5E27"/>
    <w:rsid w:val="00DA6125"/>
    <w:rsid w:val="00DA6248"/>
    <w:rsid w:val="00DA6415"/>
    <w:rsid w:val="00DA6543"/>
    <w:rsid w:val="00DA67C5"/>
    <w:rsid w:val="00DA688C"/>
    <w:rsid w:val="00DA68E1"/>
    <w:rsid w:val="00DA6C8D"/>
    <w:rsid w:val="00DA6CF1"/>
    <w:rsid w:val="00DA6F3C"/>
    <w:rsid w:val="00DA6F84"/>
    <w:rsid w:val="00DA7290"/>
    <w:rsid w:val="00DA73D5"/>
    <w:rsid w:val="00DA7400"/>
    <w:rsid w:val="00DA7584"/>
    <w:rsid w:val="00DA7686"/>
    <w:rsid w:val="00DA7894"/>
    <w:rsid w:val="00DA7C4C"/>
    <w:rsid w:val="00DA7CED"/>
    <w:rsid w:val="00DA7D70"/>
    <w:rsid w:val="00DA7DD4"/>
    <w:rsid w:val="00DA7FCB"/>
    <w:rsid w:val="00DA7FFC"/>
    <w:rsid w:val="00DB0058"/>
    <w:rsid w:val="00DB0528"/>
    <w:rsid w:val="00DB06D3"/>
    <w:rsid w:val="00DB0EF1"/>
    <w:rsid w:val="00DB113B"/>
    <w:rsid w:val="00DB14FE"/>
    <w:rsid w:val="00DB1D36"/>
    <w:rsid w:val="00DB1F31"/>
    <w:rsid w:val="00DB22E4"/>
    <w:rsid w:val="00DB25A5"/>
    <w:rsid w:val="00DB2929"/>
    <w:rsid w:val="00DB29F6"/>
    <w:rsid w:val="00DB2BEA"/>
    <w:rsid w:val="00DB2F67"/>
    <w:rsid w:val="00DB3219"/>
    <w:rsid w:val="00DB331E"/>
    <w:rsid w:val="00DB34C8"/>
    <w:rsid w:val="00DB3690"/>
    <w:rsid w:val="00DB3816"/>
    <w:rsid w:val="00DB398A"/>
    <w:rsid w:val="00DB39F6"/>
    <w:rsid w:val="00DB3A6C"/>
    <w:rsid w:val="00DB3D77"/>
    <w:rsid w:val="00DB4227"/>
    <w:rsid w:val="00DB42ED"/>
    <w:rsid w:val="00DB456E"/>
    <w:rsid w:val="00DB4672"/>
    <w:rsid w:val="00DB46B4"/>
    <w:rsid w:val="00DB4742"/>
    <w:rsid w:val="00DB4C49"/>
    <w:rsid w:val="00DB4D09"/>
    <w:rsid w:val="00DB4E20"/>
    <w:rsid w:val="00DB4E7F"/>
    <w:rsid w:val="00DB4EA9"/>
    <w:rsid w:val="00DB4EC1"/>
    <w:rsid w:val="00DB5411"/>
    <w:rsid w:val="00DB591A"/>
    <w:rsid w:val="00DB591F"/>
    <w:rsid w:val="00DB5966"/>
    <w:rsid w:val="00DB59EF"/>
    <w:rsid w:val="00DB5CD5"/>
    <w:rsid w:val="00DB5F1F"/>
    <w:rsid w:val="00DB5F9F"/>
    <w:rsid w:val="00DB6049"/>
    <w:rsid w:val="00DB61E3"/>
    <w:rsid w:val="00DB628A"/>
    <w:rsid w:val="00DB6393"/>
    <w:rsid w:val="00DB6493"/>
    <w:rsid w:val="00DB67A2"/>
    <w:rsid w:val="00DB689B"/>
    <w:rsid w:val="00DB6913"/>
    <w:rsid w:val="00DB6B1E"/>
    <w:rsid w:val="00DB6CD4"/>
    <w:rsid w:val="00DB6D11"/>
    <w:rsid w:val="00DB7501"/>
    <w:rsid w:val="00DB75BB"/>
    <w:rsid w:val="00DB76AA"/>
    <w:rsid w:val="00DB76E6"/>
    <w:rsid w:val="00DB7708"/>
    <w:rsid w:val="00DB78BD"/>
    <w:rsid w:val="00DB7A2D"/>
    <w:rsid w:val="00DB7B49"/>
    <w:rsid w:val="00DB7B6D"/>
    <w:rsid w:val="00DB7BBF"/>
    <w:rsid w:val="00DB7CAC"/>
    <w:rsid w:val="00DB7E13"/>
    <w:rsid w:val="00DB7ED9"/>
    <w:rsid w:val="00DB7F5B"/>
    <w:rsid w:val="00DC0055"/>
    <w:rsid w:val="00DC006D"/>
    <w:rsid w:val="00DC013E"/>
    <w:rsid w:val="00DC0147"/>
    <w:rsid w:val="00DC0270"/>
    <w:rsid w:val="00DC0AC1"/>
    <w:rsid w:val="00DC0B3B"/>
    <w:rsid w:val="00DC0B7D"/>
    <w:rsid w:val="00DC0DAF"/>
    <w:rsid w:val="00DC0DB0"/>
    <w:rsid w:val="00DC0DD9"/>
    <w:rsid w:val="00DC0DF9"/>
    <w:rsid w:val="00DC10E7"/>
    <w:rsid w:val="00DC1210"/>
    <w:rsid w:val="00DC1389"/>
    <w:rsid w:val="00DC16BE"/>
    <w:rsid w:val="00DC16F0"/>
    <w:rsid w:val="00DC1708"/>
    <w:rsid w:val="00DC177A"/>
    <w:rsid w:val="00DC1933"/>
    <w:rsid w:val="00DC1A64"/>
    <w:rsid w:val="00DC1D86"/>
    <w:rsid w:val="00DC2053"/>
    <w:rsid w:val="00DC2109"/>
    <w:rsid w:val="00DC2395"/>
    <w:rsid w:val="00DC25EF"/>
    <w:rsid w:val="00DC2C4A"/>
    <w:rsid w:val="00DC2D4E"/>
    <w:rsid w:val="00DC2E8B"/>
    <w:rsid w:val="00DC2F05"/>
    <w:rsid w:val="00DC2F85"/>
    <w:rsid w:val="00DC2F9B"/>
    <w:rsid w:val="00DC31F8"/>
    <w:rsid w:val="00DC35E5"/>
    <w:rsid w:val="00DC3734"/>
    <w:rsid w:val="00DC374A"/>
    <w:rsid w:val="00DC37E6"/>
    <w:rsid w:val="00DC3929"/>
    <w:rsid w:val="00DC3DAA"/>
    <w:rsid w:val="00DC3E84"/>
    <w:rsid w:val="00DC3E95"/>
    <w:rsid w:val="00DC43AC"/>
    <w:rsid w:val="00DC441E"/>
    <w:rsid w:val="00DC44EC"/>
    <w:rsid w:val="00DC45D5"/>
    <w:rsid w:val="00DC4ABA"/>
    <w:rsid w:val="00DC4CCB"/>
    <w:rsid w:val="00DC4D34"/>
    <w:rsid w:val="00DC5116"/>
    <w:rsid w:val="00DC52D1"/>
    <w:rsid w:val="00DC531D"/>
    <w:rsid w:val="00DC5327"/>
    <w:rsid w:val="00DC576E"/>
    <w:rsid w:val="00DC5850"/>
    <w:rsid w:val="00DC5D0D"/>
    <w:rsid w:val="00DC5F70"/>
    <w:rsid w:val="00DC5FB7"/>
    <w:rsid w:val="00DC622D"/>
    <w:rsid w:val="00DC623E"/>
    <w:rsid w:val="00DC6302"/>
    <w:rsid w:val="00DC647F"/>
    <w:rsid w:val="00DC6480"/>
    <w:rsid w:val="00DC6585"/>
    <w:rsid w:val="00DC6589"/>
    <w:rsid w:val="00DC6652"/>
    <w:rsid w:val="00DC6691"/>
    <w:rsid w:val="00DC681E"/>
    <w:rsid w:val="00DC6891"/>
    <w:rsid w:val="00DC6D74"/>
    <w:rsid w:val="00DC711F"/>
    <w:rsid w:val="00DC75BB"/>
    <w:rsid w:val="00DC75F0"/>
    <w:rsid w:val="00DC7732"/>
    <w:rsid w:val="00DC7860"/>
    <w:rsid w:val="00DC797B"/>
    <w:rsid w:val="00DC79CC"/>
    <w:rsid w:val="00DC7E84"/>
    <w:rsid w:val="00DD00D9"/>
    <w:rsid w:val="00DD02B7"/>
    <w:rsid w:val="00DD036F"/>
    <w:rsid w:val="00DD0A69"/>
    <w:rsid w:val="00DD0A9F"/>
    <w:rsid w:val="00DD0AA7"/>
    <w:rsid w:val="00DD0C33"/>
    <w:rsid w:val="00DD0C37"/>
    <w:rsid w:val="00DD0F98"/>
    <w:rsid w:val="00DD1540"/>
    <w:rsid w:val="00DD1658"/>
    <w:rsid w:val="00DD19DE"/>
    <w:rsid w:val="00DD1A16"/>
    <w:rsid w:val="00DD1D2A"/>
    <w:rsid w:val="00DD1F2A"/>
    <w:rsid w:val="00DD1F8B"/>
    <w:rsid w:val="00DD2049"/>
    <w:rsid w:val="00DD2173"/>
    <w:rsid w:val="00DD229E"/>
    <w:rsid w:val="00DD22C0"/>
    <w:rsid w:val="00DD2307"/>
    <w:rsid w:val="00DD25CF"/>
    <w:rsid w:val="00DD2768"/>
    <w:rsid w:val="00DD28C5"/>
    <w:rsid w:val="00DD29A6"/>
    <w:rsid w:val="00DD29E6"/>
    <w:rsid w:val="00DD2A47"/>
    <w:rsid w:val="00DD2DE0"/>
    <w:rsid w:val="00DD2DE3"/>
    <w:rsid w:val="00DD2E1A"/>
    <w:rsid w:val="00DD2F5A"/>
    <w:rsid w:val="00DD3213"/>
    <w:rsid w:val="00DD327D"/>
    <w:rsid w:val="00DD349A"/>
    <w:rsid w:val="00DD3583"/>
    <w:rsid w:val="00DD3904"/>
    <w:rsid w:val="00DD3A74"/>
    <w:rsid w:val="00DD3B1F"/>
    <w:rsid w:val="00DD3B28"/>
    <w:rsid w:val="00DD3B50"/>
    <w:rsid w:val="00DD408E"/>
    <w:rsid w:val="00DD412B"/>
    <w:rsid w:val="00DD4352"/>
    <w:rsid w:val="00DD4385"/>
    <w:rsid w:val="00DD45F3"/>
    <w:rsid w:val="00DD4609"/>
    <w:rsid w:val="00DD48BD"/>
    <w:rsid w:val="00DD4A52"/>
    <w:rsid w:val="00DD50BF"/>
    <w:rsid w:val="00DD50DF"/>
    <w:rsid w:val="00DD51CA"/>
    <w:rsid w:val="00DD52AD"/>
    <w:rsid w:val="00DD532B"/>
    <w:rsid w:val="00DD547E"/>
    <w:rsid w:val="00DD55CA"/>
    <w:rsid w:val="00DD5636"/>
    <w:rsid w:val="00DD586B"/>
    <w:rsid w:val="00DD596D"/>
    <w:rsid w:val="00DD5CC2"/>
    <w:rsid w:val="00DD5CDB"/>
    <w:rsid w:val="00DD6160"/>
    <w:rsid w:val="00DD6196"/>
    <w:rsid w:val="00DD6744"/>
    <w:rsid w:val="00DD6889"/>
    <w:rsid w:val="00DD6ACF"/>
    <w:rsid w:val="00DD6C83"/>
    <w:rsid w:val="00DD70F3"/>
    <w:rsid w:val="00DD7430"/>
    <w:rsid w:val="00DD76F6"/>
    <w:rsid w:val="00DD7731"/>
    <w:rsid w:val="00DD7AAA"/>
    <w:rsid w:val="00DD7AD4"/>
    <w:rsid w:val="00DD7B3C"/>
    <w:rsid w:val="00DD7BBD"/>
    <w:rsid w:val="00DD7BEF"/>
    <w:rsid w:val="00DE0239"/>
    <w:rsid w:val="00DE03D8"/>
    <w:rsid w:val="00DE0430"/>
    <w:rsid w:val="00DE04BA"/>
    <w:rsid w:val="00DE0823"/>
    <w:rsid w:val="00DE08F1"/>
    <w:rsid w:val="00DE0B1B"/>
    <w:rsid w:val="00DE0DDC"/>
    <w:rsid w:val="00DE108E"/>
    <w:rsid w:val="00DE12DD"/>
    <w:rsid w:val="00DE1358"/>
    <w:rsid w:val="00DE13C8"/>
    <w:rsid w:val="00DE142B"/>
    <w:rsid w:val="00DE14C3"/>
    <w:rsid w:val="00DE1759"/>
    <w:rsid w:val="00DE177E"/>
    <w:rsid w:val="00DE17BD"/>
    <w:rsid w:val="00DE19A8"/>
    <w:rsid w:val="00DE1A32"/>
    <w:rsid w:val="00DE1AA6"/>
    <w:rsid w:val="00DE1B8B"/>
    <w:rsid w:val="00DE1BB2"/>
    <w:rsid w:val="00DE1E34"/>
    <w:rsid w:val="00DE1FF8"/>
    <w:rsid w:val="00DE2001"/>
    <w:rsid w:val="00DE2068"/>
    <w:rsid w:val="00DE25EF"/>
    <w:rsid w:val="00DE25F7"/>
    <w:rsid w:val="00DE261D"/>
    <w:rsid w:val="00DE2A37"/>
    <w:rsid w:val="00DE2ADE"/>
    <w:rsid w:val="00DE2CCC"/>
    <w:rsid w:val="00DE2D56"/>
    <w:rsid w:val="00DE2F36"/>
    <w:rsid w:val="00DE2F3E"/>
    <w:rsid w:val="00DE321C"/>
    <w:rsid w:val="00DE355E"/>
    <w:rsid w:val="00DE3561"/>
    <w:rsid w:val="00DE3620"/>
    <w:rsid w:val="00DE3726"/>
    <w:rsid w:val="00DE39A3"/>
    <w:rsid w:val="00DE3C3B"/>
    <w:rsid w:val="00DE3C6B"/>
    <w:rsid w:val="00DE3D13"/>
    <w:rsid w:val="00DE40C4"/>
    <w:rsid w:val="00DE41AC"/>
    <w:rsid w:val="00DE4207"/>
    <w:rsid w:val="00DE429E"/>
    <w:rsid w:val="00DE434E"/>
    <w:rsid w:val="00DE457F"/>
    <w:rsid w:val="00DE4608"/>
    <w:rsid w:val="00DE48F4"/>
    <w:rsid w:val="00DE4952"/>
    <w:rsid w:val="00DE4A2E"/>
    <w:rsid w:val="00DE4C2A"/>
    <w:rsid w:val="00DE4FD6"/>
    <w:rsid w:val="00DE4FF2"/>
    <w:rsid w:val="00DE505D"/>
    <w:rsid w:val="00DE50C9"/>
    <w:rsid w:val="00DE5281"/>
    <w:rsid w:val="00DE531F"/>
    <w:rsid w:val="00DE53B6"/>
    <w:rsid w:val="00DE55D8"/>
    <w:rsid w:val="00DE58EE"/>
    <w:rsid w:val="00DE59BD"/>
    <w:rsid w:val="00DE5A67"/>
    <w:rsid w:val="00DE64CA"/>
    <w:rsid w:val="00DE6689"/>
    <w:rsid w:val="00DE6831"/>
    <w:rsid w:val="00DE69B3"/>
    <w:rsid w:val="00DE6C74"/>
    <w:rsid w:val="00DE6CCD"/>
    <w:rsid w:val="00DE6CF4"/>
    <w:rsid w:val="00DE6DDF"/>
    <w:rsid w:val="00DE6F57"/>
    <w:rsid w:val="00DE6FA9"/>
    <w:rsid w:val="00DE70AE"/>
    <w:rsid w:val="00DE72D0"/>
    <w:rsid w:val="00DE7339"/>
    <w:rsid w:val="00DE77BF"/>
    <w:rsid w:val="00DE787A"/>
    <w:rsid w:val="00DE798E"/>
    <w:rsid w:val="00DE7C65"/>
    <w:rsid w:val="00DE7F77"/>
    <w:rsid w:val="00DF0159"/>
    <w:rsid w:val="00DF0210"/>
    <w:rsid w:val="00DF028C"/>
    <w:rsid w:val="00DF03A8"/>
    <w:rsid w:val="00DF0442"/>
    <w:rsid w:val="00DF06F3"/>
    <w:rsid w:val="00DF0975"/>
    <w:rsid w:val="00DF0A50"/>
    <w:rsid w:val="00DF0BE1"/>
    <w:rsid w:val="00DF11D1"/>
    <w:rsid w:val="00DF15F8"/>
    <w:rsid w:val="00DF1803"/>
    <w:rsid w:val="00DF1C20"/>
    <w:rsid w:val="00DF203B"/>
    <w:rsid w:val="00DF2041"/>
    <w:rsid w:val="00DF21BC"/>
    <w:rsid w:val="00DF2219"/>
    <w:rsid w:val="00DF223C"/>
    <w:rsid w:val="00DF2250"/>
    <w:rsid w:val="00DF24AE"/>
    <w:rsid w:val="00DF252A"/>
    <w:rsid w:val="00DF252F"/>
    <w:rsid w:val="00DF25B0"/>
    <w:rsid w:val="00DF25D2"/>
    <w:rsid w:val="00DF2833"/>
    <w:rsid w:val="00DF2B0F"/>
    <w:rsid w:val="00DF2E80"/>
    <w:rsid w:val="00DF3132"/>
    <w:rsid w:val="00DF3544"/>
    <w:rsid w:val="00DF39EF"/>
    <w:rsid w:val="00DF3C3E"/>
    <w:rsid w:val="00DF3E43"/>
    <w:rsid w:val="00DF3EA8"/>
    <w:rsid w:val="00DF400B"/>
    <w:rsid w:val="00DF43CE"/>
    <w:rsid w:val="00DF460B"/>
    <w:rsid w:val="00DF4B8A"/>
    <w:rsid w:val="00DF4CBA"/>
    <w:rsid w:val="00DF4E53"/>
    <w:rsid w:val="00DF4EBF"/>
    <w:rsid w:val="00DF4F2A"/>
    <w:rsid w:val="00DF5077"/>
    <w:rsid w:val="00DF50B5"/>
    <w:rsid w:val="00DF50E2"/>
    <w:rsid w:val="00DF520E"/>
    <w:rsid w:val="00DF5216"/>
    <w:rsid w:val="00DF5253"/>
    <w:rsid w:val="00DF5373"/>
    <w:rsid w:val="00DF5386"/>
    <w:rsid w:val="00DF559E"/>
    <w:rsid w:val="00DF55D4"/>
    <w:rsid w:val="00DF561E"/>
    <w:rsid w:val="00DF56A4"/>
    <w:rsid w:val="00DF57CF"/>
    <w:rsid w:val="00DF5806"/>
    <w:rsid w:val="00DF5819"/>
    <w:rsid w:val="00DF58BC"/>
    <w:rsid w:val="00DF59B7"/>
    <w:rsid w:val="00DF5AAD"/>
    <w:rsid w:val="00DF5BB4"/>
    <w:rsid w:val="00DF5C29"/>
    <w:rsid w:val="00DF5CDB"/>
    <w:rsid w:val="00DF5E60"/>
    <w:rsid w:val="00DF5E77"/>
    <w:rsid w:val="00DF60DC"/>
    <w:rsid w:val="00DF615F"/>
    <w:rsid w:val="00DF654F"/>
    <w:rsid w:val="00DF656F"/>
    <w:rsid w:val="00DF658C"/>
    <w:rsid w:val="00DF65C9"/>
    <w:rsid w:val="00DF66B5"/>
    <w:rsid w:val="00DF6C90"/>
    <w:rsid w:val="00DF6FEB"/>
    <w:rsid w:val="00DF7173"/>
    <w:rsid w:val="00DF7265"/>
    <w:rsid w:val="00DF739F"/>
    <w:rsid w:val="00DF73BA"/>
    <w:rsid w:val="00DF74A7"/>
    <w:rsid w:val="00DF74BB"/>
    <w:rsid w:val="00DF754D"/>
    <w:rsid w:val="00DF75EF"/>
    <w:rsid w:val="00DF7700"/>
    <w:rsid w:val="00DF782E"/>
    <w:rsid w:val="00DF7949"/>
    <w:rsid w:val="00DF7951"/>
    <w:rsid w:val="00DF795D"/>
    <w:rsid w:val="00DF7D3D"/>
    <w:rsid w:val="00DF7DC0"/>
    <w:rsid w:val="00E00007"/>
    <w:rsid w:val="00E000B0"/>
    <w:rsid w:val="00E003DC"/>
    <w:rsid w:val="00E004B4"/>
    <w:rsid w:val="00E004B5"/>
    <w:rsid w:val="00E004E9"/>
    <w:rsid w:val="00E006DD"/>
    <w:rsid w:val="00E00822"/>
    <w:rsid w:val="00E00A65"/>
    <w:rsid w:val="00E00BBD"/>
    <w:rsid w:val="00E00E1C"/>
    <w:rsid w:val="00E00E9F"/>
    <w:rsid w:val="00E010C5"/>
    <w:rsid w:val="00E0144F"/>
    <w:rsid w:val="00E0178A"/>
    <w:rsid w:val="00E01A18"/>
    <w:rsid w:val="00E01DFE"/>
    <w:rsid w:val="00E02033"/>
    <w:rsid w:val="00E020AE"/>
    <w:rsid w:val="00E021EE"/>
    <w:rsid w:val="00E02262"/>
    <w:rsid w:val="00E0271C"/>
    <w:rsid w:val="00E028DF"/>
    <w:rsid w:val="00E02B4B"/>
    <w:rsid w:val="00E02C48"/>
    <w:rsid w:val="00E02F43"/>
    <w:rsid w:val="00E030C0"/>
    <w:rsid w:val="00E03178"/>
    <w:rsid w:val="00E034B7"/>
    <w:rsid w:val="00E03658"/>
    <w:rsid w:val="00E0369C"/>
    <w:rsid w:val="00E03E2C"/>
    <w:rsid w:val="00E03E50"/>
    <w:rsid w:val="00E04074"/>
    <w:rsid w:val="00E04113"/>
    <w:rsid w:val="00E042FF"/>
    <w:rsid w:val="00E047D8"/>
    <w:rsid w:val="00E04D0F"/>
    <w:rsid w:val="00E04FBF"/>
    <w:rsid w:val="00E053EB"/>
    <w:rsid w:val="00E05414"/>
    <w:rsid w:val="00E054CE"/>
    <w:rsid w:val="00E056B8"/>
    <w:rsid w:val="00E05707"/>
    <w:rsid w:val="00E05CD2"/>
    <w:rsid w:val="00E05EB0"/>
    <w:rsid w:val="00E0623F"/>
    <w:rsid w:val="00E0627E"/>
    <w:rsid w:val="00E0640A"/>
    <w:rsid w:val="00E0641D"/>
    <w:rsid w:val="00E06629"/>
    <w:rsid w:val="00E066A4"/>
    <w:rsid w:val="00E066F5"/>
    <w:rsid w:val="00E06907"/>
    <w:rsid w:val="00E06CA8"/>
    <w:rsid w:val="00E06D5D"/>
    <w:rsid w:val="00E0715F"/>
    <w:rsid w:val="00E072F9"/>
    <w:rsid w:val="00E074BD"/>
    <w:rsid w:val="00E074E7"/>
    <w:rsid w:val="00E07969"/>
    <w:rsid w:val="00E07C45"/>
    <w:rsid w:val="00E10242"/>
    <w:rsid w:val="00E10269"/>
    <w:rsid w:val="00E1028F"/>
    <w:rsid w:val="00E10812"/>
    <w:rsid w:val="00E10A15"/>
    <w:rsid w:val="00E10AF0"/>
    <w:rsid w:val="00E10B4F"/>
    <w:rsid w:val="00E10CFF"/>
    <w:rsid w:val="00E10ED1"/>
    <w:rsid w:val="00E10F91"/>
    <w:rsid w:val="00E10F9D"/>
    <w:rsid w:val="00E11089"/>
    <w:rsid w:val="00E1135B"/>
    <w:rsid w:val="00E114F7"/>
    <w:rsid w:val="00E115C9"/>
    <w:rsid w:val="00E11749"/>
    <w:rsid w:val="00E11758"/>
    <w:rsid w:val="00E11847"/>
    <w:rsid w:val="00E1191C"/>
    <w:rsid w:val="00E11C44"/>
    <w:rsid w:val="00E11F13"/>
    <w:rsid w:val="00E12121"/>
    <w:rsid w:val="00E12147"/>
    <w:rsid w:val="00E12429"/>
    <w:rsid w:val="00E128F1"/>
    <w:rsid w:val="00E12A35"/>
    <w:rsid w:val="00E12CAF"/>
    <w:rsid w:val="00E136C1"/>
    <w:rsid w:val="00E1373A"/>
    <w:rsid w:val="00E13894"/>
    <w:rsid w:val="00E138C6"/>
    <w:rsid w:val="00E13BFA"/>
    <w:rsid w:val="00E13CCC"/>
    <w:rsid w:val="00E13F9A"/>
    <w:rsid w:val="00E14162"/>
    <w:rsid w:val="00E1417E"/>
    <w:rsid w:val="00E143C9"/>
    <w:rsid w:val="00E143CB"/>
    <w:rsid w:val="00E14463"/>
    <w:rsid w:val="00E145FA"/>
    <w:rsid w:val="00E147AE"/>
    <w:rsid w:val="00E1493F"/>
    <w:rsid w:val="00E14BA8"/>
    <w:rsid w:val="00E14ED5"/>
    <w:rsid w:val="00E14FC6"/>
    <w:rsid w:val="00E15074"/>
    <w:rsid w:val="00E15105"/>
    <w:rsid w:val="00E15289"/>
    <w:rsid w:val="00E15528"/>
    <w:rsid w:val="00E155F5"/>
    <w:rsid w:val="00E156A4"/>
    <w:rsid w:val="00E156E6"/>
    <w:rsid w:val="00E15AB3"/>
    <w:rsid w:val="00E15B5A"/>
    <w:rsid w:val="00E15C2D"/>
    <w:rsid w:val="00E15F69"/>
    <w:rsid w:val="00E16179"/>
    <w:rsid w:val="00E16368"/>
    <w:rsid w:val="00E163E5"/>
    <w:rsid w:val="00E16540"/>
    <w:rsid w:val="00E16549"/>
    <w:rsid w:val="00E165E8"/>
    <w:rsid w:val="00E16713"/>
    <w:rsid w:val="00E168A2"/>
    <w:rsid w:val="00E16AAD"/>
    <w:rsid w:val="00E16BF6"/>
    <w:rsid w:val="00E16C4A"/>
    <w:rsid w:val="00E16D4B"/>
    <w:rsid w:val="00E16E7D"/>
    <w:rsid w:val="00E16F13"/>
    <w:rsid w:val="00E16F7D"/>
    <w:rsid w:val="00E1708E"/>
    <w:rsid w:val="00E17665"/>
    <w:rsid w:val="00E176A5"/>
    <w:rsid w:val="00E176E5"/>
    <w:rsid w:val="00E17924"/>
    <w:rsid w:val="00E1793A"/>
    <w:rsid w:val="00E17A04"/>
    <w:rsid w:val="00E17ACE"/>
    <w:rsid w:val="00E17DA9"/>
    <w:rsid w:val="00E17F1B"/>
    <w:rsid w:val="00E200E0"/>
    <w:rsid w:val="00E20292"/>
    <w:rsid w:val="00E204F5"/>
    <w:rsid w:val="00E2072E"/>
    <w:rsid w:val="00E20805"/>
    <w:rsid w:val="00E208B4"/>
    <w:rsid w:val="00E20966"/>
    <w:rsid w:val="00E209FA"/>
    <w:rsid w:val="00E20A8A"/>
    <w:rsid w:val="00E20BF7"/>
    <w:rsid w:val="00E20CAC"/>
    <w:rsid w:val="00E21091"/>
    <w:rsid w:val="00E211FF"/>
    <w:rsid w:val="00E21284"/>
    <w:rsid w:val="00E2130A"/>
    <w:rsid w:val="00E21518"/>
    <w:rsid w:val="00E21587"/>
    <w:rsid w:val="00E21597"/>
    <w:rsid w:val="00E215A3"/>
    <w:rsid w:val="00E21682"/>
    <w:rsid w:val="00E21839"/>
    <w:rsid w:val="00E21B28"/>
    <w:rsid w:val="00E21B3E"/>
    <w:rsid w:val="00E21C00"/>
    <w:rsid w:val="00E22253"/>
    <w:rsid w:val="00E222AB"/>
    <w:rsid w:val="00E22337"/>
    <w:rsid w:val="00E22450"/>
    <w:rsid w:val="00E225A1"/>
    <w:rsid w:val="00E2265A"/>
    <w:rsid w:val="00E2274B"/>
    <w:rsid w:val="00E227D1"/>
    <w:rsid w:val="00E227F0"/>
    <w:rsid w:val="00E2285F"/>
    <w:rsid w:val="00E2296E"/>
    <w:rsid w:val="00E229BF"/>
    <w:rsid w:val="00E22AB9"/>
    <w:rsid w:val="00E22BE6"/>
    <w:rsid w:val="00E22D36"/>
    <w:rsid w:val="00E22E5D"/>
    <w:rsid w:val="00E22EC1"/>
    <w:rsid w:val="00E232ED"/>
    <w:rsid w:val="00E233F0"/>
    <w:rsid w:val="00E234A2"/>
    <w:rsid w:val="00E23732"/>
    <w:rsid w:val="00E2389A"/>
    <w:rsid w:val="00E23A7A"/>
    <w:rsid w:val="00E23C70"/>
    <w:rsid w:val="00E2422E"/>
    <w:rsid w:val="00E24475"/>
    <w:rsid w:val="00E244CB"/>
    <w:rsid w:val="00E2498D"/>
    <w:rsid w:val="00E24D19"/>
    <w:rsid w:val="00E24DF6"/>
    <w:rsid w:val="00E250D2"/>
    <w:rsid w:val="00E251E8"/>
    <w:rsid w:val="00E253AD"/>
    <w:rsid w:val="00E25472"/>
    <w:rsid w:val="00E25778"/>
    <w:rsid w:val="00E25B51"/>
    <w:rsid w:val="00E25DAB"/>
    <w:rsid w:val="00E25EFE"/>
    <w:rsid w:val="00E26065"/>
    <w:rsid w:val="00E26088"/>
    <w:rsid w:val="00E260AB"/>
    <w:rsid w:val="00E26599"/>
    <w:rsid w:val="00E26750"/>
    <w:rsid w:val="00E26D1E"/>
    <w:rsid w:val="00E26D31"/>
    <w:rsid w:val="00E26D63"/>
    <w:rsid w:val="00E26EFE"/>
    <w:rsid w:val="00E26F57"/>
    <w:rsid w:val="00E26FC8"/>
    <w:rsid w:val="00E26FF7"/>
    <w:rsid w:val="00E271F4"/>
    <w:rsid w:val="00E272B4"/>
    <w:rsid w:val="00E272F6"/>
    <w:rsid w:val="00E27393"/>
    <w:rsid w:val="00E27508"/>
    <w:rsid w:val="00E27671"/>
    <w:rsid w:val="00E27756"/>
    <w:rsid w:val="00E277B0"/>
    <w:rsid w:val="00E27806"/>
    <w:rsid w:val="00E27EA8"/>
    <w:rsid w:val="00E27EE4"/>
    <w:rsid w:val="00E30275"/>
    <w:rsid w:val="00E303F9"/>
    <w:rsid w:val="00E304FA"/>
    <w:rsid w:val="00E3073D"/>
    <w:rsid w:val="00E308EE"/>
    <w:rsid w:val="00E309D2"/>
    <w:rsid w:val="00E30C16"/>
    <w:rsid w:val="00E30D32"/>
    <w:rsid w:val="00E30E31"/>
    <w:rsid w:val="00E31158"/>
    <w:rsid w:val="00E3119D"/>
    <w:rsid w:val="00E315E4"/>
    <w:rsid w:val="00E3173A"/>
    <w:rsid w:val="00E31AB6"/>
    <w:rsid w:val="00E31B9A"/>
    <w:rsid w:val="00E31BEB"/>
    <w:rsid w:val="00E31C00"/>
    <w:rsid w:val="00E320F9"/>
    <w:rsid w:val="00E321AE"/>
    <w:rsid w:val="00E32446"/>
    <w:rsid w:val="00E326BA"/>
    <w:rsid w:val="00E327BB"/>
    <w:rsid w:val="00E32842"/>
    <w:rsid w:val="00E32853"/>
    <w:rsid w:val="00E32A09"/>
    <w:rsid w:val="00E32A58"/>
    <w:rsid w:val="00E32B7F"/>
    <w:rsid w:val="00E32C08"/>
    <w:rsid w:val="00E32F57"/>
    <w:rsid w:val="00E32FA4"/>
    <w:rsid w:val="00E3302D"/>
    <w:rsid w:val="00E33030"/>
    <w:rsid w:val="00E33387"/>
    <w:rsid w:val="00E33398"/>
    <w:rsid w:val="00E333F1"/>
    <w:rsid w:val="00E334A4"/>
    <w:rsid w:val="00E337C1"/>
    <w:rsid w:val="00E339CD"/>
    <w:rsid w:val="00E33B1D"/>
    <w:rsid w:val="00E33D15"/>
    <w:rsid w:val="00E33DAF"/>
    <w:rsid w:val="00E33E63"/>
    <w:rsid w:val="00E33F94"/>
    <w:rsid w:val="00E3406A"/>
    <w:rsid w:val="00E34529"/>
    <w:rsid w:val="00E34661"/>
    <w:rsid w:val="00E34802"/>
    <w:rsid w:val="00E34A2D"/>
    <w:rsid w:val="00E34B0D"/>
    <w:rsid w:val="00E34BE1"/>
    <w:rsid w:val="00E34FAB"/>
    <w:rsid w:val="00E3513A"/>
    <w:rsid w:val="00E3518A"/>
    <w:rsid w:val="00E351AE"/>
    <w:rsid w:val="00E352D9"/>
    <w:rsid w:val="00E35430"/>
    <w:rsid w:val="00E3556D"/>
    <w:rsid w:val="00E35584"/>
    <w:rsid w:val="00E356D2"/>
    <w:rsid w:val="00E3579A"/>
    <w:rsid w:val="00E35BB1"/>
    <w:rsid w:val="00E35BD0"/>
    <w:rsid w:val="00E35C19"/>
    <w:rsid w:val="00E362B2"/>
    <w:rsid w:val="00E363C6"/>
    <w:rsid w:val="00E36476"/>
    <w:rsid w:val="00E36880"/>
    <w:rsid w:val="00E36910"/>
    <w:rsid w:val="00E36C57"/>
    <w:rsid w:val="00E36C5E"/>
    <w:rsid w:val="00E36CEA"/>
    <w:rsid w:val="00E371AE"/>
    <w:rsid w:val="00E37221"/>
    <w:rsid w:val="00E372DE"/>
    <w:rsid w:val="00E373DB"/>
    <w:rsid w:val="00E37578"/>
    <w:rsid w:val="00E37613"/>
    <w:rsid w:val="00E37706"/>
    <w:rsid w:val="00E37877"/>
    <w:rsid w:val="00E379BB"/>
    <w:rsid w:val="00E37B00"/>
    <w:rsid w:val="00E37BDB"/>
    <w:rsid w:val="00E37D0B"/>
    <w:rsid w:val="00E37F05"/>
    <w:rsid w:val="00E37FF1"/>
    <w:rsid w:val="00E401EC"/>
    <w:rsid w:val="00E402A4"/>
    <w:rsid w:val="00E40357"/>
    <w:rsid w:val="00E403B5"/>
    <w:rsid w:val="00E40451"/>
    <w:rsid w:val="00E40AF5"/>
    <w:rsid w:val="00E40CAE"/>
    <w:rsid w:val="00E40D7A"/>
    <w:rsid w:val="00E41175"/>
    <w:rsid w:val="00E413D4"/>
    <w:rsid w:val="00E41541"/>
    <w:rsid w:val="00E4167E"/>
    <w:rsid w:val="00E417A7"/>
    <w:rsid w:val="00E41814"/>
    <w:rsid w:val="00E4195C"/>
    <w:rsid w:val="00E41B0A"/>
    <w:rsid w:val="00E41B1D"/>
    <w:rsid w:val="00E41B77"/>
    <w:rsid w:val="00E41B89"/>
    <w:rsid w:val="00E41C84"/>
    <w:rsid w:val="00E41DEA"/>
    <w:rsid w:val="00E41E17"/>
    <w:rsid w:val="00E4204C"/>
    <w:rsid w:val="00E420E1"/>
    <w:rsid w:val="00E420F2"/>
    <w:rsid w:val="00E4210D"/>
    <w:rsid w:val="00E4233E"/>
    <w:rsid w:val="00E4259F"/>
    <w:rsid w:val="00E42608"/>
    <w:rsid w:val="00E42796"/>
    <w:rsid w:val="00E42814"/>
    <w:rsid w:val="00E42A77"/>
    <w:rsid w:val="00E42B42"/>
    <w:rsid w:val="00E42BBE"/>
    <w:rsid w:val="00E42C7E"/>
    <w:rsid w:val="00E42DA1"/>
    <w:rsid w:val="00E4307F"/>
    <w:rsid w:val="00E430E7"/>
    <w:rsid w:val="00E43217"/>
    <w:rsid w:val="00E432F2"/>
    <w:rsid w:val="00E4336A"/>
    <w:rsid w:val="00E43418"/>
    <w:rsid w:val="00E4348D"/>
    <w:rsid w:val="00E435A4"/>
    <w:rsid w:val="00E43638"/>
    <w:rsid w:val="00E43693"/>
    <w:rsid w:val="00E43C0E"/>
    <w:rsid w:val="00E43E55"/>
    <w:rsid w:val="00E440E5"/>
    <w:rsid w:val="00E442B8"/>
    <w:rsid w:val="00E443D7"/>
    <w:rsid w:val="00E445BC"/>
    <w:rsid w:val="00E445E8"/>
    <w:rsid w:val="00E445F9"/>
    <w:rsid w:val="00E44803"/>
    <w:rsid w:val="00E44960"/>
    <w:rsid w:val="00E4498A"/>
    <w:rsid w:val="00E44B85"/>
    <w:rsid w:val="00E44BFA"/>
    <w:rsid w:val="00E44C43"/>
    <w:rsid w:val="00E451D1"/>
    <w:rsid w:val="00E4550F"/>
    <w:rsid w:val="00E45537"/>
    <w:rsid w:val="00E45547"/>
    <w:rsid w:val="00E4559C"/>
    <w:rsid w:val="00E45683"/>
    <w:rsid w:val="00E456C1"/>
    <w:rsid w:val="00E459CA"/>
    <w:rsid w:val="00E459FF"/>
    <w:rsid w:val="00E45A96"/>
    <w:rsid w:val="00E45B17"/>
    <w:rsid w:val="00E45C80"/>
    <w:rsid w:val="00E45F96"/>
    <w:rsid w:val="00E46050"/>
    <w:rsid w:val="00E460AF"/>
    <w:rsid w:val="00E460E7"/>
    <w:rsid w:val="00E46346"/>
    <w:rsid w:val="00E46382"/>
    <w:rsid w:val="00E46397"/>
    <w:rsid w:val="00E46443"/>
    <w:rsid w:val="00E464E5"/>
    <w:rsid w:val="00E4689D"/>
    <w:rsid w:val="00E46A98"/>
    <w:rsid w:val="00E46C50"/>
    <w:rsid w:val="00E46D73"/>
    <w:rsid w:val="00E47031"/>
    <w:rsid w:val="00E471D7"/>
    <w:rsid w:val="00E4737D"/>
    <w:rsid w:val="00E476CB"/>
    <w:rsid w:val="00E4783C"/>
    <w:rsid w:val="00E47872"/>
    <w:rsid w:val="00E479FD"/>
    <w:rsid w:val="00E47AF5"/>
    <w:rsid w:val="00E47B03"/>
    <w:rsid w:val="00E47B6D"/>
    <w:rsid w:val="00E47F33"/>
    <w:rsid w:val="00E47F73"/>
    <w:rsid w:val="00E50189"/>
    <w:rsid w:val="00E501D5"/>
    <w:rsid w:val="00E50201"/>
    <w:rsid w:val="00E50278"/>
    <w:rsid w:val="00E502D7"/>
    <w:rsid w:val="00E502F0"/>
    <w:rsid w:val="00E50305"/>
    <w:rsid w:val="00E50344"/>
    <w:rsid w:val="00E50A52"/>
    <w:rsid w:val="00E50BE3"/>
    <w:rsid w:val="00E50C68"/>
    <w:rsid w:val="00E50CBD"/>
    <w:rsid w:val="00E50D0F"/>
    <w:rsid w:val="00E50DDF"/>
    <w:rsid w:val="00E50E2F"/>
    <w:rsid w:val="00E50F43"/>
    <w:rsid w:val="00E50F57"/>
    <w:rsid w:val="00E51112"/>
    <w:rsid w:val="00E51154"/>
    <w:rsid w:val="00E51298"/>
    <w:rsid w:val="00E51439"/>
    <w:rsid w:val="00E51515"/>
    <w:rsid w:val="00E51636"/>
    <w:rsid w:val="00E51753"/>
    <w:rsid w:val="00E51890"/>
    <w:rsid w:val="00E51982"/>
    <w:rsid w:val="00E51A41"/>
    <w:rsid w:val="00E51B72"/>
    <w:rsid w:val="00E51BF6"/>
    <w:rsid w:val="00E51D4C"/>
    <w:rsid w:val="00E51E2E"/>
    <w:rsid w:val="00E521FB"/>
    <w:rsid w:val="00E527A5"/>
    <w:rsid w:val="00E52994"/>
    <w:rsid w:val="00E52997"/>
    <w:rsid w:val="00E52DDB"/>
    <w:rsid w:val="00E530DD"/>
    <w:rsid w:val="00E53101"/>
    <w:rsid w:val="00E5317A"/>
    <w:rsid w:val="00E53200"/>
    <w:rsid w:val="00E53214"/>
    <w:rsid w:val="00E5359E"/>
    <w:rsid w:val="00E536F3"/>
    <w:rsid w:val="00E5390D"/>
    <w:rsid w:val="00E53B20"/>
    <w:rsid w:val="00E53B75"/>
    <w:rsid w:val="00E53CEB"/>
    <w:rsid w:val="00E53DCF"/>
    <w:rsid w:val="00E53E16"/>
    <w:rsid w:val="00E53F37"/>
    <w:rsid w:val="00E53F58"/>
    <w:rsid w:val="00E54279"/>
    <w:rsid w:val="00E54753"/>
    <w:rsid w:val="00E547B1"/>
    <w:rsid w:val="00E5480C"/>
    <w:rsid w:val="00E54954"/>
    <w:rsid w:val="00E54B7D"/>
    <w:rsid w:val="00E54D5D"/>
    <w:rsid w:val="00E54E52"/>
    <w:rsid w:val="00E54FB6"/>
    <w:rsid w:val="00E55097"/>
    <w:rsid w:val="00E55113"/>
    <w:rsid w:val="00E55171"/>
    <w:rsid w:val="00E55189"/>
    <w:rsid w:val="00E552B9"/>
    <w:rsid w:val="00E55328"/>
    <w:rsid w:val="00E5534F"/>
    <w:rsid w:val="00E55470"/>
    <w:rsid w:val="00E55965"/>
    <w:rsid w:val="00E55B8E"/>
    <w:rsid w:val="00E55BFA"/>
    <w:rsid w:val="00E55CCD"/>
    <w:rsid w:val="00E55CDB"/>
    <w:rsid w:val="00E55D02"/>
    <w:rsid w:val="00E55DB5"/>
    <w:rsid w:val="00E55DB7"/>
    <w:rsid w:val="00E55F50"/>
    <w:rsid w:val="00E560F1"/>
    <w:rsid w:val="00E561B8"/>
    <w:rsid w:val="00E5621C"/>
    <w:rsid w:val="00E562FB"/>
    <w:rsid w:val="00E56358"/>
    <w:rsid w:val="00E56431"/>
    <w:rsid w:val="00E565A9"/>
    <w:rsid w:val="00E56614"/>
    <w:rsid w:val="00E5662B"/>
    <w:rsid w:val="00E56A09"/>
    <w:rsid w:val="00E56CB7"/>
    <w:rsid w:val="00E56DD1"/>
    <w:rsid w:val="00E56ED8"/>
    <w:rsid w:val="00E56F9A"/>
    <w:rsid w:val="00E57008"/>
    <w:rsid w:val="00E573E0"/>
    <w:rsid w:val="00E573FA"/>
    <w:rsid w:val="00E5769D"/>
    <w:rsid w:val="00E57707"/>
    <w:rsid w:val="00E5784E"/>
    <w:rsid w:val="00E579CE"/>
    <w:rsid w:val="00E57AA9"/>
    <w:rsid w:val="00E57AFF"/>
    <w:rsid w:val="00E57D86"/>
    <w:rsid w:val="00E57DC3"/>
    <w:rsid w:val="00E57F87"/>
    <w:rsid w:val="00E6005C"/>
    <w:rsid w:val="00E600A3"/>
    <w:rsid w:val="00E6018E"/>
    <w:rsid w:val="00E60715"/>
    <w:rsid w:val="00E60844"/>
    <w:rsid w:val="00E60A95"/>
    <w:rsid w:val="00E60B34"/>
    <w:rsid w:val="00E60B3D"/>
    <w:rsid w:val="00E60CFE"/>
    <w:rsid w:val="00E60FFC"/>
    <w:rsid w:val="00E61091"/>
    <w:rsid w:val="00E611CE"/>
    <w:rsid w:val="00E61660"/>
    <w:rsid w:val="00E616AC"/>
    <w:rsid w:val="00E61A89"/>
    <w:rsid w:val="00E61AAC"/>
    <w:rsid w:val="00E61ADF"/>
    <w:rsid w:val="00E61AF4"/>
    <w:rsid w:val="00E61BEA"/>
    <w:rsid w:val="00E61C71"/>
    <w:rsid w:val="00E61D6E"/>
    <w:rsid w:val="00E626E3"/>
    <w:rsid w:val="00E62735"/>
    <w:rsid w:val="00E6276D"/>
    <w:rsid w:val="00E627D1"/>
    <w:rsid w:val="00E62994"/>
    <w:rsid w:val="00E62A40"/>
    <w:rsid w:val="00E62BEE"/>
    <w:rsid w:val="00E62F1D"/>
    <w:rsid w:val="00E6305D"/>
    <w:rsid w:val="00E631CA"/>
    <w:rsid w:val="00E63230"/>
    <w:rsid w:val="00E633E4"/>
    <w:rsid w:val="00E634C1"/>
    <w:rsid w:val="00E63C71"/>
    <w:rsid w:val="00E63F36"/>
    <w:rsid w:val="00E63FE5"/>
    <w:rsid w:val="00E64104"/>
    <w:rsid w:val="00E6419E"/>
    <w:rsid w:val="00E642D1"/>
    <w:rsid w:val="00E64338"/>
    <w:rsid w:val="00E6451A"/>
    <w:rsid w:val="00E6459D"/>
    <w:rsid w:val="00E6486E"/>
    <w:rsid w:val="00E64886"/>
    <w:rsid w:val="00E64941"/>
    <w:rsid w:val="00E6498C"/>
    <w:rsid w:val="00E64B43"/>
    <w:rsid w:val="00E64B6D"/>
    <w:rsid w:val="00E64C35"/>
    <w:rsid w:val="00E6513D"/>
    <w:rsid w:val="00E651A9"/>
    <w:rsid w:val="00E651D2"/>
    <w:rsid w:val="00E65465"/>
    <w:rsid w:val="00E65580"/>
    <w:rsid w:val="00E658F8"/>
    <w:rsid w:val="00E6595A"/>
    <w:rsid w:val="00E65DEA"/>
    <w:rsid w:val="00E65E58"/>
    <w:rsid w:val="00E6605B"/>
    <w:rsid w:val="00E66191"/>
    <w:rsid w:val="00E66341"/>
    <w:rsid w:val="00E6655C"/>
    <w:rsid w:val="00E6667D"/>
    <w:rsid w:val="00E666A5"/>
    <w:rsid w:val="00E668AE"/>
    <w:rsid w:val="00E66ABC"/>
    <w:rsid w:val="00E66ACA"/>
    <w:rsid w:val="00E66B16"/>
    <w:rsid w:val="00E66BAA"/>
    <w:rsid w:val="00E66C80"/>
    <w:rsid w:val="00E66E95"/>
    <w:rsid w:val="00E66FA5"/>
    <w:rsid w:val="00E66FF9"/>
    <w:rsid w:val="00E67022"/>
    <w:rsid w:val="00E67052"/>
    <w:rsid w:val="00E671C5"/>
    <w:rsid w:val="00E67446"/>
    <w:rsid w:val="00E6765C"/>
    <w:rsid w:val="00E676E3"/>
    <w:rsid w:val="00E677A0"/>
    <w:rsid w:val="00E67B7B"/>
    <w:rsid w:val="00E67C11"/>
    <w:rsid w:val="00E67C69"/>
    <w:rsid w:val="00E67DA6"/>
    <w:rsid w:val="00E67F94"/>
    <w:rsid w:val="00E7007E"/>
    <w:rsid w:val="00E7021D"/>
    <w:rsid w:val="00E70739"/>
    <w:rsid w:val="00E7097E"/>
    <w:rsid w:val="00E70BC6"/>
    <w:rsid w:val="00E70BEA"/>
    <w:rsid w:val="00E70C2B"/>
    <w:rsid w:val="00E70E8F"/>
    <w:rsid w:val="00E71001"/>
    <w:rsid w:val="00E713D8"/>
    <w:rsid w:val="00E71485"/>
    <w:rsid w:val="00E71658"/>
    <w:rsid w:val="00E717F6"/>
    <w:rsid w:val="00E71CFF"/>
    <w:rsid w:val="00E71EF7"/>
    <w:rsid w:val="00E720FE"/>
    <w:rsid w:val="00E721B3"/>
    <w:rsid w:val="00E72259"/>
    <w:rsid w:val="00E723ED"/>
    <w:rsid w:val="00E7242E"/>
    <w:rsid w:val="00E725C6"/>
    <w:rsid w:val="00E726D1"/>
    <w:rsid w:val="00E72830"/>
    <w:rsid w:val="00E72897"/>
    <w:rsid w:val="00E72A1F"/>
    <w:rsid w:val="00E72C57"/>
    <w:rsid w:val="00E72DB6"/>
    <w:rsid w:val="00E72DDF"/>
    <w:rsid w:val="00E72F2D"/>
    <w:rsid w:val="00E7309A"/>
    <w:rsid w:val="00E730AE"/>
    <w:rsid w:val="00E731C7"/>
    <w:rsid w:val="00E733E3"/>
    <w:rsid w:val="00E73941"/>
    <w:rsid w:val="00E73969"/>
    <w:rsid w:val="00E73A37"/>
    <w:rsid w:val="00E73ABD"/>
    <w:rsid w:val="00E73C3D"/>
    <w:rsid w:val="00E73CCA"/>
    <w:rsid w:val="00E73E44"/>
    <w:rsid w:val="00E73E61"/>
    <w:rsid w:val="00E73E9A"/>
    <w:rsid w:val="00E741F4"/>
    <w:rsid w:val="00E742F7"/>
    <w:rsid w:val="00E745F5"/>
    <w:rsid w:val="00E745F8"/>
    <w:rsid w:val="00E74674"/>
    <w:rsid w:val="00E74707"/>
    <w:rsid w:val="00E748B1"/>
    <w:rsid w:val="00E7497C"/>
    <w:rsid w:val="00E74B88"/>
    <w:rsid w:val="00E74D32"/>
    <w:rsid w:val="00E74EAE"/>
    <w:rsid w:val="00E751D8"/>
    <w:rsid w:val="00E75308"/>
    <w:rsid w:val="00E753F6"/>
    <w:rsid w:val="00E75729"/>
    <w:rsid w:val="00E75794"/>
    <w:rsid w:val="00E75AE7"/>
    <w:rsid w:val="00E75C19"/>
    <w:rsid w:val="00E75CA7"/>
    <w:rsid w:val="00E75E51"/>
    <w:rsid w:val="00E75F06"/>
    <w:rsid w:val="00E76136"/>
    <w:rsid w:val="00E761A9"/>
    <w:rsid w:val="00E76343"/>
    <w:rsid w:val="00E763DA"/>
    <w:rsid w:val="00E763F5"/>
    <w:rsid w:val="00E765DE"/>
    <w:rsid w:val="00E766F0"/>
    <w:rsid w:val="00E766FF"/>
    <w:rsid w:val="00E76754"/>
    <w:rsid w:val="00E7678A"/>
    <w:rsid w:val="00E767E5"/>
    <w:rsid w:val="00E76A3E"/>
    <w:rsid w:val="00E76BBF"/>
    <w:rsid w:val="00E76D94"/>
    <w:rsid w:val="00E770AB"/>
    <w:rsid w:val="00E77121"/>
    <w:rsid w:val="00E7720A"/>
    <w:rsid w:val="00E77285"/>
    <w:rsid w:val="00E77704"/>
    <w:rsid w:val="00E77741"/>
    <w:rsid w:val="00E77789"/>
    <w:rsid w:val="00E77BF2"/>
    <w:rsid w:val="00E77E09"/>
    <w:rsid w:val="00E8016C"/>
    <w:rsid w:val="00E801BA"/>
    <w:rsid w:val="00E802A5"/>
    <w:rsid w:val="00E80494"/>
    <w:rsid w:val="00E80A46"/>
    <w:rsid w:val="00E80D29"/>
    <w:rsid w:val="00E80DC2"/>
    <w:rsid w:val="00E80FE8"/>
    <w:rsid w:val="00E8105D"/>
    <w:rsid w:val="00E8124E"/>
    <w:rsid w:val="00E81358"/>
    <w:rsid w:val="00E813A6"/>
    <w:rsid w:val="00E81631"/>
    <w:rsid w:val="00E81711"/>
    <w:rsid w:val="00E81761"/>
    <w:rsid w:val="00E8181B"/>
    <w:rsid w:val="00E8188A"/>
    <w:rsid w:val="00E8188B"/>
    <w:rsid w:val="00E818AF"/>
    <w:rsid w:val="00E81A75"/>
    <w:rsid w:val="00E81BFB"/>
    <w:rsid w:val="00E81D6F"/>
    <w:rsid w:val="00E81E52"/>
    <w:rsid w:val="00E81ED2"/>
    <w:rsid w:val="00E820C5"/>
    <w:rsid w:val="00E82190"/>
    <w:rsid w:val="00E82216"/>
    <w:rsid w:val="00E82294"/>
    <w:rsid w:val="00E824E2"/>
    <w:rsid w:val="00E8287F"/>
    <w:rsid w:val="00E82BB9"/>
    <w:rsid w:val="00E82DC4"/>
    <w:rsid w:val="00E82E01"/>
    <w:rsid w:val="00E830CF"/>
    <w:rsid w:val="00E831E7"/>
    <w:rsid w:val="00E839BA"/>
    <w:rsid w:val="00E839FC"/>
    <w:rsid w:val="00E83BF8"/>
    <w:rsid w:val="00E83C6D"/>
    <w:rsid w:val="00E83EDF"/>
    <w:rsid w:val="00E83F4F"/>
    <w:rsid w:val="00E83F81"/>
    <w:rsid w:val="00E83FE5"/>
    <w:rsid w:val="00E840C9"/>
    <w:rsid w:val="00E840DC"/>
    <w:rsid w:val="00E84167"/>
    <w:rsid w:val="00E8443E"/>
    <w:rsid w:val="00E84612"/>
    <w:rsid w:val="00E847F0"/>
    <w:rsid w:val="00E8480A"/>
    <w:rsid w:val="00E848BF"/>
    <w:rsid w:val="00E848CD"/>
    <w:rsid w:val="00E84917"/>
    <w:rsid w:val="00E849F5"/>
    <w:rsid w:val="00E84AE8"/>
    <w:rsid w:val="00E84CD3"/>
    <w:rsid w:val="00E84FEC"/>
    <w:rsid w:val="00E85139"/>
    <w:rsid w:val="00E85264"/>
    <w:rsid w:val="00E85281"/>
    <w:rsid w:val="00E8547E"/>
    <w:rsid w:val="00E85667"/>
    <w:rsid w:val="00E8576D"/>
    <w:rsid w:val="00E85B23"/>
    <w:rsid w:val="00E85BEE"/>
    <w:rsid w:val="00E85C45"/>
    <w:rsid w:val="00E85D68"/>
    <w:rsid w:val="00E85E91"/>
    <w:rsid w:val="00E85F99"/>
    <w:rsid w:val="00E860FD"/>
    <w:rsid w:val="00E86388"/>
    <w:rsid w:val="00E863EB"/>
    <w:rsid w:val="00E86533"/>
    <w:rsid w:val="00E866F3"/>
    <w:rsid w:val="00E86841"/>
    <w:rsid w:val="00E86A24"/>
    <w:rsid w:val="00E86C4A"/>
    <w:rsid w:val="00E86D37"/>
    <w:rsid w:val="00E86D61"/>
    <w:rsid w:val="00E86D92"/>
    <w:rsid w:val="00E86E75"/>
    <w:rsid w:val="00E86F0C"/>
    <w:rsid w:val="00E86F3B"/>
    <w:rsid w:val="00E87007"/>
    <w:rsid w:val="00E8702D"/>
    <w:rsid w:val="00E87228"/>
    <w:rsid w:val="00E87358"/>
    <w:rsid w:val="00E873A7"/>
    <w:rsid w:val="00E876EB"/>
    <w:rsid w:val="00E879FA"/>
    <w:rsid w:val="00E87E76"/>
    <w:rsid w:val="00E87FA2"/>
    <w:rsid w:val="00E9002B"/>
    <w:rsid w:val="00E90160"/>
    <w:rsid w:val="00E9027E"/>
    <w:rsid w:val="00E905E1"/>
    <w:rsid w:val="00E90635"/>
    <w:rsid w:val="00E9078A"/>
    <w:rsid w:val="00E90857"/>
    <w:rsid w:val="00E9090B"/>
    <w:rsid w:val="00E9093A"/>
    <w:rsid w:val="00E90C41"/>
    <w:rsid w:val="00E9136B"/>
    <w:rsid w:val="00E91952"/>
    <w:rsid w:val="00E919B1"/>
    <w:rsid w:val="00E91AB6"/>
    <w:rsid w:val="00E91D9D"/>
    <w:rsid w:val="00E91E22"/>
    <w:rsid w:val="00E91E8B"/>
    <w:rsid w:val="00E91F21"/>
    <w:rsid w:val="00E91F27"/>
    <w:rsid w:val="00E91F49"/>
    <w:rsid w:val="00E91F90"/>
    <w:rsid w:val="00E91FE8"/>
    <w:rsid w:val="00E9249C"/>
    <w:rsid w:val="00E92590"/>
    <w:rsid w:val="00E92658"/>
    <w:rsid w:val="00E9269B"/>
    <w:rsid w:val="00E92812"/>
    <w:rsid w:val="00E92966"/>
    <w:rsid w:val="00E92B42"/>
    <w:rsid w:val="00E92F11"/>
    <w:rsid w:val="00E92FC5"/>
    <w:rsid w:val="00E93052"/>
    <w:rsid w:val="00E931B0"/>
    <w:rsid w:val="00E931F7"/>
    <w:rsid w:val="00E93439"/>
    <w:rsid w:val="00E9344F"/>
    <w:rsid w:val="00E935A8"/>
    <w:rsid w:val="00E935E5"/>
    <w:rsid w:val="00E939CC"/>
    <w:rsid w:val="00E93A97"/>
    <w:rsid w:val="00E93B74"/>
    <w:rsid w:val="00E93C25"/>
    <w:rsid w:val="00E93CCC"/>
    <w:rsid w:val="00E93CDA"/>
    <w:rsid w:val="00E93F1B"/>
    <w:rsid w:val="00E93F3C"/>
    <w:rsid w:val="00E93F62"/>
    <w:rsid w:val="00E93FB4"/>
    <w:rsid w:val="00E94043"/>
    <w:rsid w:val="00E94382"/>
    <w:rsid w:val="00E946FB"/>
    <w:rsid w:val="00E9483E"/>
    <w:rsid w:val="00E94880"/>
    <w:rsid w:val="00E948D1"/>
    <w:rsid w:val="00E94914"/>
    <w:rsid w:val="00E9509B"/>
    <w:rsid w:val="00E95204"/>
    <w:rsid w:val="00E95260"/>
    <w:rsid w:val="00E95314"/>
    <w:rsid w:val="00E95319"/>
    <w:rsid w:val="00E95528"/>
    <w:rsid w:val="00E95711"/>
    <w:rsid w:val="00E958A8"/>
    <w:rsid w:val="00E95A9A"/>
    <w:rsid w:val="00E95BB1"/>
    <w:rsid w:val="00E95BE0"/>
    <w:rsid w:val="00E960ED"/>
    <w:rsid w:val="00E96385"/>
    <w:rsid w:val="00E9646C"/>
    <w:rsid w:val="00E964D7"/>
    <w:rsid w:val="00E96611"/>
    <w:rsid w:val="00E96A8F"/>
    <w:rsid w:val="00E96AE3"/>
    <w:rsid w:val="00E96D9F"/>
    <w:rsid w:val="00E96ED7"/>
    <w:rsid w:val="00E97253"/>
    <w:rsid w:val="00E97526"/>
    <w:rsid w:val="00E97775"/>
    <w:rsid w:val="00E978F1"/>
    <w:rsid w:val="00E97A31"/>
    <w:rsid w:val="00E97CDD"/>
    <w:rsid w:val="00EA0050"/>
    <w:rsid w:val="00EA01B0"/>
    <w:rsid w:val="00EA04D3"/>
    <w:rsid w:val="00EA063E"/>
    <w:rsid w:val="00EA074C"/>
    <w:rsid w:val="00EA0843"/>
    <w:rsid w:val="00EA095E"/>
    <w:rsid w:val="00EA09AB"/>
    <w:rsid w:val="00EA0A10"/>
    <w:rsid w:val="00EA0BE2"/>
    <w:rsid w:val="00EA0CE6"/>
    <w:rsid w:val="00EA118A"/>
    <w:rsid w:val="00EA1334"/>
    <w:rsid w:val="00EA1368"/>
    <w:rsid w:val="00EA13F4"/>
    <w:rsid w:val="00EA141C"/>
    <w:rsid w:val="00EA147D"/>
    <w:rsid w:val="00EA15ED"/>
    <w:rsid w:val="00EA17DC"/>
    <w:rsid w:val="00EA17FB"/>
    <w:rsid w:val="00EA1968"/>
    <w:rsid w:val="00EA1BF6"/>
    <w:rsid w:val="00EA1F56"/>
    <w:rsid w:val="00EA1FBD"/>
    <w:rsid w:val="00EA21DB"/>
    <w:rsid w:val="00EA2444"/>
    <w:rsid w:val="00EA2509"/>
    <w:rsid w:val="00EA25AA"/>
    <w:rsid w:val="00EA2634"/>
    <w:rsid w:val="00EA264E"/>
    <w:rsid w:val="00EA26CD"/>
    <w:rsid w:val="00EA26EC"/>
    <w:rsid w:val="00EA2832"/>
    <w:rsid w:val="00EA2C56"/>
    <w:rsid w:val="00EA2FA5"/>
    <w:rsid w:val="00EA2FC2"/>
    <w:rsid w:val="00EA3180"/>
    <w:rsid w:val="00EA3231"/>
    <w:rsid w:val="00EA337C"/>
    <w:rsid w:val="00EA34E0"/>
    <w:rsid w:val="00EA3546"/>
    <w:rsid w:val="00EA35A8"/>
    <w:rsid w:val="00EA35B2"/>
    <w:rsid w:val="00EA3690"/>
    <w:rsid w:val="00EA36FD"/>
    <w:rsid w:val="00EA37D3"/>
    <w:rsid w:val="00EA3C5A"/>
    <w:rsid w:val="00EA3DCB"/>
    <w:rsid w:val="00EA4254"/>
    <w:rsid w:val="00EA4372"/>
    <w:rsid w:val="00EA4380"/>
    <w:rsid w:val="00EA43B2"/>
    <w:rsid w:val="00EA4671"/>
    <w:rsid w:val="00EA46FC"/>
    <w:rsid w:val="00EA476A"/>
    <w:rsid w:val="00EA4898"/>
    <w:rsid w:val="00EA4AD8"/>
    <w:rsid w:val="00EA4EF4"/>
    <w:rsid w:val="00EA4F47"/>
    <w:rsid w:val="00EA4F81"/>
    <w:rsid w:val="00EA5039"/>
    <w:rsid w:val="00EA50AF"/>
    <w:rsid w:val="00EA57C6"/>
    <w:rsid w:val="00EA57EF"/>
    <w:rsid w:val="00EA59C7"/>
    <w:rsid w:val="00EA5A00"/>
    <w:rsid w:val="00EA5BDF"/>
    <w:rsid w:val="00EA5BEF"/>
    <w:rsid w:val="00EA5CA4"/>
    <w:rsid w:val="00EA5F9E"/>
    <w:rsid w:val="00EA609E"/>
    <w:rsid w:val="00EA63FE"/>
    <w:rsid w:val="00EA6514"/>
    <w:rsid w:val="00EA6567"/>
    <w:rsid w:val="00EA6765"/>
    <w:rsid w:val="00EA67EB"/>
    <w:rsid w:val="00EA68D5"/>
    <w:rsid w:val="00EA6ADC"/>
    <w:rsid w:val="00EA6AE8"/>
    <w:rsid w:val="00EA6DD0"/>
    <w:rsid w:val="00EA6EF1"/>
    <w:rsid w:val="00EA6F91"/>
    <w:rsid w:val="00EA71A1"/>
    <w:rsid w:val="00EA7277"/>
    <w:rsid w:val="00EA7307"/>
    <w:rsid w:val="00EA73FF"/>
    <w:rsid w:val="00EA7460"/>
    <w:rsid w:val="00EA7DBC"/>
    <w:rsid w:val="00EA7E53"/>
    <w:rsid w:val="00EB0275"/>
    <w:rsid w:val="00EB030E"/>
    <w:rsid w:val="00EB03B4"/>
    <w:rsid w:val="00EB03EC"/>
    <w:rsid w:val="00EB04C9"/>
    <w:rsid w:val="00EB057D"/>
    <w:rsid w:val="00EB087D"/>
    <w:rsid w:val="00EB0901"/>
    <w:rsid w:val="00EB0B0B"/>
    <w:rsid w:val="00EB0BFB"/>
    <w:rsid w:val="00EB0D35"/>
    <w:rsid w:val="00EB0D94"/>
    <w:rsid w:val="00EB0E5B"/>
    <w:rsid w:val="00EB0F0E"/>
    <w:rsid w:val="00EB0FD8"/>
    <w:rsid w:val="00EB0FFC"/>
    <w:rsid w:val="00EB11D8"/>
    <w:rsid w:val="00EB1263"/>
    <w:rsid w:val="00EB126B"/>
    <w:rsid w:val="00EB1345"/>
    <w:rsid w:val="00EB134C"/>
    <w:rsid w:val="00EB14D7"/>
    <w:rsid w:val="00EB1647"/>
    <w:rsid w:val="00EB1A18"/>
    <w:rsid w:val="00EB1A58"/>
    <w:rsid w:val="00EB1BFF"/>
    <w:rsid w:val="00EB1C46"/>
    <w:rsid w:val="00EB1ED8"/>
    <w:rsid w:val="00EB1F99"/>
    <w:rsid w:val="00EB2019"/>
    <w:rsid w:val="00EB210E"/>
    <w:rsid w:val="00EB21E6"/>
    <w:rsid w:val="00EB254F"/>
    <w:rsid w:val="00EB25D7"/>
    <w:rsid w:val="00EB2775"/>
    <w:rsid w:val="00EB27B9"/>
    <w:rsid w:val="00EB27DE"/>
    <w:rsid w:val="00EB284B"/>
    <w:rsid w:val="00EB2883"/>
    <w:rsid w:val="00EB28AA"/>
    <w:rsid w:val="00EB2995"/>
    <w:rsid w:val="00EB2A12"/>
    <w:rsid w:val="00EB2B1A"/>
    <w:rsid w:val="00EB2F72"/>
    <w:rsid w:val="00EB3543"/>
    <w:rsid w:val="00EB35D3"/>
    <w:rsid w:val="00EB3601"/>
    <w:rsid w:val="00EB37B2"/>
    <w:rsid w:val="00EB3877"/>
    <w:rsid w:val="00EB38BD"/>
    <w:rsid w:val="00EB3992"/>
    <w:rsid w:val="00EB3ACB"/>
    <w:rsid w:val="00EB3B3A"/>
    <w:rsid w:val="00EB3BDE"/>
    <w:rsid w:val="00EB3E57"/>
    <w:rsid w:val="00EB3E8A"/>
    <w:rsid w:val="00EB3F9F"/>
    <w:rsid w:val="00EB3FA2"/>
    <w:rsid w:val="00EB4239"/>
    <w:rsid w:val="00EB45DB"/>
    <w:rsid w:val="00EB4B87"/>
    <w:rsid w:val="00EB4D68"/>
    <w:rsid w:val="00EB4D9B"/>
    <w:rsid w:val="00EB4EC9"/>
    <w:rsid w:val="00EB516C"/>
    <w:rsid w:val="00EB539A"/>
    <w:rsid w:val="00EB556D"/>
    <w:rsid w:val="00EB55CC"/>
    <w:rsid w:val="00EB5DAE"/>
    <w:rsid w:val="00EB5E77"/>
    <w:rsid w:val="00EB5FF3"/>
    <w:rsid w:val="00EB6018"/>
    <w:rsid w:val="00EB61C3"/>
    <w:rsid w:val="00EB661F"/>
    <w:rsid w:val="00EB6756"/>
    <w:rsid w:val="00EB67BE"/>
    <w:rsid w:val="00EB686A"/>
    <w:rsid w:val="00EB6878"/>
    <w:rsid w:val="00EB68BE"/>
    <w:rsid w:val="00EB68E1"/>
    <w:rsid w:val="00EB690A"/>
    <w:rsid w:val="00EB6B6F"/>
    <w:rsid w:val="00EB6BFF"/>
    <w:rsid w:val="00EB6F31"/>
    <w:rsid w:val="00EB6F77"/>
    <w:rsid w:val="00EB704B"/>
    <w:rsid w:val="00EB72F9"/>
    <w:rsid w:val="00EB73C5"/>
    <w:rsid w:val="00EB745D"/>
    <w:rsid w:val="00EB7514"/>
    <w:rsid w:val="00EB76BB"/>
    <w:rsid w:val="00EB76DF"/>
    <w:rsid w:val="00EB7C5D"/>
    <w:rsid w:val="00EB7C62"/>
    <w:rsid w:val="00EB7CA4"/>
    <w:rsid w:val="00EB7CC9"/>
    <w:rsid w:val="00EB7D22"/>
    <w:rsid w:val="00EC0090"/>
    <w:rsid w:val="00EC0169"/>
    <w:rsid w:val="00EC0206"/>
    <w:rsid w:val="00EC022F"/>
    <w:rsid w:val="00EC0264"/>
    <w:rsid w:val="00EC0663"/>
    <w:rsid w:val="00EC06C7"/>
    <w:rsid w:val="00EC1030"/>
    <w:rsid w:val="00EC10E0"/>
    <w:rsid w:val="00EC11A3"/>
    <w:rsid w:val="00EC1414"/>
    <w:rsid w:val="00EC1523"/>
    <w:rsid w:val="00EC15F4"/>
    <w:rsid w:val="00EC1663"/>
    <w:rsid w:val="00EC18A9"/>
    <w:rsid w:val="00EC1920"/>
    <w:rsid w:val="00EC1AA4"/>
    <w:rsid w:val="00EC1AEF"/>
    <w:rsid w:val="00EC1D80"/>
    <w:rsid w:val="00EC1DD8"/>
    <w:rsid w:val="00EC2007"/>
    <w:rsid w:val="00EC200D"/>
    <w:rsid w:val="00EC2657"/>
    <w:rsid w:val="00EC26F9"/>
    <w:rsid w:val="00EC2701"/>
    <w:rsid w:val="00EC2743"/>
    <w:rsid w:val="00EC27D0"/>
    <w:rsid w:val="00EC28EB"/>
    <w:rsid w:val="00EC2948"/>
    <w:rsid w:val="00EC2D49"/>
    <w:rsid w:val="00EC2D4C"/>
    <w:rsid w:val="00EC32F8"/>
    <w:rsid w:val="00EC32FE"/>
    <w:rsid w:val="00EC3455"/>
    <w:rsid w:val="00EC3544"/>
    <w:rsid w:val="00EC35A2"/>
    <w:rsid w:val="00EC3992"/>
    <w:rsid w:val="00EC3F4B"/>
    <w:rsid w:val="00EC3F53"/>
    <w:rsid w:val="00EC409B"/>
    <w:rsid w:val="00EC4134"/>
    <w:rsid w:val="00EC4221"/>
    <w:rsid w:val="00EC435A"/>
    <w:rsid w:val="00EC47A7"/>
    <w:rsid w:val="00EC4806"/>
    <w:rsid w:val="00EC4915"/>
    <w:rsid w:val="00EC4983"/>
    <w:rsid w:val="00EC4B42"/>
    <w:rsid w:val="00EC5260"/>
    <w:rsid w:val="00EC533A"/>
    <w:rsid w:val="00EC533F"/>
    <w:rsid w:val="00EC5355"/>
    <w:rsid w:val="00EC53BF"/>
    <w:rsid w:val="00EC53EB"/>
    <w:rsid w:val="00EC55E8"/>
    <w:rsid w:val="00EC5908"/>
    <w:rsid w:val="00EC5AF8"/>
    <w:rsid w:val="00EC5B5A"/>
    <w:rsid w:val="00EC5CF9"/>
    <w:rsid w:val="00EC5DD2"/>
    <w:rsid w:val="00EC6288"/>
    <w:rsid w:val="00EC62A8"/>
    <w:rsid w:val="00EC6334"/>
    <w:rsid w:val="00EC63B6"/>
    <w:rsid w:val="00EC6560"/>
    <w:rsid w:val="00EC65C5"/>
    <w:rsid w:val="00EC6650"/>
    <w:rsid w:val="00EC665B"/>
    <w:rsid w:val="00EC688C"/>
    <w:rsid w:val="00EC6982"/>
    <w:rsid w:val="00EC698B"/>
    <w:rsid w:val="00EC6A31"/>
    <w:rsid w:val="00EC6CCB"/>
    <w:rsid w:val="00EC717D"/>
    <w:rsid w:val="00EC7221"/>
    <w:rsid w:val="00EC724B"/>
    <w:rsid w:val="00EC72ED"/>
    <w:rsid w:val="00EC73A7"/>
    <w:rsid w:val="00EC73F6"/>
    <w:rsid w:val="00EC7536"/>
    <w:rsid w:val="00EC7730"/>
    <w:rsid w:val="00EC77BF"/>
    <w:rsid w:val="00EC79D8"/>
    <w:rsid w:val="00EC7A6A"/>
    <w:rsid w:val="00EC7BD9"/>
    <w:rsid w:val="00EC7C42"/>
    <w:rsid w:val="00EC7DCD"/>
    <w:rsid w:val="00EC7E59"/>
    <w:rsid w:val="00EC7E73"/>
    <w:rsid w:val="00EC7E75"/>
    <w:rsid w:val="00EC7E9A"/>
    <w:rsid w:val="00EC7F08"/>
    <w:rsid w:val="00EC7F6A"/>
    <w:rsid w:val="00ED0115"/>
    <w:rsid w:val="00ED0B1B"/>
    <w:rsid w:val="00ED0C74"/>
    <w:rsid w:val="00ED0CB7"/>
    <w:rsid w:val="00ED0FFA"/>
    <w:rsid w:val="00ED122D"/>
    <w:rsid w:val="00ED13B5"/>
    <w:rsid w:val="00ED14EC"/>
    <w:rsid w:val="00ED15E5"/>
    <w:rsid w:val="00ED163D"/>
    <w:rsid w:val="00ED1805"/>
    <w:rsid w:val="00ED18DA"/>
    <w:rsid w:val="00ED1BA8"/>
    <w:rsid w:val="00ED1EC1"/>
    <w:rsid w:val="00ED1F80"/>
    <w:rsid w:val="00ED1FA5"/>
    <w:rsid w:val="00ED204C"/>
    <w:rsid w:val="00ED2367"/>
    <w:rsid w:val="00ED2521"/>
    <w:rsid w:val="00ED2841"/>
    <w:rsid w:val="00ED28F8"/>
    <w:rsid w:val="00ED2D65"/>
    <w:rsid w:val="00ED2ECD"/>
    <w:rsid w:val="00ED2F48"/>
    <w:rsid w:val="00ED3171"/>
    <w:rsid w:val="00ED3179"/>
    <w:rsid w:val="00ED33CB"/>
    <w:rsid w:val="00ED33FC"/>
    <w:rsid w:val="00ED3563"/>
    <w:rsid w:val="00ED359A"/>
    <w:rsid w:val="00ED3BEB"/>
    <w:rsid w:val="00ED4170"/>
    <w:rsid w:val="00ED425B"/>
    <w:rsid w:val="00ED42C8"/>
    <w:rsid w:val="00ED42E4"/>
    <w:rsid w:val="00ED45BB"/>
    <w:rsid w:val="00ED4689"/>
    <w:rsid w:val="00ED480F"/>
    <w:rsid w:val="00ED49A9"/>
    <w:rsid w:val="00ED4A87"/>
    <w:rsid w:val="00ED4CB4"/>
    <w:rsid w:val="00ED4CBD"/>
    <w:rsid w:val="00ED4D9B"/>
    <w:rsid w:val="00ED4DCB"/>
    <w:rsid w:val="00ED4DD1"/>
    <w:rsid w:val="00ED4F68"/>
    <w:rsid w:val="00ED4FAC"/>
    <w:rsid w:val="00ED50E2"/>
    <w:rsid w:val="00ED535F"/>
    <w:rsid w:val="00ED5426"/>
    <w:rsid w:val="00ED550A"/>
    <w:rsid w:val="00ED55C5"/>
    <w:rsid w:val="00ED592D"/>
    <w:rsid w:val="00ED5B1C"/>
    <w:rsid w:val="00ED5DB8"/>
    <w:rsid w:val="00ED5F29"/>
    <w:rsid w:val="00ED5F95"/>
    <w:rsid w:val="00ED620A"/>
    <w:rsid w:val="00ED6294"/>
    <w:rsid w:val="00ED62BB"/>
    <w:rsid w:val="00ED643F"/>
    <w:rsid w:val="00ED6803"/>
    <w:rsid w:val="00ED693D"/>
    <w:rsid w:val="00ED6BF6"/>
    <w:rsid w:val="00ED6C84"/>
    <w:rsid w:val="00ED6E70"/>
    <w:rsid w:val="00ED706D"/>
    <w:rsid w:val="00ED7196"/>
    <w:rsid w:val="00ED71CD"/>
    <w:rsid w:val="00ED728D"/>
    <w:rsid w:val="00ED72C1"/>
    <w:rsid w:val="00ED742D"/>
    <w:rsid w:val="00ED743B"/>
    <w:rsid w:val="00ED755F"/>
    <w:rsid w:val="00ED7592"/>
    <w:rsid w:val="00ED774C"/>
    <w:rsid w:val="00ED7817"/>
    <w:rsid w:val="00ED7925"/>
    <w:rsid w:val="00ED7AAF"/>
    <w:rsid w:val="00ED7BDF"/>
    <w:rsid w:val="00ED7C6F"/>
    <w:rsid w:val="00ED7DF2"/>
    <w:rsid w:val="00ED7EC4"/>
    <w:rsid w:val="00ED7EDA"/>
    <w:rsid w:val="00EE02D3"/>
    <w:rsid w:val="00EE04CA"/>
    <w:rsid w:val="00EE05DC"/>
    <w:rsid w:val="00EE0BBF"/>
    <w:rsid w:val="00EE0D7F"/>
    <w:rsid w:val="00EE0ED7"/>
    <w:rsid w:val="00EE106B"/>
    <w:rsid w:val="00EE119B"/>
    <w:rsid w:val="00EE13BF"/>
    <w:rsid w:val="00EE157D"/>
    <w:rsid w:val="00EE15BB"/>
    <w:rsid w:val="00EE1715"/>
    <w:rsid w:val="00EE17D6"/>
    <w:rsid w:val="00EE1A09"/>
    <w:rsid w:val="00EE1A8F"/>
    <w:rsid w:val="00EE1DEB"/>
    <w:rsid w:val="00EE2068"/>
    <w:rsid w:val="00EE23DB"/>
    <w:rsid w:val="00EE2574"/>
    <w:rsid w:val="00EE26A3"/>
    <w:rsid w:val="00EE2707"/>
    <w:rsid w:val="00EE28DB"/>
    <w:rsid w:val="00EE28DD"/>
    <w:rsid w:val="00EE29E8"/>
    <w:rsid w:val="00EE29FF"/>
    <w:rsid w:val="00EE2C02"/>
    <w:rsid w:val="00EE2D35"/>
    <w:rsid w:val="00EE3222"/>
    <w:rsid w:val="00EE3272"/>
    <w:rsid w:val="00EE3402"/>
    <w:rsid w:val="00EE3598"/>
    <w:rsid w:val="00EE36AD"/>
    <w:rsid w:val="00EE37C3"/>
    <w:rsid w:val="00EE3A8C"/>
    <w:rsid w:val="00EE3C8B"/>
    <w:rsid w:val="00EE3D22"/>
    <w:rsid w:val="00EE3EC7"/>
    <w:rsid w:val="00EE4060"/>
    <w:rsid w:val="00EE40B9"/>
    <w:rsid w:val="00EE4235"/>
    <w:rsid w:val="00EE44BA"/>
    <w:rsid w:val="00EE44C7"/>
    <w:rsid w:val="00EE4514"/>
    <w:rsid w:val="00EE4536"/>
    <w:rsid w:val="00EE4547"/>
    <w:rsid w:val="00EE45BF"/>
    <w:rsid w:val="00EE464D"/>
    <w:rsid w:val="00EE46D0"/>
    <w:rsid w:val="00EE4716"/>
    <w:rsid w:val="00EE4753"/>
    <w:rsid w:val="00EE4878"/>
    <w:rsid w:val="00EE49E7"/>
    <w:rsid w:val="00EE4D19"/>
    <w:rsid w:val="00EE4DBF"/>
    <w:rsid w:val="00EE4DF2"/>
    <w:rsid w:val="00EE4E38"/>
    <w:rsid w:val="00EE4F08"/>
    <w:rsid w:val="00EE51F0"/>
    <w:rsid w:val="00EE5251"/>
    <w:rsid w:val="00EE5734"/>
    <w:rsid w:val="00EE5C6F"/>
    <w:rsid w:val="00EE5F67"/>
    <w:rsid w:val="00EE5F8A"/>
    <w:rsid w:val="00EE610A"/>
    <w:rsid w:val="00EE6189"/>
    <w:rsid w:val="00EE637A"/>
    <w:rsid w:val="00EE6722"/>
    <w:rsid w:val="00EE6935"/>
    <w:rsid w:val="00EE69BD"/>
    <w:rsid w:val="00EE6C23"/>
    <w:rsid w:val="00EE6C84"/>
    <w:rsid w:val="00EE6DE8"/>
    <w:rsid w:val="00EE6EF0"/>
    <w:rsid w:val="00EE739E"/>
    <w:rsid w:val="00EE7765"/>
    <w:rsid w:val="00EE7807"/>
    <w:rsid w:val="00EE7B9E"/>
    <w:rsid w:val="00EE7BC6"/>
    <w:rsid w:val="00EE7C11"/>
    <w:rsid w:val="00EE7CF2"/>
    <w:rsid w:val="00EE7CF7"/>
    <w:rsid w:val="00EE7E44"/>
    <w:rsid w:val="00EE7F6E"/>
    <w:rsid w:val="00EF0107"/>
    <w:rsid w:val="00EF01DB"/>
    <w:rsid w:val="00EF0282"/>
    <w:rsid w:val="00EF0661"/>
    <w:rsid w:val="00EF0947"/>
    <w:rsid w:val="00EF0B45"/>
    <w:rsid w:val="00EF0B6B"/>
    <w:rsid w:val="00EF0CF3"/>
    <w:rsid w:val="00EF0D49"/>
    <w:rsid w:val="00EF0D6F"/>
    <w:rsid w:val="00EF0D71"/>
    <w:rsid w:val="00EF0F8C"/>
    <w:rsid w:val="00EF1014"/>
    <w:rsid w:val="00EF105E"/>
    <w:rsid w:val="00EF119E"/>
    <w:rsid w:val="00EF120F"/>
    <w:rsid w:val="00EF1401"/>
    <w:rsid w:val="00EF157E"/>
    <w:rsid w:val="00EF1728"/>
    <w:rsid w:val="00EF176D"/>
    <w:rsid w:val="00EF1904"/>
    <w:rsid w:val="00EF1912"/>
    <w:rsid w:val="00EF19B2"/>
    <w:rsid w:val="00EF1B5F"/>
    <w:rsid w:val="00EF1B6F"/>
    <w:rsid w:val="00EF1B81"/>
    <w:rsid w:val="00EF1DD9"/>
    <w:rsid w:val="00EF1FFD"/>
    <w:rsid w:val="00EF25FE"/>
    <w:rsid w:val="00EF262A"/>
    <w:rsid w:val="00EF285F"/>
    <w:rsid w:val="00EF2929"/>
    <w:rsid w:val="00EF2B73"/>
    <w:rsid w:val="00EF2C55"/>
    <w:rsid w:val="00EF2F48"/>
    <w:rsid w:val="00EF31A1"/>
    <w:rsid w:val="00EF3620"/>
    <w:rsid w:val="00EF36EE"/>
    <w:rsid w:val="00EF38F8"/>
    <w:rsid w:val="00EF3930"/>
    <w:rsid w:val="00EF3BD9"/>
    <w:rsid w:val="00EF3D1D"/>
    <w:rsid w:val="00EF3EAE"/>
    <w:rsid w:val="00EF4081"/>
    <w:rsid w:val="00EF46B2"/>
    <w:rsid w:val="00EF498B"/>
    <w:rsid w:val="00EF4AD6"/>
    <w:rsid w:val="00EF4BC2"/>
    <w:rsid w:val="00EF4CC7"/>
    <w:rsid w:val="00EF4E11"/>
    <w:rsid w:val="00EF4EF8"/>
    <w:rsid w:val="00EF4F5D"/>
    <w:rsid w:val="00EF4FE7"/>
    <w:rsid w:val="00EF5059"/>
    <w:rsid w:val="00EF507E"/>
    <w:rsid w:val="00EF50B5"/>
    <w:rsid w:val="00EF5119"/>
    <w:rsid w:val="00EF51EC"/>
    <w:rsid w:val="00EF5230"/>
    <w:rsid w:val="00EF5276"/>
    <w:rsid w:val="00EF54AB"/>
    <w:rsid w:val="00EF557C"/>
    <w:rsid w:val="00EF583F"/>
    <w:rsid w:val="00EF5A2D"/>
    <w:rsid w:val="00EF5A83"/>
    <w:rsid w:val="00EF5A9E"/>
    <w:rsid w:val="00EF5AEC"/>
    <w:rsid w:val="00EF5DFF"/>
    <w:rsid w:val="00EF5FB3"/>
    <w:rsid w:val="00EF621E"/>
    <w:rsid w:val="00EF66D7"/>
    <w:rsid w:val="00EF6902"/>
    <w:rsid w:val="00EF6CC0"/>
    <w:rsid w:val="00EF6D4F"/>
    <w:rsid w:val="00EF6FAA"/>
    <w:rsid w:val="00EF7057"/>
    <w:rsid w:val="00EF71DD"/>
    <w:rsid w:val="00EF71F7"/>
    <w:rsid w:val="00EF7221"/>
    <w:rsid w:val="00EF741C"/>
    <w:rsid w:val="00EF7629"/>
    <w:rsid w:val="00EF76C4"/>
    <w:rsid w:val="00EF7983"/>
    <w:rsid w:val="00EF79F9"/>
    <w:rsid w:val="00EF79FF"/>
    <w:rsid w:val="00EF7AD2"/>
    <w:rsid w:val="00EF7AED"/>
    <w:rsid w:val="00EF7C00"/>
    <w:rsid w:val="00EF7D03"/>
    <w:rsid w:val="00EF7D94"/>
    <w:rsid w:val="00F00807"/>
    <w:rsid w:val="00F00915"/>
    <w:rsid w:val="00F00986"/>
    <w:rsid w:val="00F00B13"/>
    <w:rsid w:val="00F00B3E"/>
    <w:rsid w:val="00F00BB9"/>
    <w:rsid w:val="00F00D4E"/>
    <w:rsid w:val="00F00EA9"/>
    <w:rsid w:val="00F01132"/>
    <w:rsid w:val="00F01226"/>
    <w:rsid w:val="00F014B3"/>
    <w:rsid w:val="00F0170C"/>
    <w:rsid w:val="00F01766"/>
    <w:rsid w:val="00F0191E"/>
    <w:rsid w:val="00F01963"/>
    <w:rsid w:val="00F01B88"/>
    <w:rsid w:val="00F01B99"/>
    <w:rsid w:val="00F01BDC"/>
    <w:rsid w:val="00F01C6C"/>
    <w:rsid w:val="00F01C9B"/>
    <w:rsid w:val="00F01CE9"/>
    <w:rsid w:val="00F01DB8"/>
    <w:rsid w:val="00F01DEB"/>
    <w:rsid w:val="00F02165"/>
    <w:rsid w:val="00F0226A"/>
    <w:rsid w:val="00F0232D"/>
    <w:rsid w:val="00F02405"/>
    <w:rsid w:val="00F024B1"/>
    <w:rsid w:val="00F02650"/>
    <w:rsid w:val="00F02666"/>
    <w:rsid w:val="00F0270D"/>
    <w:rsid w:val="00F02754"/>
    <w:rsid w:val="00F02A42"/>
    <w:rsid w:val="00F02B0B"/>
    <w:rsid w:val="00F02B64"/>
    <w:rsid w:val="00F02B6F"/>
    <w:rsid w:val="00F02C5D"/>
    <w:rsid w:val="00F02E09"/>
    <w:rsid w:val="00F02EF7"/>
    <w:rsid w:val="00F02F33"/>
    <w:rsid w:val="00F02F6E"/>
    <w:rsid w:val="00F0307D"/>
    <w:rsid w:val="00F030F8"/>
    <w:rsid w:val="00F0310F"/>
    <w:rsid w:val="00F03199"/>
    <w:rsid w:val="00F035D2"/>
    <w:rsid w:val="00F0363F"/>
    <w:rsid w:val="00F0370B"/>
    <w:rsid w:val="00F039F7"/>
    <w:rsid w:val="00F03BB0"/>
    <w:rsid w:val="00F03BD7"/>
    <w:rsid w:val="00F03D9A"/>
    <w:rsid w:val="00F03DDF"/>
    <w:rsid w:val="00F03E0D"/>
    <w:rsid w:val="00F03F9A"/>
    <w:rsid w:val="00F04142"/>
    <w:rsid w:val="00F0425C"/>
    <w:rsid w:val="00F042C0"/>
    <w:rsid w:val="00F04539"/>
    <w:rsid w:val="00F0473B"/>
    <w:rsid w:val="00F04AE3"/>
    <w:rsid w:val="00F04CB9"/>
    <w:rsid w:val="00F04ED7"/>
    <w:rsid w:val="00F05298"/>
    <w:rsid w:val="00F0540F"/>
    <w:rsid w:val="00F055BA"/>
    <w:rsid w:val="00F0577E"/>
    <w:rsid w:val="00F0581F"/>
    <w:rsid w:val="00F0590E"/>
    <w:rsid w:val="00F05B16"/>
    <w:rsid w:val="00F05E3F"/>
    <w:rsid w:val="00F06055"/>
    <w:rsid w:val="00F060A3"/>
    <w:rsid w:val="00F063D0"/>
    <w:rsid w:val="00F06417"/>
    <w:rsid w:val="00F066CC"/>
    <w:rsid w:val="00F0696B"/>
    <w:rsid w:val="00F06C2E"/>
    <w:rsid w:val="00F06CAF"/>
    <w:rsid w:val="00F06CD3"/>
    <w:rsid w:val="00F06D05"/>
    <w:rsid w:val="00F06D90"/>
    <w:rsid w:val="00F06E82"/>
    <w:rsid w:val="00F06FC8"/>
    <w:rsid w:val="00F0702C"/>
    <w:rsid w:val="00F070D5"/>
    <w:rsid w:val="00F07169"/>
    <w:rsid w:val="00F0719D"/>
    <w:rsid w:val="00F07323"/>
    <w:rsid w:val="00F075B9"/>
    <w:rsid w:val="00F075FE"/>
    <w:rsid w:val="00F07A8C"/>
    <w:rsid w:val="00F07B1B"/>
    <w:rsid w:val="00F07BD3"/>
    <w:rsid w:val="00F07C00"/>
    <w:rsid w:val="00F1035B"/>
    <w:rsid w:val="00F105F1"/>
    <w:rsid w:val="00F10909"/>
    <w:rsid w:val="00F10DAF"/>
    <w:rsid w:val="00F10DD7"/>
    <w:rsid w:val="00F10E4A"/>
    <w:rsid w:val="00F10F9E"/>
    <w:rsid w:val="00F1130F"/>
    <w:rsid w:val="00F113F1"/>
    <w:rsid w:val="00F116E8"/>
    <w:rsid w:val="00F118F0"/>
    <w:rsid w:val="00F118F8"/>
    <w:rsid w:val="00F11A54"/>
    <w:rsid w:val="00F11AE7"/>
    <w:rsid w:val="00F11C6F"/>
    <w:rsid w:val="00F11CA2"/>
    <w:rsid w:val="00F11DBB"/>
    <w:rsid w:val="00F120F0"/>
    <w:rsid w:val="00F1211D"/>
    <w:rsid w:val="00F12214"/>
    <w:rsid w:val="00F122BB"/>
    <w:rsid w:val="00F124C3"/>
    <w:rsid w:val="00F12825"/>
    <w:rsid w:val="00F128EC"/>
    <w:rsid w:val="00F12EE2"/>
    <w:rsid w:val="00F131C6"/>
    <w:rsid w:val="00F1320E"/>
    <w:rsid w:val="00F13230"/>
    <w:rsid w:val="00F133D1"/>
    <w:rsid w:val="00F1377A"/>
    <w:rsid w:val="00F13939"/>
    <w:rsid w:val="00F1396C"/>
    <w:rsid w:val="00F13A7D"/>
    <w:rsid w:val="00F13AD9"/>
    <w:rsid w:val="00F14571"/>
    <w:rsid w:val="00F147C5"/>
    <w:rsid w:val="00F1483A"/>
    <w:rsid w:val="00F14DB7"/>
    <w:rsid w:val="00F14DD8"/>
    <w:rsid w:val="00F14EC0"/>
    <w:rsid w:val="00F15091"/>
    <w:rsid w:val="00F150D2"/>
    <w:rsid w:val="00F154E9"/>
    <w:rsid w:val="00F1560D"/>
    <w:rsid w:val="00F15835"/>
    <w:rsid w:val="00F1591F"/>
    <w:rsid w:val="00F15A02"/>
    <w:rsid w:val="00F15C2A"/>
    <w:rsid w:val="00F15C98"/>
    <w:rsid w:val="00F15CB4"/>
    <w:rsid w:val="00F15E1D"/>
    <w:rsid w:val="00F15F9F"/>
    <w:rsid w:val="00F161D6"/>
    <w:rsid w:val="00F16481"/>
    <w:rsid w:val="00F1684F"/>
    <w:rsid w:val="00F16F5B"/>
    <w:rsid w:val="00F17639"/>
    <w:rsid w:val="00F17A2D"/>
    <w:rsid w:val="00F17AA3"/>
    <w:rsid w:val="00F17AEE"/>
    <w:rsid w:val="00F17D88"/>
    <w:rsid w:val="00F17DB4"/>
    <w:rsid w:val="00F20215"/>
    <w:rsid w:val="00F202D4"/>
    <w:rsid w:val="00F206D6"/>
    <w:rsid w:val="00F20979"/>
    <w:rsid w:val="00F20997"/>
    <w:rsid w:val="00F20A39"/>
    <w:rsid w:val="00F20A84"/>
    <w:rsid w:val="00F20B72"/>
    <w:rsid w:val="00F212DC"/>
    <w:rsid w:val="00F21351"/>
    <w:rsid w:val="00F215A5"/>
    <w:rsid w:val="00F215AA"/>
    <w:rsid w:val="00F216F6"/>
    <w:rsid w:val="00F21721"/>
    <w:rsid w:val="00F21B87"/>
    <w:rsid w:val="00F21BE5"/>
    <w:rsid w:val="00F21F43"/>
    <w:rsid w:val="00F21F86"/>
    <w:rsid w:val="00F22364"/>
    <w:rsid w:val="00F2237C"/>
    <w:rsid w:val="00F2264E"/>
    <w:rsid w:val="00F228A4"/>
    <w:rsid w:val="00F22A04"/>
    <w:rsid w:val="00F22A4C"/>
    <w:rsid w:val="00F22CE8"/>
    <w:rsid w:val="00F22DB9"/>
    <w:rsid w:val="00F232B7"/>
    <w:rsid w:val="00F232CC"/>
    <w:rsid w:val="00F23644"/>
    <w:rsid w:val="00F236A8"/>
    <w:rsid w:val="00F2380C"/>
    <w:rsid w:val="00F23CCD"/>
    <w:rsid w:val="00F23DF0"/>
    <w:rsid w:val="00F23E8D"/>
    <w:rsid w:val="00F2490C"/>
    <w:rsid w:val="00F24919"/>
    <w:rsid w:val="00F252E8"/>
    <w:rsid w:val="00F254A8"/>
    <w:rsid w:val="00F255B8"/>
    <w:rsid w:val="00F255C6"/>
    <w:rsid w:val="00F2569B"/>
    <w:rsid w:val="00F259FB"/>
    <w:rsid w:val="00F25A19"/>
    <w:rsid w:val="00F25CE0"/>
    <w:rsid w:val="00F25D18"/>
    <w:rsid w:val="00F25DAE"/>
    <w:rsid w:val="00F26027"/>
    <w:rsid w:val="00F260BC"/>
    <w:rsid w:val="00F26197"/>
    <w:rsid w:val="00F26249"/>
    <w:rsid w:val="00F263C5"/>
    <w:rsid w:val="00F2651D"/>
    <w:rsid w:val="00F2656E"/>
    <w:rsid w:val="00F26648"/>
    <w:rsid w:val="00F266D8"/>
    <w:rsid w:val="00F267EE"/>
    <w:rsid w:val="00F268C3"/>
    <w:rsid w:val="00F268D4"/>
    <w:rsid w:val="00F26D89"/>
    <w:rsid w:val="00F26DF2"/>
    <w:rsid w:val="00F26E58"/>
    <w:rsid w:val="00F26FB8"/>
    <w:rsid w:val="00F273C8"/>
    <w:rsid w:val="00F27542"/>
    <w:rsid w:val="00F27872"/>
    <w:rsid w:val="00F279DA"/>
    <w:rsid w:val="00F27A2A"/>
    <w:rsid w:val="00F27B07"/>
    <w:rsid w:val="00F27BA5"/>
    <w:rsid w:val="00F30027"/>
    <w:rsid w:val="00F300D6"/>
    <w:rsid w:val="00F30214"/>
    <w:rsid w:val="00F30440"/>
    <w:rsid w:val="00F30453"/>
    <w:rsid w:val="00F30491"/>
    <w:rsid w:val="00F304E1"/>
    <w:rsid w:val="00F30648"/>
    <w:rsid w:val="00F30A34"/>
    <w:rsid w:val="00F30C04"/>
    <w:rsid w:val="00F30C93"/>
    <w:rsid w:val="00F30D56"/>
    <w:rsid w:val="00F30E63"/>
    <w:rsid w:val="00F30E6D"/>
    <w:rsid w:val="00F3117F"/>
    <w:rsid w:val="00F311EE"/>
    <w:rsid w:val="00F313BE"/>
    <w:rsid w:val="00F313DC"/>
    <w:rsid w:val="00F3144A"/>
    <w:rsid w:val="00F31461"/>
    <w:rsid w:val="00F3150E"/>
    <w:rsid w:val="00F31945"/>
    <w:rsid w:val="00F31AA9"/>
    <w:rsid w:val="00F31C5F"/>
    <w:rsid w:val="00F31CA8"/>
    <w:rsid w:val="00F32074"/>
    <w:rsid w:val="00F3213A"/>
    <w:rsid w:val="00F32357"/>
    <w:rsid w:val="00F32B93"/>
    <w:rsid w:val="00F33120"/>
    <w:rsid w:val="00F331D6"/>
    <w:rsid w:val="00F3336D"/>
    <w:rsid w:val="00F335B5"/>
    <w:rsid w:val="00F3361F"/>
    <w:rsid w:val="00F3368F"/>
    <w:rsid w:val="00F33708"/>
    <w:rsid w:val="00F3374E"/>
    <w:rsid w:val="00F33B39"/>
    <w:rsid w:val="00F33B64"/>
    <w:rsid w:val="00F33BC6"/>
    <w:rsid w:val="00F33BE2"/>
    <w:rsid w:val="00F33E73"/>
    <w:rsid w:val="00F34073"/>
    <w:rsid w:val="00F3414C"/>
    <w:rsid w:val="00F3432F"/>
    <w:rsid w:val="00F34815"/>
    <w:rsid w:val="00F349A9"/>
    <w:rsid w:val="00F34B7C"/>
    <w:rsid w:val="00F34BC5"/>
    <w:rsid w:val="00F34C76"/>
    <w:rsid w:val="00F34E61"/>
    <w:rsid w:val="00F34ED0"/>
    <w:rsid w:val="00F35374"/>
    <w:rsid w:val="00F3546F"/>
    <w:rsid w:val="00F354FE"/>
    <w:rsid w:val="00F355F3"/>
    <w:rsid w:val="00F35692"/>
    <w:rsid w:val="00F357C8"/>
    <w:rsid w:val="00F357DA"/>
    <w:rsid w:val="00F35B72"/>
    <w:rsid w:val="00F35C5B"/>
    <w:rsid w:val="00F35D31"/>
    <w:rsid w:val="00F35DED"/>
    <w:rsid w:val="00F35EA0"/>
    <w:rsid w:val="00F360C9"/>
    <w:rsid w:val="00F3611E"/>
    <w:rsid w:val="00F36124"/>
    <w:rsid w:val="00F36495"/>
    <w:rsid w:val="00F364D6"/>
    <w:rsid w:val="00F365CF"/>
    <w:rsid w:val="00F3664E"/>
    <w:rsid w:val="00F367E7"/>
    <w:rsid w:val="00F3696C"/>
    <w:rsid w:val="00F36A8C"/>
    <w:rsid w:val="00F36B7B"/>
    <w:rsid w:val="00F36CC9"/>
    <w:rsid w:val="00F36D16"/>
    <w:rsid w:val="00F36E03"/>
    <w:rsid w:val="00F36E2E"/>
    <w:rsid w:val="00F36E6D"/>
    <w:rsid w:val="00F37003"/>
    <w:rsid w:val="00F371CA"/>
    <w:rsid w:val="00F37366"/>
    <w:rsid w:val="00F375D3"/>
    <w:rsid w:val="00F3761D"/>
    <w:rsid w:val="00F37738"/>
    <w:rsid w:val="00F377E6"/>
    <w:rsid w:val="00F377F3"/>
    <w:rsid w:val="00F3792B"/>
    <w:rsid w:val="00F379B9"/>
    <w:rsid w:val="00F37AD0"/>
    <w:rsid w:val="00F37DF9"/>
    <w:rsid w:val="00F37E52"/>
    <w:rsid w:val="00F37EF7"/>
    <w:rsid w:val="00F4001B"/>
    <w:rsid w:val="00F40071"/>
    <w:rsid w:val="00F400D6"/>
    <w:rsid w:val="00F400F7"/>
    <w:rsid w:val="00F4040F"/>
    <w:rsid w:val="00F40649"/>
    <w:rsid w:val="00F406D6"/>
    <w:rsid w:val="00F4091B"/>
    <w:rsid w:val="00F40937"/>
    <w:rsid w:val="00F409E5"/>
    <w:rsid w:val="00F40BB0"/>
    <w:rsid w:val="00F4131F"/>
    <w:rsid w:val="00F4132F"/>
    <w:rsid w:val="00F4152F"/>
    <w:rsid w:val="00F41608"/>
    <w:rsid w:val="00F416D0"/>
    <w:rsid w:val="00F4192B"/>
    <w:rsid w:val="00F4193A"/>
    <w:rsid w:val="00F41974"/>
    <w:rsid w:val="00F41B77"/>
    <w:rsid w:val="00F41CAF"/>
    <w:rsid w:val="00F41D63"/>
    <w:rsid w:val="00F41EC3"/>
    <w:rsid w:val="00F41FF8"/>
    <w:rsid w:val="00F42037"/>
    <w:rsid w:val="00F422DA"/>
    <w:rsid w:val="00F42436"/>
    <w:rsid w:val="00F42506"/>
    <w:rsid w:val="00F425B4"/>
    <w:rsid w:val="00F42773"/>
    <w:rsid w:val="00F42A9B"/>
    <w:rsid w:val="00F42C52"/>
    <w:rsid w:val="00F42DF2"/>
    <w:rsid w:val="00F42F12"/>
    <w:rsid w:val="00F43098"/>
    <w:rsid w:val="00F43308"/>
    <w:rsid w:val="00F43571"/>
    <w:rsid w:val="00F43691"/>
    <w:rsid w:val="00F436BE"/>
    <w:rsid w:val="00F43E13"/>
    <w:rsid w:val="00F43E58"/>
    <w:rsid w:val="00F440A9"/>
    <w:rsid w:val="00F4438C"/>
    <w:rsid w:val="00F44415"/>
    <w:rsid w:val="00F44741"/>
    <w:rsid w:val="00F447B1"/>
    <w:rsid w:val="00F44897"/>
    <w:rsid w:val="00F44AEF"/>
    <w:rsid w:val="00F44D48"/>
    <w:rsid w:val="00F45006"/>
    <w:rsid w:val="00F4514D"/>
    <w:rsid w:val="00F45202"/>
    <w:rsid w:val="00F45287"/>
    <w:rsid w:val="00F45421"/>
    <w:rsid w:val="00F45475"/>
    <w:rsid w:val="00F454C4"/>
    <w:rsid w:val="00F4559D"/>
    <w:rsid w:val="00F455CF"/>
    <w:rsid w:val="00F45771"/>
    <w:rsid w:val="00F457BB"/>
    <w:rsid w:val="00F45C8D"/>
    <w:rsid w:val="00F45D49"/>
    <w:rsid w:val="00F45F8B"/>
    <w:rsid w:val="00F4604A"/>
    <w:rsid w:val="00F46149"/>
    <w:rsid w:val="00F4621C"/>
    <w:rsid w:val="00F46234"/>
    <w:rsid w:val="00F4658A"/>
    <w:rsid w:val="00F46691"/>
    <w:rsid w:val="00F468C5"/>
    <w:rsid w:val="00F468FB"/>
    <w:rsid w:val="00F46A05"/>
    <w:rsid w:val="00F46B3C"/>
    <w:rsid w:val="00F46B45"/>
    <w:rsid w:val="00F46BB3"/>
    <w:rsid w:val="00F46C14"/>
    <w:rsid w:val="00F47028"/>
    <w:rsid w:val="00F47042"/>
    <w:rsid w:val="00F470BB"/>
    <w:rsid w:val="00F471BA"/>
    <w:rsid w:val="00F473BF"/>
    <w:rsid w:val="00F47568"/>
    <w:rsid w:val="00F4764F"/>
    <w:rsid w:val="00F477EC"/>
    <w:rsid w:val="00F47A0C"/>
    <w:rsid w:val="00F47C4B"/>
    <w:rsid w:val="00F47C63"/>
    <w:rsid w:val="00F50072"/>
    <w:rsid w:val="00F50154"/>
    <w:rsid w:val="00F5019D"/>
    <w:rsid w:val="00F501F2"/>
    <w:rsid w:val="00F507EC"/>
    <w:rsid w:val="00F50CF3"/>
    <w:rsid w:val="00F50D39"/>
    <w:rsid w:val="00F5103B"/>
    <w:rsid w:val="00F51308"/>
    <w:rsid w:val="00F51326"/>
    <w:rsid w:val="00F515B7"/>
    <w:rsid w:val="00F52154"/>
    <w:rsid w:val="00F522B8"/>
    <w:rsid w:val="00F52532"/>
    <w:rsid w:val="00F5281A"/>
    <w:rsid w:val="00F5285D"/>
    <w:rsid w:val="00F5295F"/>
    <w:rsid w:val="00F52A16"/>
    <w:rsid w:val="00F52A56"/>
    <w:rsid w:val="00F52D4F"/>
    <w:rsid w:val="00F52EF1"/>
    <w:rsid w:val="00F53146"/>
    <w:rsid w:val="00F53189"/>
    <w:rsid w:val="00F5326D"/>
    <w:rsid w:val="00F532C5"/>
    <w:rsid w:val="00F53496"/>
    <w:rsid w:val="00F535CC"/>
    <w:rsid w:val="00F53867"/>
    <w:rsid w:val="00F538B9"/>
    <w:rsid w:val="00F53C17"/>
    <w:rsid w:val="00F53C4A"/>
    <w:rsid w:val="00F53DED"/>
    <w:rsid w:val="00F53FC7"/>
    <w:rsid w:val="00F54118"/>
    <w:rsid w:val="00F5427C"/>
    <w:rsid w:val="00F54388"/>
    <w:rsid w:val="00F54564"/>
    <w:rsid w:val="00F54574"/>
    <w:rsid w:val="00F5482B"/>
    <w:rsid w:val="00F54913"/>
    <w:rsid w:val="00F54947"/>
    <w:rsid w:val="00F54A38"/>
    <w:rsid w:val="00F54C08"/>
    <w:rsid w:val="00F54F5D"/>
    <w:rsid w:val="00F55041"/>
    <w:rsid w:val="00F55434"/>
    <w:rsid w:val="00F5570F"/>
    <w:rsid w:val="00F558B6"/>
    <w:rsid w:val="00F55A5D"/>
    <w:rsid w:val="00F55A5E"/>
    <w:rsid w:val="00F55A92"/>
    <w:rsid w:val="00F55AF4"/>
    <w:rsid w:val="00F55C35"/>
    <w:rsid w:val="00F55C99"/>
    <w:rsid w:val="00F55D45"/>
    <w:rsid w:val="00F55EF0"/>
    <w:rsid w:val="00F55F27"/>
    <w:rsid w:val="00F5605F"/>
    <w:rsid w:val="00F5609B"/>
    <w:rsid w:val="00F56149"/>
    <w:rsid w:val="00F56AB3"/>
    <w:rsid w:val="00F56F85"/>
    <w:rsid w:val="00F570CD"/>
    <w:rsid w:val="00F57141"/>
    <w:rsid w:val="00F57178"/>
    <w:rsid w:val="00F5722E"/>
    <w:rsid w:val="00F57283"/>
    <w:rsid w:val="00F57432"/>
    <w:rsid w:val="00F575A3"/>
    <w:rsid w:val="00F5779A"/>
    <w:rsid w:val="00F57F61"/>
    <w:rsid w:val="00F60379"/>
    <w:rsid w:val="00F60544"/>
    <w:rsid w:val="00F6073C"/>
    <w:rsid w:val="00F607D1"/>
    <w:rsid w:val="00F60A41"/>
    <w:rsid w:val="00F60CCA"/>
    <w:rsid w:val="00F610C5"/>
    <w:rsid w:val="00F610DB"/>
    <w:rsid w:val="00F6111A"/>
    <w:rsid w:val="00F612BB"/>
    <w:rsid w:val="00F612C8"/>
    <w:rsid w:val="00F61487"/>
    <w:rsid w:val="00F617AF"/>
    <w:rsid w:val="00F61807"/>
    <w:rsid w:val="00F619CE"/>
    <w:rsid w:val="00F61A0B"/>
    <w:rsid w:val="00F61A49"/>
    <w:rsid w:val="00F61AA6"/>
    <w:rsid w:val="00F61E5C"/>
    <w:rsid w:val="00F62152"/>
    <w:rsid w:val="00F622F9"/>
    <w:rsid w:val="00F62384"/>
    <w:rsid w:val="00F624CC"/>
    <w:rsid w:val="00F62563"/>
    <w:rsid w:val="00F6261A"/>
    <w:rsid w:val="00F627C0"/>
    <w:rsid w:val="00F6293D"/>
    <w:rsid w:val="00F629F7"/>
    <w:rsid w:val="00F62A15"/>
    <w:rsid w:val="00F62DA9"/>
    <w:rsid w:val="00F62FAD"/>
    <w:rsid w:val="00F63179"/>
    <w:rsid w:val="00F63272"/>
    <w:rsid w:val="00F632F3"/>
    <w:rsid w:val="00F63524"/>
    <w:rsid w:val="00F63540"/>
    <w:rsid w:val="00F63629"/>
    <w:rsid w:val="00F63D15"/>
    <w:rsid w:val="00F63DC7"/>
    <w:rsid w:val="00F63DDD"/>
    <w:rsid w:val="00F63EA2"/>
    <w:rsid w:val="00F63F5D"/>
    <w:rsid w:val="00F641FF"/>
    <w:rsid w:val="00F6468A"/>
    <w:rsid w:val="00F64835"/>
    <w:rsid w:val="00F64865"/>
    <w:rsid w:val="00F64930"/>
    <w:rsid w:val="00F64A95"/>
    <w:rsid w:val="00F64B7F"/>
    <w:rsid w:val="00F64C0A"/>
    <w:rsid w:val="00F64D50"/>
    <w:rsid w:val="00F64D95"/>
    <w:rsid w:val="00F64DE4"/>
    <w:rsid w:val="00F64FC6"/>
    <w:rsid w:val="00F65112"/>
    <w:rsid w:val="00F65165"/>
    <w:rsid w:val="00F65A4D"/>
    <w:rsid w:val="00F65FD4"/>
    <w:rsid w:val="00F661DE"/>
    <w:rsid w:val="00F6627F"/>
    <w:rsid w:val="00F662AB"/>
    <w:rsid w:val="00F6652E"/>
    <w:rsid w:val="00F66560"/>
    <w:rsid w:val="00F665AA"/>
    <w:rsid w:val="00F6694A"/>
    <w:rsid w:val="00F66BB4"/>
    <w:rsid w:val="00F66BEB"/>
    <w:rsid w:val="00F66D02"/>
    <w:rsid w:val="00F66EB8"/>
    <w:rsid w:val="00F6703F"/>
    <w:rsid w:val="00F67142"/>
    <w:rsid w:val="00F6764B"/>
    <w:rsid w:val="00F676C0"/>
    <w:rsid w:val="00F6772C"/>
    <w:rsid w:val="00F67746"/>
    <w:rsid w:val="00F67A0C"/>
    <w:rsid w:val="00F67B30"/>
    <w:rsid w:val="00F67B5E"/>
    <w:rsid w:val="00F67E24"/>
    <w:rsid w:val="00F67ED4"/>
    <w:rsid w:val="00F67FEE"/>
    <w:rsid w:val="00F7000B"/>
    <w:rsid w:val="00F700CA"/>
    <w:rsid w:val="00F700D6"/>
    <w:rsid w:val="00F7010A"/>
    <w:rsid w:val="00F70228"/>
    <w:rsid w:val="00F7034B"/>
    <w:rsid w:val="00F703A2"/>
    <w:rsid w:val="00F7043A"/>
    <w:rsid w:val="00F7059E"/>
    <w:rsid w:val="00F707C8"/>
    <w:rsid w:val="00F70898"/>
    <w:rsid w:val="00F709D8"/>
    <w:rsid w:val="00F70C3F"/>
    <w:rsid w:val="00F70E0C"/>
    <w:rsid w:val="00F70EA1"/>
    <w:rsid w:val="00F71050"/>
    <w:rsid w:val="00F71086"/>
    <w:rsid w:val="00F71206"/>
    <w:rsid w:val="00F71533"/>
    <w:rsid w:val="00F715A3"/>
    <w:rsid w:val="00F715C7"/>
    <w:rsid w:val="00F717FC"/>
    <w:rsid w:val="00F71901"/>
    <w:rsid w:val="00F71F26"/>
    <w:rsid w:val="00F71F30"/>
    <w:rsid w:val="00F71F33"/>
    <w:rsid w:val="00F72044"/>
    <w:rsid w:val="00F72378"/>
    <w:rsid w:val="00F72503"/>
    <w:rsid w:val="00F72551"/>
    <w:rsid w:val="00F725C6"/>
    <w:rsid w:val="00F728DC"/>
    <w:rsid w:val="00F72914"/>
    <w:rsid w:val="00F72981"/>
    <w:rsid w:val="00F72A0A"/>
    <w:rsid w:val="00F72A2D"/>
    <w:rsid w:val="00F72C92"/>
    <w:rsid w:val="00F72CBC"/>
    <w:rsid w:val="00F72D4F"/>
    <w:rsid w:val="00F72D62"/>
    <w:rsid w:val="00F72E2C"/>
    <w:rsid w:val="00F72EE5"/>
    <w:rsid w:val="00F72F9B"/>
    <w:rsid w:val="00F730F0"/>
    <w:rsid w:val="00F731DC"/>
    <w:rsid w:val="00F733F7"/>
    <w:rsid w:val="00F73525"/>
    <w:rsid w:val="00F73692"/>
    <w:rsid w:val="00F736CE"/>
    <w:rsid w:val="00F737E9"/>
    <w:rsid w:val="00F738AE"/>
    <w:rsid w:val="00F73911"/>
    <w:rsid w:val="00F739A4"/>
    <w:rsid w:val="00F739BF"/>
    <w:rsid w:val="00F73BB2"/>
    <w:rsid w:val="00F73CFB"/>
    <w:rsid w:val="00F73DA1"/>
    <w:rsid w:val="00F73DCD"/>
    <w:rsid w:val="00F73E0D"/>
    <w:rsid w:val="00F73FBF"/>
    <w:rsid w:val="00F74067"/>
    <w:rsid w:val="00F7410B"/>
    <w:rsid w:val="00F741A0"/>
    <w:rsid w:val="00F74307"/>
    <w:rsid w:val="00F74644"/>
    <w:rsid w:val="00F7465E"/>
    <w:rsid w:val="00F74847"/>
    <w:rsid w:val="00F748A0"/>
    <w:rsid w:val="00F748A2"/>
    <w:rsid w:val="00F74A55"/>
    <w:rsid w:val="00F74B15"/>
    <w:rsid w:val="00F74BEE"/>
    <w:rsid w:val="00F74C10"/>
    <w:rsid w:val="00F74E15"/>
    <w:rsid w:val="00F74FEC"/>
    <w:rsid w:val="00F75085"/>
    <w:rsid w:val="00F7508D"/>
    <w:rsid w:val="00F754F5"/>
    <w:rsid w:val="00F755CB"/>
    <w:rsid w:val="00F7569E"/>
    <w:rsid w:val="00F75760"/>
    <w:rsid w:val="00F75882"/>
    <w:rsid w:val="00F758BF"/>
    <w:rsid w:val="00F758C9"/>
    <w:rsid w:val="00F75AD7"/>
    <w:rsid w:val="00F75B79"/>
    <w:rsid w:val="00F75BEE"/>
    <w:rsid w:val="00F75EFD"/>
    <w:rsid w:val="00F75FE7"/>
    <w:rsid w:val="00F7634E"/>
    <w:rsid w:val="00F7647D"/>
    <w:rsid w:val="00F76859"/>
    <w:rsid w:val="00F769CB"/>
    <w:rsid w:val="00F76D72"/>
    <w:rsid w:val="00F76E1C"/>
    <w:rsid w:val="00F771CC"/>
    <w:rsid w:val="00F77221"/>
    <w:rsid w:val="00F7732C"/>
    <w:rsid w:val="00F77649"/>
    <w:rsid w:val="00F77CA0"/>
    <w:rsid w:val="00F77DAE"/>
    <w:rsid w:val="00F77DE4"/>
    <w:rsid w:val="00F77EEB"/>
    <w:rsid w:val="00F8006B"/>
    <w:rsid w:val="00F80488"/>
    <w:rsid w:val="00F807F9"/>
    <w:rsid w:val="00F80856"/>
    <w:rsid w:val="00F80928"/>
    <w:rsid w:val="00F8092C"/>
    <w:rsid w:val="00F809DF"/>
    <w:rsid w:val="00F809ED"/>
    <w:rsid w:val="00F80A6E"/>
    <w:rsid w:val="00F80A7B"/>
    <w:rsid w:val="00F80B79"/>
    <w:rsid w:val="00F80C86"/>
    <w:rsid w:val="00F80DBE"/>
    <w:rsid w:val="00F80E1C"/>
    <w:rsid w:val="00F81057"/>
    <w:rsid w:val="00F81073"/>
    <w:rsid w:val="00F810DF"/>
    <w:rsid w:val="00F81567"/>
    <w:rsid w:val="00F81706"/>
    <w:rsid w:val="00F8178F"/>
    <w:rsid w:val="00F81896"/>
    <w:rsid w:val="00F8199A"/>
    <w:rsid w:val="00F81A08"/>
    <w:rsid w:val="00F81ED2"/>
    <w:rsid w:val="00F821E8"/>
    <w:rsid w:val="00F82216"/>
    <w:rsid w:val="00F82343"/>
    <w:rsid w:val="00F82450"/>
    <w:rsid w:val="00F82622"/>
    <w:rsid w:val="00F827AF"/>
    <w:rsid w:val="00F827DB"/>
    <w:rsid w:val="00F8299E"/>
    <w:rsid w:val="00F829FB"/>
    <w:rsid w:val="00F82A02"/>
    <w:rsid w:val="00F82CD3"/>
    <w:rsid w:val="00F82D6D"/>
    <w:rsid w:val="00F82E15"/>
    <w:rsid w:val="00F82E6C"/>
    <w:rsid w:val="00F8306C"/>
    <w:rsid w:val="00F83129"/>
    <w:rsid w:val="00F831B7"/>
    <w:rsid w:val="00F831CB"/>
    <w:rsid w:val="00F83290"/>
    <w:rsid w:val="00F83463"/>
    <w:rsid w:val="00F8362C"/>
    <w:rsid w:val="00F83C63"/>
    <w:rsid w:val="00F83F02"/>
    <w:rsid w:val="00F841AC"/>
    <w:rsid w:val="00F842B8"/>
    <w:rsid w:val="00F842C9"/>
    <w:rsid w:val="00F84547"/>
    <w:rsid w:val="00F845C0"/>
    <w:rsid w:val="00F8471C"/>
    <w:rsid w:val="00F84763"/>
    <w:rsid w:val="00F84891"/>
    <w:rsid w:val="00F84970"/>
    <w:rsid w:val="00F84992"/>
    <w:rsid w:val="00F849F5"/>
    <w:rsid w:val="00F84A5A"/>
    <w:rsid w:val="00F84A7C"/>
    <w:rsid w:val="00F84ADF"/>
    <w:rsid w:val="00F84C87"/>
    <w:rsid w:val="00F84D18"/>
    <w:rsid w:val="00F84ECA"/>
    <w:rsid w:val="00F84F15"/>
    <w:rsid w:val="00F84FE1"/>
    <w:rsid w:val="00F85013"/>
    <w:rsid w:val="00F850EE"/>
    <w:rsid w:val="00F85A48"/>
    <w:rsid w:val="00F85B38"/>
    <w:rsid w:val="00F85C45"/>
    <w:rsid w:val="00F85C9C"/>
    <w:rsid w:val="00F85E23"/>
    <w:rsid w:val="00F86233"/>
    <w:rsid w:val="00F86242"/>
    <w:rsid w:val="00F86502"/>
    <w:rsid w:val="00F86594"/>
    <w:rsid w:val="00F866A0"/>
    <w:rsid w:val="00F867D5"/>
    <w:rsid w:val="00F869C0"/>
    <w:rsid w:val="00F86BBE"/>
    <w:rsid w:val="00F86D77"/>
    <w:rsid w:val="00F86ED8"/>
    <w:rsid w:val="00F87052"/>
    <w:rsid w:val="00F87061"/>
    <w:rsid w:val="00F8710F"/>
    <w:rsid w:val="00F87197"/>
    <w:rsid w:val="00F872E9"/>
    <w:rsid w:val="00F87673"/>
    <w:rsid w:val="00F876FD"/>
    <w:rsid w:val="00F87777"/>
    <w:rsid w:val="00F87797"/>
    <w:rsid w:val="00F877B3"/>
    <w:rsid w:val="00F87AD5"/>
    <w:rsid w:val="00F87C5F"/>
    <w:rsid w:val="00F87D11"/>
    <w:rsid w:val="00F87D9D"/>
    <w:rsid w:val="00F87FAE"/>
    <w:rsid w:val="00F90180"/>
    <w:rsid w:val="00F9030C"/>
    <w:rsid w:val="00F90441"/>
    <w:rsid w:val="00F90472"/>
    <w:rsid w:val="00F904C5"/>
    <w:rsid w:val="00F90568"/>
    <w:rsid w:val="00F9064D"/>
    <w:rsid w:val="00F90ABC"/>
    <w:rsid w:val="00F90CEC"/>
    <w:rsid w:val="00F90DEB"/>
    <w:rsid w:val="00F90EB7"/>
    <w:rsid w:val="00F90F5F"/>
    <w:rsid w:val="00F9102B"/>
    <w:rsid w:val="00F91059"/>
    <w:rsid w:val="00F912BA"/>
    <w:rsid w:val="00F91467"/>
    <w:rsid w:val="00F9149F"/>
    <w:rsid w:val="00F915F1"/>
    <w:rsid w:val="00F91642"/>
    <w:rsid w:val="00F916FF"/>
    <w:rsid w:val="00F91739"/>
    <w:rsid w:val="00F917A2"/>
    <w:rsid w:val="00F9186A"/>
    <w:rsid w:val="00F91885"/>
    <w:rsid w:val="00F919F7"/>
    <w:rsid w:val="00F91BD8"/>
    <w:rsid w:val="00F91E29"/>
    <w:rsid w:val="00F91F18"/>
    <w:rsid w:val="00F9214C"/>
    <w:rsid w:val="00F9235F"/>
    <w:rsid w:val="00F9251F"/>
    <w:rsid w:val="00F92667"/>
    <w:rsid w:val="00F92A7F"/>
    <w:rsid w:val="00F930F9"/>
    <w:rsid w:val="00F93273"/>
    <w:rsid w:val="00F93368"/>
    <w:rsid w:val="00F9357B"/>
    <w:rsid w:val="00F93613"/>
    <w:rsid w:val="00F938D2"/>
    <w:rsid w:val="00F938EF"/>
    <w:rsid w:val="00F939D4"/>
    <w:rsid w:val="00F93A7A"/>
    <w:rsid w:val="00F93BC0"/>
    <w:rsid w:val="00F93C06"/>
    <w:rsid w:val="00F93CF8"/>
    <w:rsid w:val="00F93E8C"/>
    <w:rsid w:val="00F94197"/>
    <w:rsid w:val="00F941B7"/>
    <w:rsid w:val="00F943F0"/>
    <w:rsid w:val="00F94414"/>
    <w:rsid w:val="00F94567"/>
    <w:rsid w:val="00F94960"/>
    <w:rsid w:val="00F94E6D"/>
    <w:rsid w:val="00F94FB5"/>
    <w:rsid w:val="00F95065"/>
    <w:rsid w:val="00F95182"/>
    <w:rsid w:val="00F9520A"/>
    <w:rsid w:val="00F957CE"/>
    <w:rsid w:val="00F95987"/>
    <w:rsid w:val="00F959A5"/>
    <w:rsid w:val="00F95A6E"/>
    <w:rsid w:val="00F95A85"/>
    <w:rsid w:val="00F95ACA"/>
    <w:rsid w:val="00F95F29"/>
    <w:rsid w:val="00F9615B"/>
    <w:rsid w:val="00F962DD"/>
    <w:rsid w:val="00F9634A"/>
    <w:rsid w:val="00F9644D"/>
    <w:rsid w:val="00F966B7"/>
    <w:rsid w:val="00F96809"/>
    <w:rsid w:val="00F968DC"/>
    <w:rsid w:val="00F96A7A"/>
    <w:rsid w:val="00F96B7B"/>
    <w:rsid w:val="00F96C1F"/>
    <w:rsid w:val="00F96EFE"/>
    <w:rsid w:val="00F9700B"/>
    <w:rsid w:val="00F9706A"/>
    <w:rsid w:val="00F970CC"/>
    <w:rsid w:val="00F970EC"/>
    <w:rsid w:val="00F971C8"/>
    <w:rsid w:val="00F972B1"/>
    <w:rsid w:val="00F97514"/>
    <w:rsid w:val="00F975C5"/>
    <w:rsid w:val="00F97693"/>
    <w:rsid w:val="00F97761"/>
    <w:rsid w:val="00F97A8F"/>
    <w:rsid w:val="00F97CFE"/>
    <w:rsid w:val="00F97E02"/>
    <w:rsid w:val="00F97E56"/>
    <w:rsid w:val="00FA0056"/>
    <w:rsid w:val="00FA036C"/>
    <w:rsid w:val="00FA03AD"/>
    <w:rsid w:val="00FA061D"/>
    <w:rsid w:val="00FA07A1"/>
    <w:rsid w:val="00FA07DB"/>
    <w:rsid w:val="00FA0846"/>
    <w:rsid w:val="00FA084D"/>
    <w:rsid w:val="00FA0880"/>
    <w:rsid w:val="00FA0AD7"/>
    <w:rsid w:val="00FA0C0B"/>
    <w:rsid w:val="00FA0E15"/>
    <w:rsid w:val="00FA1082"/>
    <w:rsid w:val="00FA15B0"/>
    <w:rsid w:val="00FA18A5"/>
    <w:rsid w:val="00FA192E"/>
    <w:rsid w:val="00FA195A"/>
    <w:rsid w:val="00FA1A90"/>
    <w:rsid w:val="00FA1EF8"/>
    <w:rsid w:val="00FA1F91"/>
    <w:rsid w:val="00FA205A"/>
    <w:rsid w:val="00FA20A5"/>
    <w:rsid w:val="00FA24AA"/>
    <w:rsid w:val="00FA25FC"/>
    <w:rsid w:val="00FA2917"/>
    <w:rsid w:val="00FA2ABC"/>
    <w:rsid w:val="00FA2CD0"/>
    <w:rsid w:val="00FA2CED"/>
    <w:rsid w:val="00FA2D86"/>
    <w:rsid w:val="00FA2E18"/>
    <w:rsid w:val="00FA2F07"/>
    <w:rsid w:val="00FA3011"/>
    <w:rsid w:val="00FA30B0"/>
    <w:rsid w:val="00FA314F"/>
    <w:rsid w:val="00FA3183"/>
    <w:rsid w:val="00FA35D4"/>
    <w:rsid w:val="00FA36C2"/>
    <w:rsid w:val="00FA3768"/>
    <w:rsid w:val="00FA39B2"/>
    <w:rsid w:val="00FA3A9D"/>
    <w:rsid w:val="00FA3B00"/>
    <w:rsid w:val="00FA3B17"/>
    <w:rsid w:val="00FA3CD3"/>
    <w:rsid w:val="00FA3CFD"/>
    <w:rsid w:val="00FA3DCA"/>
    <w:rsid w:val="00FA3F0C"/>
    <w:rsid w:val="00FA3FA0"/>
    <w:rsid w:val="00FA40FC"/>
    <w:rsid w:val="00FA4419"/>
    <w:rsid w:val="00FA4490"/>
    <w:rsid w:val="00FA4534"/>
    <w:rsid w:val="00FA4617"/>
    <w:rsid w:val="00FA463E"/>
    <w:rsid w:val="00FA4749"/>
    <w:rsid w:val="00FA4964"/>
    <w:rsid w:val="00FA4AA8"/>
    <w:rsid w:val="00FA5230"/>
    <w:rsid w:val="00FA5322"/>
    <w:rsid w:val="00FA54A6"/>
    <w:rsid w:val="00FA5569"/>
    <w:rsid w:val="00FA55A6"/>
    <w:rsid w:val="00FA5AE7"/>
    <w:rsid w:val="00FA606F"/>
    <w:rsid w:val="00FA6175"/>
    <w:rsid w:val="00FA6512"/>
    <w:rsid w:val="00FA65B4"/>
    <w:rsid w:val="00FA65D4"/>
    <w:rsid w:val="00FA6892"/>
    <w:rsid w:val="00FA6AA9"/>
    <w:rsid w:val="00FA6D14"/>
    <w:rsid w:val="00FA6E37"/>
    <w:rsid w:val="00FA6E79"/>
    <w:rsid w:val="00FA6F08"/>
    <w:rsid w:val="00FA745F"/>
    <w:rsid w:val="00FA7931"/>
    <w:rsid w:val="00FA7E5B"/>
    <w:rsid w:val="00FA7F03"/>
    <w:rsid w:val="00FB0181"/>
    <w:rsid w:val="00FB01A4"/>
    <w:rsid w:val="00FB04E8"/>
    <w:rsid w:val="00FB053D"/>
    <w:rsid w:val="00FB0753"/>
    <w:rsid w:val="00FB07FC"/>
    <w:rsid w:val="00FB0994"/>
    <w:rsid w:val="00FB09FA"/>
    <w:rsid w:val="00FB0B89"/>
    <w:rsid w:val="00FB0E67"/>
    <w:rsid w:val="00FB0F68"/>
    <w:rsid w:val="00FB0F97"/>
    <w:rsid w:val="00FB0FB2"/>
    <w:rsid w:val="00FB1009"/>
    <w:rsid w:val="00FB117C"/>
    <w:rsid w:val="00FB146F"/>
    <w:rsid w:val="00FB1617"/>
    <w:rsid w:val="00FB1642"/>
    <w:rsid w:val="00FB1688"/>
    <w:rsid w:val="00FB17E2"/>
    <w:rsid w:val="00FB17F6"/>
    <w:rsid w:val="00FB18CA"/>
    <w:rsid w:val="00FB18D6"/>
    <w:rsid w:val="00FB1992"/>
    <w:rsid w:val="00FB1C4D"/>
    <w:rsid w:val="00FB1F40"/>
    <w:rsid w:val="00FB1FE5"/>
    <w:rsid w:val="00FB20B4"/>
    <w:rsid w:val="00FB260A"/>
    <w:rsid w:val="00FB2877"/>
    <w:rsid w:val="00FB28B5"/>
    <w:rsid w:val="00FB29A5"/>
    <w:rsid w:val="00FB2B2C"/>
    <w:rsid w:val="00FB2B65"/>
    <w:rsid w:val="00FB2C81"/>
    <w:rsid w:val="00FB2D47"/>
    <w:rsid w:val="00FB2E19"/>
    <w:rsid w:val="00FB2F4A"/>
    <w:rsid w:val="00FB2F94"/>
    <w:rsid w:val="00FB3267"/>
    <w:rsid w:val="00FB3432"/>
    <w:rsid w:val="00FB346C"/>
    <w:rsid w:val="00FB3514"/>
    <w:rsid w:val="00FB36A6"/>
    <w:rsid w:val="00FB38DD"/>
    <w:rsid w:val="00FB3928"/>
    <w:rsid w:val="00FB39D5"/>
    <w:rsid w:val="00FB3A34"/>
    <w:rsid w:val="00FB3ABD"/>
    <w:rsid w:val="00FB3C3E"/>
    <w:rsid w:val="00FB3D35"/>
    <w:rsid w:val="00FB3ECE"/>
    <w:rsid w:val="00FB3F94"/>
    <w:rsid w:val="00FB406A"/>
    <w:rsid w:val="00FB428B"/>
    <w:rsid w:val="00FB4609"/>
    <w:rsid w:val="00FB47F3"/>
    <w:rsid w:val="00FB485B"/>
    <w:rsid w:val="00FB4A2F"/>
    <w:rsid w:val="00FB4A77"/>
    <w:rsid w:val="00FB4BD6"/>
    <w:rsid w:val="00FB4CEF"/>
    <w:rsid w:val="00FB4F40"/>
    <w:rsid w:val="00FB4F54"/>
    <w:rsid w:val="00FB501C"/>
    <w:rsid w:val="00FB5030"/>
    <w:rsid w:val="00FB516D"/>
    <w:rsid w:val="00FB544A"/>
    <w:rsid w:val="00FB5482"/>
    <w:rsid w:val="00FB54BB"/>
    <w:rsid w:val="00FB5639"/>
    <w:rsid w:val="00FB569A"/>
    <w:rsid w:val="00FB594D"/>
    <w:rsid w:val="00FB597F"/>
    <w:rsid w:val="00FB5DB1"/>
    <w:rsid w:val="00FB6175"/>
    <w:rsid w:val="00FB61F8"/>
    <w:rsid w:val="00FB638E"/>
    <w:rsid w:val="00FB647B"/>
    <w:rsid w:val="00FB6618"/>
    <w:rsid w:val="00FB6661"/>
    <w:rsid w:val="00FB68AD"/>
    <w:rsid w:val="00FB697D"/>
    <w:rsid w:val="00FB6AA6"/>
    <w:rsid w:val="00FB6B12"/>
    <w:rsid w:val="00FB6DE6"/>
    <w:rsid w:val="00FB71CE"/>
    <w:rsid w:val="00FB74E1"/>
    <w:rsid w:val="00FB750F"/>
    <w:rsid w:val="00FB75D0"/>
    <w:rsid w:val="00FB78F0"/>
    <w:rsid w:val="00FB7ED6"/>
    <w:rsid w:val="00FC00B7"/>
    <w:rsid w:val="00FC02F6"/>
    <w:rsid w:val="00FC032B"/>
    <w:rsid w:val="00FC058E"/>
    <w:rsid w:val="00FC08C5"/>
    <w:rsid w:val="00FC0B06"/>
    <w:rsid w:val="00FC0D07"/>
    <w:rsid w:val="00FC0DC1"/>
    <w:rsid w:val="00FC0E31"/>
    <w:rsid w:val="00FC1189"/>
    <w:rsid w:val="00FC11B3"/>
    <w:rsid w:val="00FC1269"/>
    <w:rsid w:val="00FC1359"/>
    <w:rsid w:val="00FC154F"/>
    <w:rsid w:val="00FC162B"/>
    <w:rsid w:val="00FC170F"/>
    <w:rsid w:val="00FC17AE"/>
    <w:rsid w:val="00FC17E4"/>
    <w:rsid w:val="00FC1867"/>
    <w:rsid w:val="00FC18E0"/>
    <w:rsid w:val="00FC1AF1"/>
    <w:rsid w:val="00FC1B81"/>
    <w:rsid w:val="00FC1DBD"/>
    <w:rsid w:val="00FC2050"/>
    <w:rsid w:val="00FC2632"/>
    <w:rsid w:val="00FC280F"/>
    <w:rsid w:val="00FC2841"/>
    <w:rsid w:val="00FC28F7"/>
    <w:rsid w:val="00FC299F"/>
    <w:rsid w:val="00FC2AFF"/>
    <w:rsid w:val="00FC2C2D"/>
    <w:rsid w:val="00FC2CE3"/>
    <w:rsid w:val="00FC2E15"/>
    <w:rsid w:val="00FC2E4F"/>
    <w:rsid w:val="00FC2EDC"/>
    <w:rsid w:val="00FC314C"/>
    <w:rsid w:val="00FC31A9"/>
    <w:rsid w:val="00FC381A"/>
    <w:rsid w:val="00FC3BD4"/>
    <w:rsid w:val="00FC3CA8"/>
    <w:rsid w:val="00FC461E"/>
    <w:rsid w:val="00FC46E4"/>
    <w:rsid w:val="00FC495A"/>
    <w:rsid w:val="00FC4B8E"/>
    <w:rsid w:val="00FC4C05"/>
    <w:rsid w:val="00FC4C81"/>
    <w:rsid w:val="00FC4D2B"/>
    <w:rsid w:val="00FC4ED2"/>
    <w:rsid w:val="00FC502A"/>
    <w:rsid w:val="00FC51DE"/>
    <w:rsid w:val="00FC5297"/>
    <w:rsid w:val="00FC538D"/>
    <w:rsid w:val="00FC53B8"/>
    <w:rsid w:val="00FC5444"/>
    <w:rsid w:val="00FC544C"/>
    <w:rsid w:val="00FC55CF"/>
    <w:rsid w:val="00FC5713"/>
    <w:rsid w:val="00FC574F"/>
    <w:rsid w:val="00FC59DF"/>
    <w:rsid w:val="00FC5A13"/>
    <w:rsid w:val="00FC5CC3"/>
    <w:rsid w:val="00FC5D31"/>
    <w:rsid w:val="00FC5FCA"/>
    <w:rsid w:val="00FC60B3"/>
    <w:rsid w:val="00FC6290"/>
    <w:rsid w:val="00FC64E6"/>
    <w:rsid w:val="00FC64FC"/>
    <w:rsid w:val="00FC6722"/>
    <w:rsid w:val="00FC67AC"/>
    <w:rsid w:val="00FC6A47"/>
    <w:rsid w:val="00FC6AA9"/>
    <w:rsid w:val="00FC6B65"/>
    <w:rsid w:val="00FC6CF1"/>
    <w:rsid w:val="00FC6E02"/>
    <w:rsid w:val="00FC6E8D"/>
    <w:rsid w:val="00FC6F6E"/>
    <w:rsid w:val="00FC6F81"/>
    <w:rsid w:val="00FC6FB2"/>
    <w:rsid w:val="00FC6FC4"/>
    <w:rsid w:val="00FC6FCE"/>
    <w:rsid w:val="00FC7012"/>
    <w:rsid w:val="00FC7277"/>
    <w:rsid w:val="00FC72D2"/>
    <w:rsid w:val="00FC74EF"/>
    <w:rsid w:val="00FC752D"/>
    <w:rsid w:val="00FC773E"/>
    <w:rsid w:val="00FC77BF"/>
    <w:rsid w:val="00FC7836"/>
    <w:rsid w:val="00FC798B"/>
    <w:rsid w:val="00FC7997"/>
    <w:rsid w:val="00FC7A21"/>
    <w:rsid w:val="00FC7A7E"/>
    <w:rsid w:val="00FC7BC7"/>
    <w:rsid w:val="00FC7CB5"/>
    <w:rsid w:val="00FC7E51"/>
    <w:rsid w:val="00FC7E75"/>
    <w:rsid w:val="00FD01D9"/>
    <w:rsid w:val="00FD0398"/>
    <w:rsid w:val="00FD05A5"/>
    <w:rsid w:val="00FD0841"/>
    <w:rsid w:val="00FD0A29"/>
    <w:rsid w:val="00FD0A3A"/>
    <w:rsid w:val="00FD0DC1"/>
    <w:rsid w:val="00FD1297"/>
    <w:rsid w:val="00FD1298"/>
    <w:rsid w:val="00FD12FD"/>
    <w:rsid w:val="00FD152A"/>
    <w:rsid w:val="00FD1550"/>
    <w:rsid w:val="00FD1680"/>
    <w:rsid w:val="00FD1808"/>
    <w:rsid w:val="00FD1857"/>
    <w:rsid w:val="00FD18A9"/>
    <w:rsid w:val="00FD1937"/>
    <w:rsid w:val="00FD1974"/>
    <w:rsid w:val="00FD1996"/>
    <w:rsid w:val="00FD1BAC"/>
    <w:rsid w:val="00FD1D2C"/>
    <w:rsid w:val="00FD202B"/>
    <w:rsid w:val="00FD20B3"/>
    <w:rsid w:val="00FD20EF"/>
    <w:rsid w:val="00FD21EA"/>
    <w:rsid w:val="00FD2295"/>
    <w:rsid w:val="00FD23C3"/>
    <w:rsid w:val="00FD26BF"/>
    <w:rsid w:val="00FD2774"/>
    <w:rsid w:val="00FD2900"/>
    <w:rsid w:val="00FD2988"/>
    <w:rsid w:val="00FD2BBE"/>
    <w:rsid w:val="00FD2FA2"/>
    <w:rsid w:val="00FD33DD"/>
    <w:rsid w:val="00FD3629"/>
    <w:rsid w:val="00FD374B"/>
    <w:rsid w:val="00FD38A9"/>
    <w:rsid w:val="00FD393E"/>
    <w:rsid w:val="00FD3D68"/>
    <w:rsid w:val="00FD3FE2"/>
    <w:rsid w:val="00FD41AC"/>
    <w:rsid w:val="00FD422D"/>
    <w:rsid w:val="00FD4256"/>
    <w:rsid w:val="00FD4286"/>
    <w:rsid w:val="00FD43AD"/>
    <w:rsid w:val="00FD455A"/>
    <w:rsid w:val="00FD465D"/>
    <w:rsid w:val="00FD4664"/>
    <w:rsid w:val="00FD46BF"/>
    <w:rsid w:val="00FD49D5"/>
    <w:rsid w:val="00FD4C98"/>
    <w:rsid w:val="00FD4D86"/>
    <w:rsid w:val="00FD4EA9"/>
    <w:rsid w:val="00FD4EB1"/>
    <w:rsid w:val="00FD500A"/>
    <w:rsid w:val="00FD50FF"/>
    <w:rsid w:val="00FD510C"/>
    <w:rsid w:val="00FD519B"/>
    <w:rsid w:val="00FD51C5"/>
    <w:rsid w:val="00FD52D0"/>
    <w:rsid w:val="00FD535F"/>
    <w:rsid w:val="00FD53AF"/>
    <w:rsid w:val="00FD5463"/>
    <w:rsid w:val="00FD5668"/>
    <w:rsid w:val="00FD57F7"/>
    <w:rsid w:val="00FD591C"/>
    <w:rsid w:val="00FD5B32"/>
    <w:rsid w:val="00FD5F94"/>
    <w:rsid w:val="00FD60C4"/>
    <w:rsid w:val="00FD6455"/>
    <w:rsid w:val="00FD6656"/>
    <w:rsid w:val="00FD6780"/>
    <w:rsid w:val="00FD6975"/>
    <w:rsid w:val="00FD697A"/>
    <w:rsid w:val="00FD6A65"/>
    <w:rsid w:val="00FD6B53"/>
    <w:rsid w:val="00FD6DA0"/>
    <w:rsid w:val="00FD6F74"/>
    <w:rsid w:val="00FD6FA4"/>
    <w:rsid w:val="00FD71D5"/>
    <w:rsid w:val="00FD7278"/>
    <w:rsid w:val="00FD75AE"/>
    <w:rsid w:val="00FD7665"/>
    <w:rsid w:val="00FD7712"/>
    <w:rsid w:val="00FD7956"/>
    <w:rsid w:val="00FD79C4"/>
    <w:rsid w:val="00FD7C19"/>
    <w:rsid w:val="00FD7D16"/>
    <w:rsid w:val="00FD7E31"/>
    <w:rsid w:val="00FD7EC4"/>
    <w:rsid w:val="00FE00DE"/>
    <w:rsid w:val="00FE0136"/>
    <w:rsid w:val="00FE01B9"/>
    <w:rsid w:val="00FE05FF"/>
    <w:rsid w:val="00FE07AC"/>
    <w:rsid w:val="00FE091E"/>
    <w:rsid w:val="00FE0BEC"/>
    <w:rsid w:val="00FE0E7A"/>
    <w:rsid w:val="00FE0F38"/>
    <w:rsid w:val="00FE0FDA"/>
    <w:rsid w:val="00FE10DD"/>
    <w:rsid w:val="00FE10F0"/>
    <w:rsid w:val="00FE1115"/>
    <w:rsid w:val="00FE1399"/>
    <w:rsid w:val="00FE13B7"/>
    <w:rsid w:val="00FE15D7"/>
    <w:rsid w:val="00FE162D"/>
    <w:rsid w:val="00FE1741"/>
    <w:rsid w:val="00FE175E"/>
    <w:rsid w:val="00FE1828"/>
    <w:rsid w:val="00FE188E"/>
    <w:rsid w:val="00FE1B5D"/>
    <w:rsid w:val="00FE1EA2"/>
    <w:rsid w:val="00FE1EA8"/>
    <w:rsid w:val="00FE1F88"/>
    <w:rsid w:val="00FE1F9D"/>
    <w:rsid w:val="00FE2391"/>
    <w:rsid w:val="00FE24F3"/>
    <w:rsid w:val="00FE2535"/>
    <w:rsid w:val="00FE2601"/>
    <w:rsid w:val="00FE2657"/>
    <w:rsid w:val="00FE26C1"/>
    <w:rsid w:val="00FE274E"/>
    <w:rsid w:val="00FE2787"/>
    <w:rsid w:val="00FE27B4"/>
    <w:rsid w:val="00FE2804"/>
    <w:rsid w:val="00FE2856"/>
    <w:rsid w:val="00FE290A"/>
    <w:rsid w:val="00FE2939"/>
    <w:rsid w:val="00FE2941"/>
    <w:rsid w:val="00FE2950"/>
    <w:rsid w:val="00FE2B02"/>
    <w:rsid w:val="00FE2E4F"/>
    <w:rsid w:val="00FE2E71"/>
    <w:rsid w:val="00FE30D3"/>
    <w:rsid w:val="00FE318F"/>
    <w:rsid w:val="00FE323A"/>
    <w:rsid w:val="00FE33DE"/>
    <w:rsid w:val="00FE3791"/>
    <w:rsid w:val="00FE3825"/>
    <w:rsid w:val="00FE3846"/>
    <w:rsid w:val="00FE3857"/>
    <w:rsid w:val="00FE3899"/>
    <w:rsid w:val="00FE38EB"/>
    <w:rsid w:val="00FE3A27"/>
    <w:rsid w:val="00FE3A67"/>
    <w:rsid w:val="00FE3BE7"/>
    <w:rsid w:val="00FE3D23"/>
    <w:rsid w:val="00FE3D78"/>
    <w:rsid w:val="00FE3DD8"/>
    <w:rsid w:val="00FE3DE9"/>
    <w:rsid w:val="00FE3E66"/>
    <w:rsid w:val="00FE3ECB"/>
    <w:rsid w:val="00FE402D"/>
    <w:rsid w:val="00FE4092"/>
    <w:rsid w:val="00FE4172"/>
    <w:rsid w:val="00FE424D"/>
    <w:rsid w:val="00FE451F"/>
    <w:rsid w:val="00FE4604"/>
    <w:rsid w:val="00FE49E7"/>
    <w:rsid w:val="00FE4B41"/>
    <w:rsid w:val="00FE4BED"/>
    <w:rsid w:val="00FE4E65"/>
    <w:rsid w:val="00FE4F54"/>
    <w:rsid w:val="00FE50F6"/>
    <w:rsid w:val="00FE5520"/>
    <w:rsid w:val="00FE58D8"/>
    <w:rsid w:val="00FE5968"/>
    <w:rsid w:val="00FE5983"/>
    <w:rsid w:val="00FE5A72"/>
    <w:rsid w:val="00FE5B0B"/>
    <w:rsid w:val="00FE5B3C"/>
    <w:rsid w:val="00FE5D3C"/>
    <w:rsid w:val="00FE5D49"/>
    <w:rsid w:val="00FE5DA6"/>
    <w:rsid w:val="00FE5E1A"/>
    <w:rsid w:val="00FE62E9"/>
    <w:rsid w:val="00FE63EA"/>
    <w:rsid w:val="00FE645D"/>
    <w:rsid w:val="00FE671E"/>
    <w:rsid w:val="00FE68C2"/>
    <w:rsid w:val="00FE68F6"/>
    <w:rsid w:val="00FE6D8D"/>
    <w:rsid w:val="00FE70C8"/>
    <w:rsid w:val="00FE7152"/>
    <w:rsid w:val="00FE721F"/>
    <w:rsid w:val="00FE72EE"/>
    <w:rsid w:val="00FE73DC"/>
    <w:rsid w:val="00FE7545"/>
    <w:rsid w:val="00FE75D1"/>
    <w:rsid w:val="00FE7664"/>
    <w:rsid w:val="00FE77BB"/>
    <w:rsid w:val="00FE77D8"/>
    <w:rsid w:val="00FE7990"/>
    <w:rsid w:val="00FE7ABC"/>
    <w:rsid w:val="00FE7ACB"/>
    <w:rsid w:val="00FE7C33"/>
    <w:rsid w:val="00FE7E5C"/>
    <w:rsid w:val="00FF0012"/>
    <w:rsid w:val="00FF0023"/>
    <w:rsid w:val="00FF006F"/>
    <w:rsid w:val="00FF029E"/>
    <w:rsid w:val="00FF02D9"/>
    <w:rsid w:val="00FF06B4"/>
    <w:rsid w:val="00FF08D4"/>
    <w:rsid w:val="00FF0B59"/>
    <w:rsid w:val="00FF0D03"/>
    <w:rsid w:val="00FF0E80"/>
    <w:rsid w:val="00FF0EAF"/>
    <w:rsid w:val="00FF10AB"/>
    <w:rsid w:val="00FF1198"/>
    <w:rsid w:val="00FF11D8"/>
    <w:rsid w:val="00FF13C3"/>
    <w:rsid w:val="00FF163A"/>
    <w:rsid w:val="00FF17CC"/>
    <w:rsid w:val="00FF18A9"/>
    <w:rsid w:val="00FF18AD"/>
    <w:rsid w:val="00FF1A2D"/>
    <w:rsid w:val="00FF1BD3"/>
    <w:rsid w:val="00FF21DC"/>
    <w:rsid w:val="00FF238F"/>
    <w:rsid w:val="00FF26F4"/>
    <w:rsid w:val="00FF277C"/>
    <w:rsid w:val="00FF2878"/>
    <w:rsid w:val="00FF2B29"/>
    <w:rsid w:val="00FF2BEB"/>
    <w:rsid w:val="00FF2D75"/>
    <w:rsid w:val="00FF2EC2"/>
    <w:rsid w:val="00FF3054"/>
    <w:rsid w:val="00FF3501"/>
    <w:rsid w:val="00FF3547"/>
    <w:rsid w:val="00FF3864"/>
    <w:rsid w:val="00FF38FE"/>
    <w:rsid w:val="00FF3995"/>
    <w:rsid w:val="00FF3A9A"/>
    <w:rsid w:val="00FF3BED"/>
    <w:rsid w:val="00FF3E5A"/>
    <w:rsid w:val="00FF4008"/>
    <w:rsid w:val="00FF4132"/>
    <w:rsid w:val="00FF42F9"/>
    <w:rsid w:val="00FF461E"/>
    <w:rsid w:val="00FF4797"/>
    <w:rsid w:val="00FF47EE"/>
    <w:rsid w:val="00FF4A62"/>
    <w:rsid w:val="00FF4AF5"/>
    <w:rsid w:val="00FF4B14"/>
    <w:rsid w:val="00FF4B82"/>
    <w:rsid w:val="00FF4EE3"/>
    <w:rsid w:val="00FF5092"/>
    <w:rsid w:val="00FF5321"/>
    <w:rsid w:val="00FF56A0"/>
    <w:rsid w:val="00FF58B3"/>
    <w:rsid w:val="00FF5CA2"/>
    <w:rsid w:val="00FF614E"/>
    <w:rsid w:val="00FF6225"/>
    <w:rsid w:val="00FF62EF"/>
    <w:rsid w:val="00FF645A"/>
    <w:rsid w:val="00FF6465"/>
    <w:rsid w:val="00FF64F0"/>
    <w:rsid w:val="00FF65A4"/>
    <w:rsid w:val="00FF6675"/>
    <w:rsid w:val="00FF66F1"/>
    <w:rsid w:val="00FF66F6"/>
    <w:rsid w:val="00FF685A"/>
    <w:rsid w:val="00FF6873"/>
    <w:rsid w:val="00FF68EA"/>
    <w:rsid w:val="00FF6998"/>
    <w:rsid w:val="00FF69E0"/>
    <w:rsid w:val="00FF6A5B"/>
    <w:rsid w:val="00FF6BDB"/>
    <w:rsid w:val="00FF6F22"/>
    <w:rsid w:val="00FF6FBF"/>
    <w:rsid w:val="00FF6FFB"/>
    <w:rsid w:val="00FF74C7"/>
    <w:rsid w:val="00FF79C7"/>
    <w:rsid w:val="3D177A7B"/>
    <w:rsid w:val="71F74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unhideWhenUsed="0" w:uiPriority="0" w:semiHidden="0" w:name="page number"/>
    <w:lsdException w:uiPriority="0" w:name="endnote reference"/>
    <w:lsdException w:qFormat="1" w:unhideWhenUsed="0" w:uiPriority="0" w:semiHidden="0" w:name="endnote text"/>
    <w:lsdException w:unhideWhenUsed="0" w:uiPriority="0" w:semiHidden="0" w:name="table of authorities"/>
    <w:lsdException w:uiPriority="0" w:name="macro"/>
    <w:lsdException w:qFormat="1" w:unhideWhenUsed="0" w:uiPriority="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8"/>
      <w:lang w:val="en-US" w:eastAsia="zh-CN" w:bidi="ar-SA"/>
    </w:rPr>
  </w:style>
  <w:style w:type="paragraph" w:styleId="2">
    <w:name w:val="heading 1"/>
    <w:basedOn w:val="1"/>
    <w:next w:val="1"/>
    <w:link w:val="189"/>
    <w:qFormat/>
    <w:uiPriority w:val="0"/>
    <w:pPr>
      <w:keepNext/>
      <w:keepLines/>
      <w:pageBreakBefore/>
      <w:tabs>
        <w:tab w:val="left" w:pos="1080"/>
      </w:tabs>
      <w:spacing w:before="360" w:after="240" w:line="578" w:lineRule="auto"/>
      <w:ind w:left="425" w:hanging="425"/>
      <w:jc w:val="center"/>
      <w:outlineLvl w:val="0"/>
    </w:pPr>
    <w:rPr>
      <w:rFonts w:eastAsia="宋体"/>
      <w:b/>
      <w:kern w:val="44"/>
      <w:sz w:val="36"/>
      <w:lang w:val="zh-CN" w:eastAsia="zh-CN"/>
    </w:rPr>
  </w:style>
  <w:style w:type="paragraph" w:styleId="3">
    <w:name w:val="heading 2"/>
    <w:basedOn w:val="1"/>
    <w:next w:val="4"/>
    <w:link w:val="190"/>
    <w:qFormat/>
    <w:uiPriority w:val="0"/>
    <w:pPr>
      <w:keepNext/>
      <w:keepLines/>
      <w:numPr>
        <w:ilvl w:val="1"/>
        <w:numId w:val="1"/>
      </w:numPr>
      <w:spacing w:before="120" w:after="60"/>
      <w:outlineLvl w:val="1"/>
    </w:pPr>
    <w:rPr>
      <w:rFonts w:ascii="黑体" w:hAnsi="Arial" w:eastAsia="黑体"/>
      <w:lang w:val="zh-CN" w:eastAsia="zh-CN"/>
    </w:rPr>
  </w:style>
  <w:style w:type="paragraph" w:styleId="5">
    <w:name w:val="heading 3"/>
    <w:basedOn w:val="1"/>
    <w:next w:val="4"/>
    <w:link w:val="187"/>
    <w:qFormat/>
    <w:uiPriority w:val="0"/>
    <w:pPr>
      <w:keepNext/>
      <w:keepLines/>
      <w:numPr>
        <w:ilvl w:val="2"/>
        <w:numId w:val="1"/>
      </w:numPr>
      <w:spacing w:before="120" w:after="120"/>
      <w:outlineLvl w:val="2"/>
    </w:pPr>
    <w:rPr>
      <w:rFonts w:ascii="仿宋_GB2312"/>
      <w:b/>
      <w:bCs/>
      <w:kern w:val="0"/>
      <w:sz w:val="24"/>
      <w:lang w:val="zh-CN" w:eastAsia="zh-CN"/>
    </w:rPr>
  </w:style>
  <w:style w:type="paragraph" w:styleId="6">
    <w:name w:val="heading 4"/>
    <w:basedOn w:val="1"/>
    <w:next w:val="4"/>
    <w:link w:val="185"/>
    <w:qFormat/>
    <w:uiPriority w:val="9"/>
    <w:pPr>
      <w:keepNext/>
      <w:keepLines/>
      <w:numPr>
        <w:ilvl w:val="3"/>
        <w:numId w:val="1"/>
      </w:numPr>
      <w:adjustRightInd w:val="0"/>
      <w:spacing w:before="120"/>
      <w:outlineLvl w:val="3"/>
    </w:pPr>
    <w:rPr>
      <w:rFonts w:ascii="Arial" w:hAnsi="Arial"/>
      <w:b/>
      <w:sz w:val="24"/>
      <w:lang w:val="zh-CN" w:eastAsia="zh-CN"/>
    </w:rPr>
  </w:style>
  <w:style w:type="paragraph" w:styleId="7">
    <w:name w:val="heading 5"/>
    <w:basedOn w:val="1"/>
    <w:next w:val="1"/>
    <w:link w:val="815"/>
    <w:qFormat/>
    <w:uiPriority w:val="0"/>
    <w:pPr>
      <w:keepNext/>
      <w:keepLines/>
      <w:tabs>
        <w:tab w:val="left" w:pos="1008"/>
      </w:tabs>
      <w:spacing w:before="120" w:after="120" w:line="120" w:lineRule="atLeast"/>
      <w:ind w:left="1008" w:hanging="1008"/>
      <w:outlineLvl w:val="4"/>
    </w:pPr>
    <w:rPr>
      <w:b/>
      <w:bCs/>
      <w:sz w:val="21"/>
      <w:szCs w:val="28"/>
      <w:lang w:val="zh-CN" w:eastAsia="zh-CN"/>
    </w:rPr>
  </w:style>
  <w:style w:type="paragraph" w:styleId="8">
    <w:name w:val="heading 6"/>
    <w:basedOn w:val="1"/>
    <w:next w:val="1"/>
    <w:link w:val="157"/>
    <w:qFormat/>
    <w:uiPriority w:val="0"/>
    <w:pPr>
      <w:keepNext/>
      <w:keepLines/>
      <w:tabs>
        <w:tab w:val="left" w:pos="1152"/>
      </w:tabs>
      <w:spacing w:before="240" w:after="64" w:line="320" w:lineRule="auto"/>
      <w:ind w:left="1152" w:hanging="1152"/>
      <w:outlineLvl w:val="5"/>
    </w:pPr>
    <w:rPr>
      <w:rFonts w:ascii="Arial" w:hAnsi="Arial" w:eastAsia="黑体"/>
      <w:b/>
      <w:bCs/>
      <w:sz w:val="24"/>
      <w:szCs w:val="24"/>
      <w:lang w:val="zh-CN" w:eastAsia="zh-CN"/>
    </w:rPr>
  </w:style>
  <w:style w:type="paragraph" w:styleId="9">
    <w:name w:val="heading 7"/>
    <w:basedOn w:val="1"/>
    <w:next w:val="1"/>
    <w:link w:val="816"/>
    <w:qFormat/>
    <w:uiPriority w:val="0"/>
    <w:pPr>
      <w:keepNext/>
      <w:keepLines/>
      <w:tabs>
        <w:tab w:val="left" w:pos="1296"/>
      </w:tabs>
      <w:spacing w:before="240" w:after="64" w:line="320" w:lineRule="auto"/>
      <w:ind w:left="1296" w:hanging="1296"/>
      <w:outlineLvl w:val="6"/>
    </w:pPr>
    <w:rPr>
      <w:rFonts w:eastAsia="宋体"/>
      <w:b/>
      <w:bCs/>
      <w:sz w:val="24"/>
      <w:szCs w:val="24"/>
      <w:lang w:val="zh-CN" w:eastAsia="zh-CN"/>
    </w:rPr>
  </w:style>
  <w:style w:type="paragraph" w:styleId="10">
    <w:name w:val="heading 8"/>
    <w:basedOn w:val="1"/>
    <w:next w:val="1"/>
    <w:link w:val="817"/>
    <w:qFormat/>
    <w:uiPriority w:val="0"/>
    <w:pPr>
      <w:keepNext/>
      <w:keepLines/>
      <w:tabs>
        <w:tab w:val="left" w:pos="1440"/>
      </w:tabs>
      <w:spacing w:before="240" w:after="64" w:line="320" w:lineRule="auto"/>
      <w:ind w:left="1440" w:hanging="1440"/>
      <w:outlineLvl w:val="7"/>
    </w:pPr>
    <w:rPr>
      <w:rFonts w:ascii="Arial" w:hAnsi="Arial" w:eastAsia="黑体"/>
      <w:sz w:val="24"/>
      <w:szCs w:val="24"/>
      <w:lang w:val="zh-CN" w:eastAsia="zh-CN"/>
    </w:rPr>
  </w:style>
  <w:style w:type="paragraph" w:styleId="11">
    <w:name w:val="heading 9"/>
    <w:basedOn w:val="1"/>
    <w:next w:val="1"/>
    <w:link w:val="818"/>
    <w:qFormat/>
    <w:uiPriority w:val="0"/>
    <w:pPr>
      <w:keepNext/>
      <w:keepLines/>
      <w:tabs>
        <w:tab w:val="left" w:pos="1584"/>
      </w:tabs>
      <w:spacing w:before="240" w:after="64" w:line="320" w:lineRule="auto"/>
      <w:ind w:left="1584" w:hanging="1584"/>
      <w:outlineLvl w:val="8"/>
    </w:pPr>
    <w:rPr>
      <w:rFonts w:ascii="Arial" w:hAnsi="Arial" w:eastAsia="黑体"/>
      <w:sz w:val="21"/>
      <w:szCs w:val="21"/>
      <w:lang w:val="zh-CN" w:eastAsia="zh-CN"/>
    </w:rPr>
  </w:style>
  <w:style w:type="character" w:default="1" w:styleId="132">
    <w:name w:val="Default Paragraph Font"/>
    <w:semiHidden/>
    <w:unhideWhenUsed/>
    <w:uiPriority w:val="1"/>
  </w:style>
  <w:style w:type="table" w:default="1" w:styleId="87">
    <w:name w:val="Normal Table"/>
    <w:semiHidden/>
    <w:unhideWhenUsed/>
    <w:uiPriority w:val="99"/>
    <w:tblPr>
      <w:tblLayout w:type="fixed"/>
      <w:tblCellMar>
        <w:top w:w="0" w:type="dxa"/>
        <w:left w:w="108" w:type="dxa"/>
        <w:bottom w:w="0" w:type="dxa"/>
        <w:right w:w="108" w:type="dxa"/>
      </w:tblCellMar>
    </w:tblPr>
  </w:style>
  <w:style w:type="paragraph" w:styleId="4">
    <w:name w:val="Normal Indent"/>
    <w:basedOn w:val="1"/>
    <w:link w:val="183"/>
    <w:qFormat/>
    <w:uiPriority w:val="0"/>
    <w:pPr>
      <w:spacing w:line="264" w:lineRule="auto"/>
      <w:ind w:firstLine="476"/>
    </w:pPr>
    <w:rPr>
      <w:rFonts w:ascii="Arial" w:hAnsi="Arial" w:eastAsia="宋体" w:cs="Arial"/>
      <w:spacing w:val="10"/>
      <w:sz w:val="24"/>
    </w:rPr>
  </w:style>
  <w:style w:type="paragraph" w:styleId="12">
    <w:name w:val="List 3"/>
    <w:basedOn w:val="1"/>
    <w:uiPriority w:val="0"/>
    <w:pPr>
      <w:widowControl/>
      <w:spacing w:line="360" w:lineRule="auto"/>
      <w:ind w:left="100" w:leftChars="400" w:hanging="200" w:hangingChars="200"/>
      <w:jc w:val="left"/>
    </w:pPr>
    <w:rPr>
      <w:rFonts w:eastAsia="宋体"/>
      <w:sz w:val="20"/>
      <w:szCs w:val="24"/>
    </w:rPr>
  </w:style>
  <w:style w:type="paragraph" w:styleId="13">
    <w:name w:val="toc 7"/>
    <w:basedOn w:val="1"/>
    <w:next w:val="1"/>
    <w:qFormat/>
    <w:uiPriority w:val="39"/>
    <w:pPr>
      <w:ind w:left="1680"/>
      <w:jc w:val="left"/>
    </w:pPr>
    <w:rPr>
      <w:szCs w:val="21"/>
    </w:rPr>
  </w:style>
  <w:style w:type="paragraph" w:styleId="14">
    <w:name w:val="List Number 2"/>
    <w:basedOn w:val="1"/>
    <w:uiPriority w:val="0"/>
    <w:pPr>
      <w:tabs>
        <w:tab w:val="left" w:pos="780"/>
      </w:tabs>
      <w:ind w:left="780" w:leftChars="200" w:hanging="360" w:hangingChars="200"/>
    </w:pPr>
    <w:rPr>
      <w:rFonts w:eastAsia="方正宋三简体"/>
      <w:sz w:val="24"/>
      <w:szCs w:val="24"/>
    </w:rPr>
  </w:style>
  <w:style w:type="paragraph" w:styleId="15">
    <w:name w:val="table of authorities"/>
    <w:basedOn w:val="1"/>
    <w:next w:val="1"/>
    <w:uiPriority w:val="0"/>
    <w:pPr>
      <w:widowControl/>
      <w:autoSpaceDE w:val="0"/>
      <w:autoSpaceDN w:val="0"/>
      <w:adjustRightInd w:val="0"/>
      <w:ind w:left="420" w:leftChars="200"/>
      <w:jc w:val="left"/>
      <w:textAlignment w:val="baseline"/>
    </w:pPr>
    <w:rPr>
      <w:rFonts w:eastAsia="宋体"/>
      <w:kern w:val="0"/>
    </w:rPr>
  </w:style>
  <w:style w:type="paragraph" w:styleId="16">
    <w:name w:val="Note Heading"/>
    <w:basedOn w:val="1"/>
    <w:next w:val="1"/>
    <w:link w:val="793"/>
    <w:qFormat/>
    <w:uiPriority w:val="0"/>
    <w:pPr>
      <w:jc w:val="center"/>
    </w:pPr>
    <w:rPr>
      <w:rFonts w:eastAsia="宋体"/>
      <w:sz w:val="21"/>
      <w:lang w:val="zh-CN" w:eastAsia="zh-CN"/>
    </w:rPr>
  </w:style>
  <w:style w:type="paragraph" w:styleId="17">
    <w:name w:val="List Bullet 4"/>
    <w:basedOn w:val="1"/>
    <w:uiPriority w:val="0"/>
    <w:pPr>
      <w:widowControl/>
      <w:numPr>
        <w:ilvl w:val="0"/>
        <w:numId w:val="2"/>
      </w:numPr>
      <w:spacing w:line="360" w:lineRule="auto"/>
      <w:jc w:val="left"/>
    </w:pPr>
    <w:rPr>
      <w:rFonts w:eastAsia="宋体"/>
      <w:sz w:val="20"/>
      <w:szCs w:val="24"/>
    </w:rPr>
  </w:style>
  <w:style w:type="paragraph" w:styleId="18">
    <w:name w:val="index 8"/>
    <w:basedOn w:val="1"/>
    <w:next w:val="1"/>
    <w:uiPriority w:val="0"/>
    <w:pPr>
      <w:widowControl/>
      <w:autoSpaceDE w:val="0"/>
      <w:autoSpaceDN w:val="0"/>
      <w:adjustRightInd w:val="0"/>
      <w:ind w:left="1400" w:leftChars="1400"/>
      <w:jc w:val="left"/>
      <w:textAlignment w:val="baseline"/>
    </w:pPr>
    <w:rPr>
      <w:rFonts w:eastAsia="宋体"/>
      <w:kern w:val="0"/>
    </w:rPr>
  </w:style>
  <w:style w:type="paragraph" w:styleId="19">
    <w:name w:val="E-mail Signature"/>
    <w:basedOn w:val="1"/>
    <w:link w:val="1399"/>
    <w:uiPriority w:val="0"/>
    <w:pPr>
      <w:widowControl/>
      <w:spacing w:line="360" w:lineRule="auto"/>
      <w:jc w:val="left"/>
    </w:pPr>
    <w:rPr>
      <w:rFonts w:eastAsia="宋体"/>
      <w:sz w:val="20"/>
      <w:szCs w:val="24"/>
    </w:rPr>
  </w:style>
  <w:style w:type="paragraph" w:styleId="20">
    <w:name w:val="List Number"/>
    <w:basedOn w:val="1"/>
    <w:uiPriority w:val="0"/>
    <w:pPr>
      <w:tabs>
        <w:tab w:val="left" w:pos="360"/>
      </w:tabs>
      <w:ind w:left="360" w:hanging="360" w:hangingChars="200"/>
    </w:pPr>
    <w:rPr>
      <w:rFonts w:eastAsia="宋体"/>
      <w:sz w:val="21"/>
      <w:szCs w:val="24"/>
    </w:rPr>
  </w:style>
  <w:style w:type="paragraph" w:styleId="21">
    <w:name w:val="caption"/>
    <w:basedOn w:val="1"/>
    <w:next w:val="1"/>
    <w:link w:val="231"/>
    <w:qFormat/>
    <w:uiPriority w:val="0"/>
    <w:pPr>
      <w:spacing w:before="152" w:after="160"/>
    </w:pPr>
    <w:rPr>
      <w:rFonts w:ascii="Arial" w:hAnsi="Arial" w:eastAsia="黑体" w:cs="Arial"/>
      <w:sz w:val="20"/>
    </w:rPr>
  </w:style>
  <w:style w:type="paragraph" w:styleId="22">
    <w:name w:val="index 5"/>
    <w:basedOn w:val="1"/>
    <w:next w:val="1"/>
    <w:uiPriority w:val="0"/>
    <w:pPr>
      <w:widowControl/>
      <w:autoSpaceDE w:val="0"/>
      <w:autoSpaceDN w:val="0"/>
      <w:adjustRightInd w:val="0"/>
      <w:ind w:left="800" w:leftChars="800"/>
      <w:jc w:val="left"/>
      <w:textAlignment w:val="baseline"/>
    </w:pPr>
    <w:rPr>
      <w:rFonts w:eastAsia="宋体"/>
      <w:kern w:val="0"/>
    </w:rPr>
  </w:style>
  <w:style w:type="paragraph" w:styleId="23">
    <w:name w:val="List Bullet"/>
    <w:basedOn w:val="1"/>
    <w:uiPriority w:val="0"/>
    <w:pPr>
      <w:spacing w:line="360" w:lineRule="auto"/>
      <w:jc w:val="center"/>
    </w:pPr>
    <w:rPr>
      <w:rFonts w:eastAsia="宋体"/>
      <w:smallCaps/>
      <w:sz w:val="24"/>
      <w:szCs w:val="32"/>
      <w:lang w:val="en-GB"/>
    </w:rPr>
  </w:style>
  <w:style w:type="paragraph" w:styleId="24">
    <w:name w:val="envelope address"/>
    <w:basedOn w:val="1"/>
    <w:uiPriority w:val="0"/>
    <w:pPr>
      <w:framePr w:w="7920" w:h="1980" w:hRule="exact" w:hSpace="180" w:wrap="around" w:vAnchor="margin" w:hAnchor="page" w:xAlign="center" w:yAlign="bottom"/>
      <w:widowControl/>
      <w:snapToGrid w:val="0"/>
      <w:spacing w:line="360" w:lineRule="auto"/>
      <w:ind w:left="100" w:leftChars="1400"/>
      <w:jc w:val="left"/>
    </w:pPr>
    <w:rPr>
      <w:rFonts w:ascii="Arial" w:hAnsi="Arial" w:eastAsia="宋体" w:cs="Arial"/>
      <w:sz w:val="20"/>
      <w:szCs w:val="24"/>
    </w:rPr>
  </w:style>
  <w:style w:type="paragraph" w:styleId="25">
    <w:name w:val="Document Map"/>
    <w:basedOn w:val="1"/>
    <w:link w:val="820"/>
    <w:qFormat/>
    <w:uiPriority w:val="0"/>
    <w:pPr>
      <w:shd w:val="clear" w:color="auto" w:fill="000080"/>
    </w:pPr>
    <w:rPr>
      <w:lang w:val="zh-CN" w:eastAsia="zh-CN"/>
    </w:rPr>
  </w:style>
  <w:style w:type="paragraph" w:styleId="26">
    <w:name w:val="toa heading"/>
    <w:basedOn w:val="1"/>
    <w:next w:val="1"/>
    <w:semiHidden/>
    <w:qFormat/>
    <w:uiPriority w:val="0"/>
    <w:pPr>
      <w:spacing w:before="120"/>
    </w:pPr>
    <w:rPr>
      <w:rFonts w:ascii="Arial" w:hAnsi="Arial" w:eastAsia="宋体"/>
      <w:sz w:val="24"/>
      <w:szCs w:val="21"/>
    </w:rPr>
  </w:style>
  <w:style w:type="paragraph" w:styleId="27">
    <w:name w:val="annotation text"/>
    <w:basedOn w:val="1"/>
    <w:link w:val="767"/>
    <w:qFormat/>
    <w:uiPriority w:val="0"/>
    <w:pPr>
      <w:jc w:val="left"/>
    </w:pPr>
    <w:rPr>
      <w:lang w:val="zh-CN" w:eastAsia="zh-CN"/>
    </w:rPr>
  </w:style>
  <w:style w:type="paragraph" w:styleId="28">
    <w:name w:val="index 6"/>
    <w:basedOn w:val="1"/>
    <w:next w:val="1"/>
    <w:uiPriority w:val="0"/>
    <w:pPr>
      <w:widowControl/>
      <w:autoSpaceDE w:val="0"/>
      <w:autoSpaceDN w:val="0"/>
      <w:adjustRightInd w:val="0"/>
      <w:ind w:left="1000" w:leftChars="1000"/>
      <w:jc w:val="left"/>
      <w:textAlignment w:val="baseline"/>
    </w:pPr>
    <w:rPr>
      <w:rFonts w:eastAsia="宋体"/>
      <w:kern w:val="0"/>
    </w:rPr>
  </w:style>
  <w:style w:type="paragraph" w:styleId="29">
    <w:name w:val="Salutation"/>
    <w:basedOn w:val="1"/>
    <w:next w:val="1"/>
    <w:link w:val="251"/>
    <w:qFormat/>
    <w:uiPriority w:val="0"/>
    <w:rPr>
      <w:rFonts w:eastAsia="楷体_GB2312"/>
      <w:lang w:val="zh-CN" w:eastAsia="zh-CN"/>
    </w:rPr>
  </w:style>
  <w:style w:type="paragraph" w:styleId="30">
    <w:name w:val="Body Text 3"/>
    <w:basedOn w:val="1"/>
    <w:link w:val="182"/>
    <w:qFormat/>
    <w:uiPriority w:val="0"/>
    <w:pPr>
      <w:spacing w:after="120"/>
    </w:pPr>
    <w:rPr>
      <w:sz w:val="16"/>
      <w:szCs w:val="16"/>
    </w:rPr>
  </w:style>
  <w:style w:type="paragraph" w:styleId="31">
    <w:name w:val="Closing"/>
    <w:basedOn w:val="1"/>
    <w:link w:val="1177"/>
    <w:uiPriority w:val="0"/>
    <w:pPr>
      <w:widowControl/>
      <w:ind w:left="100" w:leftChars="2100"/>
      <w:jc w:val="left"/>
    </w:pPr>
    <w:rPr>
      <w:rFonts w:ascii="Arial" w:hAnsi="Arial" w:eastAsia="宋体" w:cs="Arial"/>
      <w:sz w:val="21"/>
    </w:rPr>
  </w:style>
  <w:style w:type="paragraph" w:styleId="32">
    <w:name w:val="List Bullet 3"/>
    <w:basedOn w:val="1"/>
    <w:qFormat/>
    <w:uiPriority w:val="0"/>
    <w:pPr>
      <w:tabs>
        <w:tab w:val="left" w:pos="1200"/>
      </w:tabs>
      <w:adjustRightInd w:val="0"/>
      <w:spacing w:line="312" w:lineRule="atLeast"/>
      <w:ind w:left="1200" w:hanging="360"/>
      <w:textAlignment w:val="baseline"/>
    </w:pPr>
    <w:rPr>
      <w:rFonts w:eastAsia="宋体"/>
      <w:kern w:val="0"/>
      <w:sz w:val="24"/>
      <w:szCs w:val="21"/>
    </w:rPr>
  </w:style>
  <w:style w:type="paragraph" w:styleId="33">
    <w:name w:val="Body Text"/>
    <w:basedOn w:val="1"/>
    <w:link w:val="819"/>
    <w:qFormat/>
    <w:uiPriority w:val="0"/>
    <w:pPr>
      <w:spacing w:after="120"/>
    </w:pPr>
    <w:rPr>
      <w:lang w:val="zh-CN" w:eastAsia="zh-CN"/>
    </w:rPr>
  </w:style>
  <w:style w:type="paragraph" w:styleId="34">
    <w:name w:val="Body Text Indent"/>
    <w:basedOn w:val="1"/>
    <w:link w:val="247"/>
    <w:qFormat/>
    <w:uiPriority w:val="0"/>
    <w:pPr>
      <w:ind w:firstLine="324"/>
    </w:pPr>
    <w:rPr>
      <w:rFonts w:eastAsia="宋体"/>
      <w:sz w:val="21"/>
    </w:rPr>
  </w:style>
  <w:style w:type="paragraph" w:styleId="35">
    <w:name w:val="List Number 3"/>
    <w:basedOn w:val="1"/>
    <w:uiPriority w:val="0"/>
    <w:pPr>
      <w:widowControl/>
      <w:numPr>
        <w:ilvl w:val="0"/>
        <w:numId w:val="3"/>
      </w:numPr>
      <w:spacing w:line="360" w:lineRule="auto"/>
      <w:jc w:val="left"/>
    </w:pPr>
    <w:rPr>
      <w:rFonts w:eastAsia="宋体"/>
      <w:sz w:val="20"/>
      <w:szCs w:val="24"/>
    </w:rPr>
  </w:style>
  <w:style w:type="paragraph" w:styleId="36">
    <w:name w:val="List 2"/>
    <w:basedOn w:val="1"/>
    <w:qFormat/>
    <w:uiPriority w:val="0"/>
    <w:pPr>
      <w:adjustRightInd w:val="0"/>
      <w:spacing w:line="312" w:lineRule="atLeast"/>
      <w:ind w:left="840" w:hanging="420"/>
      <w:textAlignment w:val="baseline"/>
    </w:pPr>
    <w:rPr>
      <w:rFonts w:eastAsia="宋体"/>
      <w:kern w:val="0"/>
      <w:sz w:val="24"/>
    </w:rPr>
  </w:style>
  <w:style w:type="paragraph" w:styleId="37">
    <w:name w:val="List Continue"/>
    <w:basedOn w:val="1"/>
    <w:uiPriority w:val="0"/>
    <w:pPr>
      <w:widowControl/>
      <w:spacing w:after="120"/>
      <w:ind w:left="420" w:leftChars="200"/>
      <w:jc w:val="left"/>
    </w:pPr>
    <w:rPr>
      <w:rFonts w:eastAsia="宋体"/>
      <w:lang w:val="ru-RU" w:eastAsia="zh-TW"/>
    </w:rPr>
  </w:style>
  <w:style w:type="paragraph" w:styleId="38">
    <w:name w:val="Block Text"/>
    <w:basedOn w:val="1"/>
    <w:qFormat/>
    <w:uiPriority w:val="0"/>
    <w:pPr>
      <w:adjustRightInd w:val="0"/>
      <w:spacing w:line="360" w:lineRule="auto"/>
      <w:ind w:left="113" w:right="113" w:firstLine="420"/>
      <w:textAlignment w:val="baseline"/>
    </w:pPr>
    <w:rPr>
      <w:rFonts w:ascii="仿宋_GB2312"/>
      <w:kern w:val="0"/>
      <w:sz w:val="24"/>
      <w:szCs w:val="21"/>
    </w:rPr>
  </w:style>
  <w:style w:type="paragraph" w:styleId="39">
    <w:name w:val="List Bullet 2"/>
    <w:basedOn w:val="1"/>
    <w:next w:val="40"/>
    <w:qFormat/>
    <w:uiPriority w:val="0"/>
    <w:pPr>
      <w:adjustRightInd w:val="0"/>
      <w:spacing w:line="200" w:lineRule="atLeast"/>
      <w:jc w:val="center"/>
      <w:textAlignment w:val="baseline"/>
    </w:pPr>
    <w:rPr>
      <w:rFonts w:eastAsia="宋体"/>
      <w:bCs/>
      <w:iCs/>
      <w:kern w:val="0"/>
      <w:szCs w:val="24"/>
    </w:rPr>
  </w:style>
  <w:style w:type="paragraph" w:styleId="40">
    <w:name w:val="Body Text First Indent"/>
    <w:basedOn w:val="33"/>
    <w:link w:val="174"/>
    <w:uiPriority w:val="0"/>
    <w:pPr>
      <w:ind w:firstLine="420" w:firstLineChars="100"/>
    </w:pPr>
    <w:rPr>
      <w:lang w:val="en-US" w:eastAsia="zh-CN"/>
    </w:rPr>
  </w:style>
  <w:style w:type="paragraph" w:styleId="41">
    <w:name w:val="HTML Address"/>
    <w:basedOn w:val="1"/>
    <w:link w:val="1398"/>
    <w:uiPriority w:val="0"/>
    <w:pPr>
      <w:widowControl/>
      <w:spacing w:line="360" w:lineRule="auto"/>
      <w:jc w:val="left"/>
    </w:pPr>
    <w:rPr>
      <w:rFonts w:eastAsia="宋体"/>
      <w:i/>
      <w:iCs/>
      <w:sz w:val="20"/>
      <w:szCs w:val="24"/>
    </w:rPr>
  </w:style>
  <w:style w:type="paragraph" w:styleId="42">
    <w:name w:val="index 4"/>
    <w:basedOn w:val="1"/>
    <w:next w:val="1"/>
    <w:uiPriority w:val="0"/>
    <w:pPr>
      <w:widowControl/>
      <w:autoSpaceDE w:val="0"/>
      <w:autoSpaceDN w:val="0"/>
      <w:adjustRightInd w:val="0"/>
      <w:ind w:left="600" w:leftChars="600"/>
      <w:jc w:val="left"/>
      <w:textAlignment w:val="baseline"/>
    </w:pPr>
    <w:rPr>
      <w:rFonts w:eastAsia="宋体"/>
      <w:kern w:val="0"/>
    </w:rPr>
  </w:style>
  <w:style w:type="paragraph" w:styleId="43">
    <w:name w:val="toc 5"/>
    <w:basedOn w:val="1"/>
    <w:next w:val="1"/>
    <w:qFormat/>
    <w:uiPriority w:val="39"/>
    <w:pPr>
      <w:ind w:left="1120"/>
      <w:jc w:val="left"/>
    </w:pPr>
    <w:rPr>
      <w:szCs w:val="21"/>
    </w:rPr>
  </w:style>
  <w:style w:type="paragraph" w:styleId="44">
    <w:name w:val="toc 3"/>
    <w:basedOn w:val="1"/>
    <w:next w:val="1"/>
    <w:qFormat/>
    <w:uiPriority w:val="39"/>
    <w:pPr>
      <w:ind w:left="560"/>
      <w:jc w:val="left"/>
    </w:pPr>
    <w:rPr>
      <w:i/>
      <w:iCs/>
      <w:szCs w:val="24"/>
    </w:rPr>
  </w:style>
  <w:style w:type="paragraph" w:styleId="45">
    <w:name w:val="Plain Text"/>
    <w:basedOn w:val="1"/>
    <w:link w:val="193"/>
    <w:qFormat/>
    <w:uiPriority w:val="0"/>
    <w:rPr>
      <w:rFonts w:ascii="宋体" w:hAnsi="Courier New" w:eastAsia="宋体"/>
      <w:sz w:val="21"/>
    </w:rPr>
  </w:style>
  <w:style w:type="paragraph" w:styleId="46">
    <w:name w:val="List Bullet 5"/>
    <w:basedOn w:val="1"/>
    <w:uiPriority w:val="0"/>
    <w:pPr>
      <w:widowControl/>
      <w:tabs>
        <w:tab w:val="left" w:pos="2040"/>
      </w:tabs>
      <w:ind w:left="2040" w:leftChars="800" w:hanging="360" w:hangingChars="200"/>
      <w:jc w:val="left"/>
    </w:pPr>
    <w:rPr>
      <w:rFonts w:hint="eastAsia" w:ascii="宋体" w:hAnsi="宋体" w:eastAsia="宋体"/>
      <w:sz w:val="20"/>
      <w:szCs w:val="24"/>
    </w:rPr>
  </w:style>
  <w:style w:type="paragraph" w:styleId="47">
    <w:name w:val="List Number 4"/>
    <w:basedOn w:val="1"/>
    <w:uiPriority w:val="0"/>
    <w:pPr>
      <w:tabs>
        <w:tab w:val="left" w:pos="1620"/>
      </w:tabs>
      <w:adjustRightInd w:val="0"/>
      <w:snapToGrid w:val="0"/>
      <w:spacing w:line="360" w:lineRule="auto"/>
      <w:ind w:left="1620" w:leftChars="600" w:hanging="360" w:hangingChars="200"/>
    </w:pPr>
    <w:rPr>
      <w:rFonts w:eastAsia="宋体"/>
      <w:sz w:val="24"/>
      <w:szCs w:val="24"/>
    </w:rPr>
  </w:style>
  <w:style w:type="paragraph" w:styleId="48">
    <w:name w:val="toc 8"/>
    <w:basedOn w:val="1"/>
    <w:next w:val="1"/>
    <w:qFormat/>
    <w:uiPriority w:val="39"/>
    <w:pPr>
      <w:ind w:left="1960"/>
      <w:jc w:val="left"/>
    </w:pPr>
    <w:rPr>
      <w:szCs w:val="21"/>
    </w:rPr>
  </w:style>
  <w:style w:type="paragraph" w:styleId="49">
    <w:name w:val="index 3"/>
    <w:basedOn w:val="1"/>
    <w:next w:val="1"/>
    <w:uiPriority w:val="0"/>
    <w:pPr>
      <w:widowControl/>
      <w:autoSpaceDE w:val="0"/>
      <w:autoSpaceDN w:val="0"/>
      <w:adjustRightInd w:val="0"/>
      <w:ind w:left="400" w:leftChars="400"/>
      <w:jc w:val="left"/>
      <w:textAlignment w:val="baseline"/>
    </w:pPr>
    <w:rPr>
      <w:rFonts w:eastAsia="宋体"/>
      <w:kern w:val="0"/>
    </w:rPr>
  </w:style>
  <w:style w:type="paragraph" w:styleId="50">
    <w:name w:val="Date"/>
    <w:basedOn w:val="1"/>
    <w:next w:val="1"/>
    <w:link w:val="280"/>
    <w:qFormat/>
    <w:uiPriority w:val="0"/>
    <w:rPr>
      <w:rFonts w:eastAsia="宋体"/>
      <w:sz w:val="24"/>
      <w:lang w:val="zh-CN" w:eastAsia="zh-CN"/>
    </w:rPr>
  </w:style>
  <w:style w:type="paragraph" w:styleId="51">
    <w:name w:val="Body Text Indent 2"/>
    <w:basedOn w:val="1"/>
    <w:link w:val="822"/>
    <w:qFormat/>
    <w:uiPriority w:val="0"/>
    <w:pPr>
      <w:ind w:firstLine="420"/>
    </w:pPr>
    <w:rPr>
      <w:rFonts w:ascii="宋体" w:hAnsi="宋体" w:eastAsia="宋体"/>
      <w:sz w:val="24"/>
      <w:lang w:val="zh-CN" w:eastAsia="zh-CN"/>
    </w:rPr>
  </w:style>
  <w:style w:type="paragraph" w:styleId="52">
    <w:name w:val="endnote text"/>
    <w:basedOn w:val="1"/>
    <w:link w:val="826"/>
    <w:qFormat/>
    <w:uiPriority w:val="0"/>
    <w:pPr>
      <w:snapToGrid w:val="0"/>
      <w:jc w:val="left"/>
    </w:pPr>
    <w:rPr>
      <w:rFonts w:eastAsia="宋体"/>
      <w:sz w:val="21"/>
      <w:szCs w:val="24"/>
      <w:lang w:val="zh-CN" w:eastAsia="zh-CN"/>
    </w:rPr>
  </w:style>
  <w:style w:type="paragraph" w:styleId="53">
    <w:name w:val="List Continue 5"/>
    <w:basedOn w:val="1"/>
    <w:uiPriority w:val="0"/>
    <w:pPr>
      <w:widowControl/>
      <w:spacing w:after="120" w:line="360" w:lineRule="auto"/>
      <w:ind w:left="2100" w:leftChars="1000"/>
      <w:jc w:val="left"/>
    </w:pPr>
    <w:rPr>
      <w:rFonts w:eastAsia="宋体"/>
      <w:sz w:val="20"/>
      <w:szCs w:val="24"/>
    </w:rPr>
  </w:style>
  <w:style w:type="paragraph" w:styleId="54">
    <w:name w:val="Balloon Text"/>
    <w:basedOn w:val="1"/>
    <w:link w:val="186"/>
    <w:qFormat/>
    <w:uiPriority w:val="0"/>
    <w:rPr>
      <w:sz w:val="18"/>
      <w:szCs w:val="18"/>
    </w:rPr>
  </w:style>
  <w:style w:type="paragraph" w:styleId="55">
    <w:name w:val="footer"/>
    <w:basedOn w:val="1"/>
    <w:link w:val="166"/>
    <w:qFormat/>
    <w:uiPriority w:val="0"/>
    <w:pPr>
      <w:tabs>
        <w:tab w:val="center" w:pos="4153"/>
        <w:tab w:val="right" w:pos="8306"/>
      </w:tabs>
      <w:snapToGrid w:val="0"/>
      <w:jc w:val="left"/>
    </w:pPr>
    <w:rPr>
      <w:sz w:val="18"/>
      <w:lang w:val="zh-CN" w:eastAsia="zh-CN"/>
    </w:rPr>
  </w:style>
  <w:style w:type="paragraph" w:styleId="56">
    <w:name w:val="envelope return"/>
    <w:basedOn w:val="1"/>
    <w:uiPriority w:val="0"/>
    <w:pPr>
      <w:widowControl/>
      <w:snapToGrid w:val="0"/>
      <w:spacing w:line="360" w:lineRule="auto"/>
      <w:jc w:val="left"/>
    </w:pPr>
    <w:rPr>
      <w:rFonts w:ascii="Arial" w:hAnsi="Arial" w:eastAsia="宋体" w:cs="Arial"/>
      <w:sz w:val="20"/>
      <w:szCs w:val="24"/>
    </w:rPr>
  </w:style>
  <w:style w:type="paragraph" w:styleId="57">
    <w:name w:val="header"/>
    <w:basedOn w:val="1"/>
    <w:link w:val="194"/>
    <w:uiPriority w:val="0"/>
    <w:pPr>
      <w:pBdr>
        <w:bottom w:val="single" w:color="auto" w:sz="6" w:space="1"/>
      </w:pBdr>
      <w:tabs>
        <w:tab w:val="center" w:pos="4153"/>
        <w:tab w:val="right" w:pos="8306"/>
      </w:tabs>
      <w:snapToGrid w:val="0"/>
      <w:jc w:val="center"/>
    </w:pPr>
    <w:rPr>
      <w:sz w:val="18"/>
    </w:rPr>
  </w:style>
  <w:style w:type="paragraph" w:styleId="58">
    <w:name w:val="Signature"/>
    <w:basedOn w:val="1"/>
    <w:link w:val="1400"/>
    <w:uiPriority w:val="0"/>
    <w:pPr>
      <w:widowControl/>
      <w:spacing w:line="360" w:lineRule="auto"/>
      <w:ind w:left="100" w:leftChars="2100"/>
      <w:jc w:val="left"/>
    </w:pPr>
    <w:rPr>
      <w:rFonts w:eastAsia="宋体"/>
      <w:sz w:val="20"/>
      <w:szCs w:val="24"/>
    </w:rPr>
  </w:style>
  <w:style w:type="paragraph" w:styleId="59">
    <w:name w:val="toc 1"/>
    <w:basedOn w:val="1"/>
    <w:next w:val="1"/>
    <w:qFormat/>
    <w:uiPriority w:val="39"/>
    <w:pPr>
      <w:tabs>
        <w:tab w:val="left" w:pos="1120"/>
        <w:tab w:val="right" w:leader="dot" w:pos="8767"/>
      </w:tabs>
      <w:spacing w:before="60" w:after="60"/>
      <w:jc w:val="left"/>
    </w:pPr>
    <w:rPr>
      <w:rFonts w:ascii="宋体" w:hAnsi="宋体" w:eastAsia="宋体"/>
      <w:b/>
      <w:bCs/>
      <w:caps/>
      <w:sz w:val="24"/>
      <w:szCs w:val="24"/>
    </w:rPr>
  </w:style>
  <w:style w:type="paragraph" w:styleId="60">
    <w:name w:val="List Continue 4"/>
    <w:basedOn w:val="1"/>
    <w:uiPriority w:val="0"/>
    <w:pPr>
      <w:widowControl/>
      <w:spacing w:after="120" w:line="360" w:lineRule="auto"/>
      <w:ind w:left="1680" w:leftChars="800"/>
      <w:jc w:val="left"/>
    </w:pPr>
    <w:rPr>
      <w:rFonts w:eastAsia="宋体"/>
      <w:sz w:val="20"/>
      <w:szCs w:val="24"/>
    </w:rPr>
  </w:style>
  <w:style w:type="paragraph" w:styleId="61">
    <w:name w:val="toc 4"/>
    <w:basedOn w:val="1"/>
    <w:next w:val="1"/>
    <w:uiPriority w:val="39"/>
    <w:pPr>
      <w:ind w:left="840"/>
      <w:jc w:val="left"/>
    </w:pPr>
    <w:rPr>
      <w:szCs w:val="21"/>
    </w:rPr>
  </w:style>
  <w:style w:type="paragraph" w:styleId="62">
    <w:name w:val="index heading"/>
    <w:basedOn w:val="1"/>
    <w:next w:val="63"/>
    <w:uiPriority w:val="0"/>
    <w:pPr>
      <w:widowControl/>
      <w:autoSpaceDE w:val="0"/>
      <w:autoSpaceDN w:val="0"/>
      <w:adjustRightInd w:val="0"/>
      <w:jc w:val="left"/>
      <w:textAlignment w:val="baseline"/>
    </w:pPr>
    <w:rPr>
      <w:rFonts w:eastAsia="宋体"/>
      <w:kern w:val="0"/>
    </w:rPr>
  </w:style>
  <w:style w:type="paragraph" w:styleId="63">
    <w:name w:val="index 1"/>
    <w:basedOn w:val="1"/>
    <w:next w:val="1"/>
    <w:qFormat/>
    <w:uiPriority w:val="0"/>
    <w:rPr>
      <w:rFonts w:eastAsia="宋体"/>
      <w:sz w:val="24"/>
      <w:szCs w:val="21"/>
    </w:rPr>
  </w:style>
  <w:style w:type="paragraph" w:styleId="64">
    <w:name w:val="Subtitle"/>
    <w:basedOn w:val="1"/>
    <w:next w:val="1"/>
    <w:link w:val="216"/>
    <w:qFormat/>
    <w:uiPriority w:val="0"/>
    <w:pPr>
      <w:spacing w:line="500" w:lineRule="exact"/>
      <w:ind w:firstLine="200" w:firstLineChars="200"/>
      <w:jc w:val="left"/>
      <w:outlineLvl w:val="1"/>
    </w:pPr>
    <w:rPr>
      <w:b/>
      <w:bCs/>
      <w:kern w:val="28"/>
      <w:szCs w:val="32"/>
    </w:rPr>
  </w:style>
  <w:style w:type="paragraph" w:styleId="65">
    <w:name w:val="List Number 5"/>
    <w:basedOn w:val="1"/>
    <w:uiPriority w:val="0"/>
    <w:pPr>
      <w:tabs>
        <w:tab w:val="left" w:pos="360"/>
      </w:tabs>
      <w:ind w:left="360" w:hanging="360"/>
      <w:jc w:val="center"/>
    </w:pPr>
    <w:rPr>
      <w:b/>
      <w:szCs w:val="24"/>
    </w:rPr>
  </w:style>
  <w:style w:type="paragraph" w:styleId="66">
    <w:name w:val="List"/>
    <w:basedOn w:val="1"/>
    <w:link w:val="768"/>
    <w:qFormat/>
    <w:uiPriority w:val="0"/>
    <w:pPr>
      <w:ind w:left="200" w:hanging="200" w:hangingChars="200"/>
    </w:pPr>
    <w:rPr>
      <w:lang w:val="zh-CN" w:eastAsia="zh-CN"/>
    </w:rPr>
  </w:style>
  <w:style w:type="paragraph" w:styleId="67">
    <w:name w:val="footnote text"/>
    <w:basedOn w:val="1"/>
    <w:link w:val="821"/>
    <w:uiPriority w:val="0"/>
    <w:pPr>
      <w:snapToGrid w:val="0"/>
      <w:jc w:val="left"/>
    </w:pPr>
    <w:rPr>
      <w:sz w:val="18"/>
      <w:lang w:val="zh-CN" w:eastAsia="zh-CN"/>
    </w:rPr>
  </w:style>
  <w:style w:type="paragraph" w:styleId="68">
    <w:name w:val="toc 6"/>
    <w:basedOn w:val="1"/>
    <w:next w:val="1"/>
    <w:qFormat/>
    <w:uiPriority w:val="39"/>
    <w:pPr>
      <w:ind w:left="1400"/>
      <w:jc w:val="left"/>
    </w:pPr>
    <w:rPr>
      <w:szCs w:val="21"/>
    </w:rPr>
  </w:style>
  <w:style w:type="paragraph" w:styleId="69">
    <w:name w:val="List 5"/>
    <w:basedOn w:val="1"/>
    <w:uiPriority w:val="0"/>
    <w:pPr>
      <w:widowControl/>
      <w:spacing w:line="360" w:lineRule="auto"/>
      <w:ind w:left="100" w:leftChars="800" w:hanging="200" w:hangingChars="200"/>
      <w:jc w:val="left"/>
    </w:pPr>
    <w:rPr>
      <w:rFonts w:eastAsia="宋体"/>
      <w:sz w:val="20"/>
      <w:szCs w:val="24"/>
    </w:rPr>
  </w:style>
  <w:style w:type="paragraph" w:styleId="70">
    <w:name w:val="Body Text Indent 3"/>
    <w:basedOn w:val="1"/>
    <w:link w:val="823"/>
    <w:uiPriority w:val="0"/>
    <w:pPr>
      <w:ind w:firstLine="424" w:firstLineChars="200"/>
    </w:pPr>
    <w:rPr>
      <w:rFonts w:ascii="宋体" w:hAnsi="宋体" w:eastAsia="宋体"/>
      <w:color w:val="000000"/>
      <w:sz w:val="24"/>
      <w:lang w:val="zh-CN" w:eastAsia="zh-CN"/>
    </w:rPr>
  </w:style>
  <w:style w:type="paragraph" w:styleId="71">
    <w:name w:val="index 7"/>
    <w:basedOn w:val="1"/>
    <w:next w:val="1"/>
    <w:uiPriority w:val="0"/>
    <w:pPr>
      <w:widowControl/>
      <w:autoSpaceDE w:val="0"/>
      <w:autoSpaceDN w:val="0"/>
      <w:adjustRightInd w:val="0"/>
      <w:ind w:left="1200" w:leftChars="1200"/>
      <w:jc w:val="left"/>
      <w:textAlignment w:val="baseline"/>
    </w:pPr>
    <w:rPr>
      <w:rFonts w:eastAsia="宋体"/>
      <w:kern w:val="0"/>
    </w:rPr>
  </w:style>
  <w:style w:type="paragraph" w:styleId="72">
    <w:name w:val="index 9"/>
    <w:basedOn w:val="1"/>
    <w:next w:val="1"/>
    <w:uiPriority w:val="0"/>
    <w:pPr>
      <w:widowControl/>
      <w:autoSpaceDE w:val="0"/>
      <w:autoSpaceDN w:val="0"/>
      <w:adjustRightInd w:val="0"/>
      <w:ind w:left="1600" w:leftChars="1600"/>
      <w:jc w:val="left"/>
      <w:textAlignment w:val="baseline"/>
    </w:pPr>
    <w:rPr>
      <w:rFonts w:eastAsia="宋体"/>
      <w:kern w:val="0"/>
    </w:rPr>
  </w:style>
  <w:style w:type="paragraph" w:styleId="73">
    <w:name w:val="table of figures"/>
    <w:basedOn w:val="1"/>
    <w:next w:val="1"/>
    <w:semiHidden/>
    <w:qFormat/>
    <w:uiPriority w:val="0"/>
    <w:pPr>
      <w:spacing w:line="360" w:lineRule="auto"/>
      <w:ind w:left="400" w:leftChars="200" w:hanging="200" w:hangingChars="200"/>
    </w:pPr>
    <w:rPr>
      <w:rFonts w:eastAsia="宋体"/>
      <w:b/>
      <w:sz w:val="24"/>
      <w:szCs w:val="21"/>
    </w:rPr>
  </w:style>
  <w:style w:type="paragraph" w:styleId="74">
    <w:name w:val="toc 2"/>
    <w:basedOn w:val="1"/>
    <w:next w:val="1"/>
    <w:qFormat/>
    <w:uiPriority w:val="39"/>
    <w:pPr>
      <w:tabs>
        <w:tab w:val="left" w:pos="1120"/>
        <w:tab w:val="right" w:leader="dot" w:pos="8767"/>
      </w:tabs>
      <w:spacing w:line="0" w:lineRule="atLeast"/>
      <w:ind w:left="278"/>
      <w:jc w:val="left"/>
    </w:pPr>
    <w:rPr>
      <w:rFonts w:ascii="宋体" w:hAnsi="宋体" w:eastAsia="宋体"/>
      <w:smallCaps/>
      <w:sz w:val="21"/>
      <w:szCs w:val="21"/>
    </w:rPr>
  </w:style>
  <w:style w:type="paragraph" w:styleId="75">
    <w:name w:val="toc 9"/>
    <w:basedOn w:val="1"/>
    <w:next w:val="1"/>
    <w:qFormat/>
    <w:uiPriority w:val="39"/>
    <w:pPr>
      <w:ind w:left="2240"/>
      <w:jc w:val="left"/>
    </w:pPr>
    <w:rPr>
      <w:szCs w:val="21"/>
    </w:rPr>
  </w:style>
  <w:style w:type="paragraph" w:styleId="76">
    <w:name w:val="Body Text 2"/>
    <w:basedOn w:val="1"/>
    <w:link w:val="777"/>
    <w:qFormat/>
    <w:uiPriority w:val="0"/>
    <w:pPr>
      <w:jc w:val="center"/>
    </w:pPr>
    <w:rPr>
      <w:rFonts w:ascii="Arial" w:hAnsi="Arial" w:eastAsia="宋体"/>
      <w:sz w:val="21"/>
      <w:lang w:val="zh-CN" w:eastAsia="zh-CN"/>
    </w:rPr>
  </w:style>
  <w:style w:type="paragraph" w:styleId="77">
    <w:name w:val="List 4"/>
    <w:basedOn w:val="1"/>
    <w:uiPriority w:val="0"/>
    <w:pPr>
      <w:widowControl/>
      <w:spacing w:line="360" w:lineRule="auto"/>
      <w:ind w:left="100" w:leftChars="600" w:hanging="200" w:hangingChars="200"/>
      <w:jc w:val="left"/>
    </w:pPr>
    <w:rPr>
      <w:rFonts w:eastAsia="宋体"/>
      <w:sz w:val="20"/>
      <w:szCs w:val="24"/>
    </w:rPr>
  </w:style>
  <w:style w:type="paragraph" w:styleId="78">
    <w:name w:val="List Continue 2"/>
    <w:basedOn w:val="1"/>
    <w:uiPriority w:val="0"/>
    <w:pPr>
      <w:widowControl/>
      <w:spacing w:after="120" w:line="360" w:lineRule="auto"/>
      <w:ind w:left="840" w:leftChars="400"/>
      <w:jc w:val="left"/>
    </w:pPr>
    <w:rPr>
      <w:rFonts w:eastAsia="宋体"/>
      <w:sz w:val="20"/>
      <w:szCs w:val="24"/>
    </w:rPr>
  </w:style>
  <w:style w:type="paragraph" w:styleId="79">
    <w:name w:val="Message Header"/>
    <w:basedOn w:val="1"/>
    <w:link w:val="1283"/>
    <w:semiHidden/>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sz w:val="20"/>
      <w:szCs w:val="24"/>
    </w:rPr>
  </w:style>
  <w:style w:type="paragraph" w:styleId="80">
    <w:name w:val="HTML Preformatted"/>
    <w:basedOn w:val="1"/>
    <w:link w:val="1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 w:val="24"/>
      <w:szCs w:val="24"/>
      <w:lang w:val="zh-CN" w:eastAsia="zh-CN"/>
    </w:rPr>
  </w:style>
  <w:style w:type="paragraph" w:styleId="81">
    <w:name w:val="Normal (Web)"/>
    <w:basedOn w:val="1"/>
    <w:link w:val="1042"/>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82">
    <w:name w:val="List Continue 3"/>
    <w:basedOn w:val="1"/>
    <w:uiPriority w:val="0"/>
    <w:pPr>
      <w:widowControl/>
      <w:spacing w:after="120" w:line="360" w:lineRule="auto"/>
      <w:ind w:left="1260" w:leftChars="600"/>
      <w:jc w:val="left"/>
    </w:pPr>
    <w:rPr>
      <w:rFonts w:eastAsia="宋体"/>
      <w:sz w:val="20"/>
      <w:szCs w:val="24"/>
    </w:rPr>
  </w:style>
  <w:style w:type="paragraph" w:styleId="83">
    <w:name w:val="index 2"/>
    <w:basedOn w:val="1"/>
    <w:next w:val="1"/>
    <w:uiPriority w:val="0"/>
    <w:pPr>
      <w:widowControl/>
      <w:autoSpaceDE w:val="0"/>
      <w:autoSpaceDN w:val="0"/>
      <w:adjustRightInd w:val="0"/>
      <w:ind w:left="200" w:leftChars="200"/>
      <w:jc w:val="left"/>
      <w:textAlignment w:val="baseline"/>
    </w:pPr>
    <w:rPr>
      <w:rFonts w:eastAsia="宋体"/>
      <w:kern w:val="0"/>
    </w:rPr>
  </w:style>
  <w:style w:type="paragraph" w:styleId="84">
    <w:name w:val="Title"/>
    <w:basedOn w:val="1"/>
    <w:link w:val="825"/>
    <w:qFormat/>
    <w:uiPriority w:val="0"/>
    <w:pPr>
      <w:tabs>
        <w:tab w:val="left" w:pos="720"/>
      </w:tabs>
      <w:spacing w:line="500" w:lineRule="atLeast"/>
      <w:jc w:val="center"/>
      <w:outlineLvl w:val="0"/>
    </w:pPr>
    <w:rPr>
      <w:rFonts w:ascii="Arial" w:hAnsi="Arial" w:eastAsia="黑体"/>
      <w:sz w:val="36"/>
      <w:szCs w:val="24"/>
      <w:lang w:val="zh-CN" w:eastAsia="zh-CN"/>
    </w:rPr>
  </w:style>
  <w:style w:type="paragraph" w:styleId="85">
    <w:name w:val="annotation subject"/>
    <w:basedOn w:val="27"/>
    <w:next w:val="27"/>
    <w:link w:val="824"/>
    <w:uiPriority w:val="0"/>
    <w:pPr>
      <w:spacing w:line="360" w:lineRule="auto"/>
      <w:ind w:firstLine="200" w:firstLineChars="200"/>
    </w:pPr>
    <w:rPr>
      <w:rFonts w:ascii="Arial" w:hAnsi="Arial" w:eastAsia="宋体"/>
      <w:b/>
      <w:bCs/>
      <w:sz w:val="24"/>
      <w:szCs w:val="24"/>
    </w:rPr>
  </w:style>
  <w:style w:type="paragraph" w:styleId="86">
    <w:name w:val="Body Text First Indent 2"/>
    <w:basedOn w:val="34"/>
    <w:link w:val="1826"/>
    <w:qFormat/>
    <w:uiPriority w:val="0"/>
    <w:pPr>
      <w:tabs>
        <w:tab w:val="left" w:pos="0"/>
        <w:tab w:val="left" w:pos="870"/>
        <w:tab w:val="left" w:pos="3150"/>
      </w:tabs>
      <w:autoSpaceDE w:val="0"/>
      <w:autoSpaceDN w:val="0"/>
      <w:adjustRightInd w:val="0"/>
      <w:spacing w:line="360" w:lineRule="auto"/>
      <w:ind w:firstLine="527"/>
      <w:textAlignment w:val="baseline"/>
    </w:pPr>
    <w:rPr>
      <w:rFonts w:ascii="宋体"/>
      <w:sz w:val="24"/>
      <w:szCs w:val="28"/>
    </w:rPr>
  </w:style>
  <w:style w:type="table" w:styleId="88">
    <w:name w:val="Table Grid"/>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89">
    <w:name w:val="Table Theme"/>
    <w:basedOn w:val="8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0">
    <w:name w:val="Table Colorful 1"/>
    <w:basedOn w:val="87"/>
    <w:uiPriority w:val="0"/>
    <w:pPr>
      <w:widowControl w:val="0"/>
      <w:spacing w:line="360" w:lineRule="auto"/>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Pr>
    <w:tcPr>
      <w:shd w:val="solid" w:color="008080" w:fill="FFFFFF"/>
    </w:tcPr>
    <w:tblStylePr w:type="firstRow">
      <w:rPr>
        <w:b/>
        <w:bCs/>
        <w:i/>
        <w:iCs/>
      </w:rPr>
      <w:tblPr>
        <w:tblLayout w:type="fixed"/>
      </w:tblPr>
      <w:tcPr>
        <w:tcBorders>
          <w:tl2br w:val="nil"/>
          <w:tr2bl w:val="nil"/>
        </w:tcBorders>
        <w:shd w:val="solid" w:color="000000" w:fill="FFFFFF"/>
      </w:tcPr>
    </w:tblStylePr>
    <w:tblStylePr w:type="firstCol">
      <w:rPr>
        <w:b/>
        <w:bCs/>
        <w:i/>
        <w:iCs/>
      </w:rPr>
      <w:tblPr>
        <w:tblLayout w:type="fixed"/>
      </w:tblPr>
      <w:tcPr>
        <w:tcBorders>
          <w:tl2br w:val="nil"/>
          <w:tr2bl w:val="nil"/>
        </w:tcBorders>
        <w:shd w:val="solid" w:color="000080" w:fill="FFFFFF"/>
      </w:tcPr>
    </w:tblStylePr>
    <w:tblStylePr w:type="nwCell">
      <w:tblPr>
        <w:tblLayout w:type="fixed"/>
      </w:tblPr>
      <w:tcPr>
        <w:tcBorders>
          <w:tl2br w:val="nil"/>
          <w:tr2bl w:val="nil"/>
        </w:tcBorders>
        <w:shd w:val="solid" w:color="000000" w:fill="FFFFFF"/>
      </w:tcPr>
    </w:tblStylePr>
    <w:tblStylePr w:type="swCell">
      <w:rPr>
        <w:b/>
        <w:bCs/>
        <w:i w:val="0"/>
        <w:iCs w:val="0"/>
      </w:rPr>
      <w:tblPr>
        <w:tblLayout w:type="fixed"/>
      </w:tblPr>
      <w:tcPr>
        <w:tcBorders>
          <w:tl2br w:val="nil"/>
          <w:tr2bl w:val="nil"/>
        </w:tcBorders>
      </w:tcPr>
    </w:tblStylePr>
  </w:style>
  <w:style w:type="table" w:styleId="91">
    <w:name w:val="Table Colorful 2"/>
    <w:basedOn w:val="87"/>
    <w:uiPriority w:val="0"/>
    <w:pPr>
      <w:widowControl w:val="0"/>
      <w:spacing w:line="360" w:lineRule="auto"/>
      <w:jc w:val="both"/>
    </w:pPr>
    <w:tblPr>
      <w:tblBorders>
        <w:bottom w:val="single" w:color="000000" w:sz="12" w:space="0"/>
      </w:tblBorders>
      <w:tblLayout w:type="fixed"/>
    </w:tblPr>
    <w:tcPr>
      <w:shd w:val="pct20" w:color="FFFF00" w:fill="FFFFFF"/>
    </w:tcPr>
    <w:tblStylePr w:type="firstRow">
      <w:rPr>
        <w:b/>
        <w:bCs/>
        <w:i/>
        <w:iCs/>
        <w:color w:val="FFFFFF"/>
      </w:rPr>
      <w:tblPr>
        <w:tblLayout w:type="fixed"/>
      </w:tblPr>
      <w:tcPr>
        <w:tcBorders>
          <w:bottom w:val="single" w:color="000000" w:sz="12" w:space="0"/>
          <w:tl2br w:val="nil"/>
          <w:tr2bl w:val="nil"/>
        </w:tcBorders>
        <w:shd w:val="solid" w:color="800000" w:fill="FFFFFF"/>
      </w:tcPr>
    </w:tblStylePr>
    <w:tblStylePr w:type="firstCol">
      <w:rPr>
        <w:b/>
        <w:bCs/>
        <w:i/>
        <w:iCs/>
      </w:rPr>
      <w:tblPr>
        <w:tblLayout w:type="fixed"/>
      </w:tblPr>
      <w:tcPr>
        <w:tcBorders>
          <w:tl2br w:val="nil"/>
          <w:tr2bl w:val="nil"/>
        </w:tcBorders>
      </w:tcPr>
    </w:tblStylePr>
    <w:tblStylePr w:type="lastCol">
      <w:tblPr>
        <w:tblLayout w:type="fixed"/>
      </w:tblPr>
      <w:tcPr>
        <w:tcBorders>
          <w:tl2br w:val="nil"/>
          <w:tr2bl w:val="nil"/>
        </w:tcBorders>
        <w:shd w:val="solid" w:color="C0C0C0" w:fill="FFFFFF"/>
      </w:tcPr>
    </w:tblStylePr>
    <w:tblStylePr w:type="swCell">
      <w:rPr>
        <w:b/>
        <w:bCs/>
        <w:i w:val="0"/>
        <w:iCs w:val="0"/>
      </w:rPr>
      <w:tblPr>
        <w:tblLayout w:type="fixed"/>
      </w:tblPr>
      <w:tcPr>
        <w:tcBorders>
          <w:tl2br w:val="nil"/>
          <w:tr2bl w:val="nil"/>
        </w:tcBorders>
      </w:tcPr>
    </w:tblStylePr>
  </w:style>
  <w:style w:type="table" w:styleId="92">
    <w:name w:val="Table Colorful 3"/>
    <w:basedOn w:val="87"/>
    <w:uiPriority w:val="0"/>
    <w:pPr>
      <w:widowControl w:val="0"/>
      <w:spacing w:line="360" w:lineRule="auto"/>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tblPr>
        <w:tblLayout w:type="fixed"/>
      </w:tblPr>
      <w:tcPr>
        <w:tcBorders>
          <w:bottom w:val="single" w:color="000000" w:sz="6" w:space="0"/>
          <w:tl2br w:val="nil"/>
          <w:tr2bl w:val="nil"/>
        </w:tcBorders>
        <w:shd w:val="solid" w:color="008080" w:fill="FFFFFF"/>
      </w:tcPr>
    </w:tblStylePr>
    <w:tblStylePr w:type="firstCol">
      <w:tblPr>
        <w:tblLayout w:type="fixed"/>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blLayout w:type="fixed"/>
      </w:tblPr>
      <w:tcPr>
        <w:tcBorders>
          <w:tl2br w:val="nil"/>
          <w:tr2bl w:val="nil"/>
        </w:tcBorders>
        <w:shd w:val="solid" w:color="000000" w:fill="FFFFFF"/>
      </w:tcPr>
    </w:tblStylePr>
  </w:style>
  <w:style w:type="table" w:styleId="93">
    <w:name w:val="Table Elegant"/>
    <w:basedOn w:val="87"/>
    <w:uiPriority w:val="0"/>
    <w:pPr>
      <w:widowControl w:val="0"/>
      <w:spacing w:line="360" w:lineRule="auto"/>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94">
    <w:name w:val="Table Classic 1"/>
    <w:basedOn w:val="87"/>
    <w:uiPriority w:val="0"/>
    <w:pPr>
      <w:widowControl w:val="0"/>
      <w:spacing w:line="360" w:lineRule="auto"/>
      <w:jc w:val="both"/>
    </w:pPr>
    <w:tblPr>
      <w:tblBorders>
        <w:top w:val="single" w:color="000000" w:sz="12" w:space="0"/>
        <w:bottom w:val="single" w:color="000000" w:sz="12" w:space="0"/>
      </w:tblBorders>
      <w:tblLayout w:type="fixed"/>
    </w:tblPr>
    <w:tcPr>
      <w:shd w:val="clear" w:color="auto" w:fill="auto"/>
    </w:tcPr>
    <w:tblStylePr w:type="firstRow">
      <w:rPr>
        <w:i/>
        <w:i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tblPr>
        <w:tblLayout w:type="fixed"/>
      </w:tblPr>
      <w:tcPr>
        <w:tcBorders>
          <w:right w:val="single" w:color="000000" w:sz="6" w:space="0"/>
          <w:tl2br w:val="nil"/>
          <w:tr2bl w:val="nil"/>
        </w:tcBorders>
      </w:tcPr>
    </w:tblStylePr>
    <w:tblStylePr w:type="neCell">
      <w:rPr>
        <w:b/>
        <w:bCs/>
        <w:i w:val="0"/>
        <w:iCs w:val="0"/>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95">
    <w:name w:val="Table Classic 2"/>
    <w:basedOn w:val="87"/>
    <w:uiPriority w:val="0"/>
    <w:pPr>
      <w:widowControl w:val="0"/>
      <w:spacing w:line="360" w:lineRule="auto"/>
      <w:jc w:val="both"/>
    </w:pPr>
    <w:tblPr>
      <w:tblBorders>
        <w:top w:val="single" w:color="000000" w:sz="12" w:space="0"/>
        <w:bottom w:val="single" w:color="000000" w:sz="12" w:space="0"/>
      </w:tblBorders>
      <w:tblLayout w:type="fixed"/>
    </w:tblPr>
    <w:tcPr>
      <w:shd w:val="clear" w:color="auto" w:fill="auto"/>
    </w:tcPr>
    <w:tblStylePr w:type="firstRow">
      <w:rPr>
        <w:color w:val="FFFFFF"/>
      </w:rPr>
      <w:tblPr>
        <w:tblLayout w:type="fixed"/>
      </w:tblPr>
      <w:tcPr>
        <w:tcBorders>
          <w:bottom w:val="single" w:color="000000" w:sz="6" w:space="0"/>
          <w:tl2br w:val="nil"/>
          <w:tr2bl w:val="nil"/>
        </w:tcBorders>
        <w:shd w:val="solid" w:color="800080" w:fill="FFFFFF"/>
      </w:tcPr>
    </w:tblStylePr>
    <w:tblStylePr w:type="lastRow">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shd w:val="solid" w:color="C0C0C0" w:fill="FFFFFF"/>
      </w:tcPr>
    </w:tblStylePr>
    <w:tblStylePr w:type="neCell">
      <w:rPr>
        <w:b/>
        <w:bCs/>
      </w:rPr>
      <w:tblPr>
        <w:tblLayout w:type="fixed"/>
      </w:tblPr>
      <w:tcPr>
        <w:tcBorders>
          <w:tl2br w:val="nil"/>
          <w:tr2bl w:val="nil"/>
        </w:tcBorders>
      </w:tcPr>
    </w:tblStylePr>
    <w:tblStylePr w:type="nwCell">
      <w:tblPr>
        <w:tblLayout w:type="fixed"/>
      </w:tblPr>
      <w:tcPr>
        <w:tcBorders>
          <w:tl2br w:val="nil"/>
          <w:tr2bl w:val="nil"/>
        </w:tcBorders>
        <w:shd w:val="solid" w:color="800080" w:fill="FFFFFF"/>
      </w:tcPr>
    </w:tblStylePr>
    <w:tblStylePr w:type="swCell">
      <w:rPr>
        <w:color w:val="000080"/>
      </w:rPr>
      <w:tblPr>
        <w:tblLayout w:type="fixed"/>
      </w:tblPr>
      <w:tcPr>
        <w:tcBorders>
          <w:tl2br w:val="nil"/>
          <w:tr2bl w:val="nil"/>
        </w:tcBorders>
      </w:tcPr>
    </w:tblStylePr>
  </w:style>
  <w:style w:type="table" w:styleId="96">
    <w:name w:val="Table Classic 3"/>
    <w:basedOn w:val="87"/>
    <w:uiPriority w:val="0"/>
    <w:pPr>
      <w:widowControl w:val="0"/>
      <w:spacing w:line="360" w:lineRule="auto"/>
      <w:jc w:val="both"/>
    </w:pPr>
    <w:rPr>
      <w:color w:val="000080"/>
    </w:rPr>
    <w:tblPr>
      <w:tblBorders>
        <w:top w:val="single" w:color="000000" w:sz="12" w:space="0"/>
        <w:left w:val="single" w:color="000000" w:sz="12" w:space="0"/>
        <w:bottom w:val="single" w:color="000000" w:sz="12" w:space="0"/>
        <w:right w:val="single" w:color="000000" w:sz="12" w:space="0"/>
      </w:tblBorders>
      <w:tblLayout w:type="fixed"/>
    </w:tblPr>
    <w:tcPr>
      <w:shd w:val="solid" w:color="C0C0C0" w:fill="FFFFFF"/>
    </w:tcPr>
    <w:tblStylePr w:type="firstRow">
      <w:rPr>
        <w:b/>
        <w:bCs/>
        <w:i/>
        <w:iCs/>
        <w:color w:val="FFFFFF"/>
      </w:rPr>
      <w:tblPr>
        <w:tblLayout w:type="fixed"/>
      </w:tblPr>
      <w:tcPr>
        <w:tcBorders>
          <w:bottom w:val="single" w:color="000000" w:sz="6" w:space="0"/>
          <w:tl2br w:val="nil"/>
          <w:tr2bl w:val="nil"/>
        </w:tcBorders>
        <w:shd w:val="solid" w:color="000080" w:fill="FFFFFF"/>
      </w:tcPr>
    </w:tblStylePr>
    <w:tblStylePr w:type="lastRow">
      <w:rPr>
        <w:color w:val="000080"/>
      </w:rPr>
      <w:tblPr>
        <w:tblLayout w:type="fixed"/>
      </w:tblPr>
      <w:tcPr>
        <w:tcBorders>
          <w:top w:val="single" w:color="000000" w:sz="12" w:space="0"/>
          <w:tl2br w:val="nil"/>
          <w:tr2bl w:val="nil"/>
        </w:tcBorders>
        <w:shd w:val="solid" w:color="FFFFFF" w:fill="FFFFFF"/>
      </w:tcPr>
    </w:tblStylePr>
    <w:tblStylePr w:type="firstCol">
      <w:rPr>
        <w:b/>
        <w:bCs/>
        <w:color w:val="000000"/>
      </w:rPr>
      <w:tblPr>
        <w:tblLayout w:type="fixed"/>
      </w:tblPr>
      <w:tcPr>
        <w:tcBorders>
          <w:tl2br w:val="nil"/>
          <w:tr2bl w:val="nil"/>
        </w:tcBorders>
      </w:tcPr>
    </w:tblStylePr>
  </w:style>
  <w:style w:type="table" w:styleId="97">
    <w:name w:val="Table Classic 4"/>
    <w:basedOn w:val="87"/>
    <w:uiPriority w:val="0"/>
    <w:pPr>
      <w:widowControl w:val="0"/>
      <w:spacing w:line="360" w:lineRule="auto"/>
      <w:jc w:val="both"/>
    </w:pPr>
    <w:tblPr>
      <w:tblBorders>
        <w:top w:val="single" w:color="000000" w:sz="12" w:space="0"/>
        <w:left w:val="single" w:color="000000" w:sz="6" w:space="0"/>
        <w:bottom w:val="single" w:color="000000" w:sz="12" w:space="0"/>
        <w:right w:val="single" w:color="000000" w:sz="6" w:space="0"/>
      </w:tblBorders>
      <w:tblLayout w:type="fixed"/>
    </w:tblPr>
    <w:tcPr>
      <w:shd w:val="clear" w:color="auto" w:fill="auto"/>
    </w:tcPr>
    <w:tblStylePr w:type="firstRow">
      <w:rPr>
        <w:b/>
        <w:bCs/>
        <w:i/>
        <w:iCs/>
        <w:color w:val="FFFFFF"/>
      </w:rPr>
      <w:tblPr>
        <w:tblLayout w:type="fixed"/>
      </w:tblPr>
      <w:tcPr>
        <w:tcBorders>
          <w:bottom w:val="single" w:color="000000" w:sz="6" w:space="0"/>
          <w:tl2br w:val="nil"/>
          <w:tr2bl w:val="nil"/>
        </w:tcBorders>
        <w:shd w:val="pct50" w:color="000080" w:fill="FFFFFF"/>
      </w:tcPr>
    </w:tblStylePr>
    <w:tblStylePr w:type="lastRow">
      <w:rPr>
        <w:color w:val="000080"/>
      </w:rPr>
      <w:tblPr>
        <w:tblLayout w:type="fixed"/>
      </w:tblPr>
      <w:tcPr>
        <w:tcBorders>
          <w:bottom w:val="single" w:color="000000" w:sz="6" w:space="0"/>
          <w:tl2br w:val="nil"/>
          <w:tr2bl w:val="nil"/>
        </w:tcBorders>
        <w:shd w:val="pct50" w:color="000000" w:fill="FFFFFF"/>
      </w:tcPr>
    </w:tblStylePr>
    <w:tblStylePr w:type="firstCol">
      <w:rPr>
        <w:b/>
        <w:bCs/>
      </w:rPr>
      <w:tblPr>
        <w:tblLayout w:type="fixed"/>
      </w:tblPr>
      <w:tcPr>
        <w:tcBorders>
          <w:tl2br w:val="nil"/>
          <w:tr2bl w:val="nil"/>
        </w:tcBorders>
      </w:tcPr>
    </w:tblStylePr>
    <w:tblStylePr w:type="nwCell">
      <w:rPr>
        <w:b/>
        <w:bCs/>
      </w:rPr>
      <w:tblPr>
        <w:tblLayout w:type="fixed"/>
      </w:tblPr>
      <w:tcPr>
        <w:tcBorders>
          <w:tl2br w:val="nil"/>
          <w:tr2bl w:val="nil"/>
        </w:tcBorders>
      </w:tcPr>
    </w:tblStylePr>
    <w:tblStylePr w:type="swCell">
      <w:rPr>
        <w:color w:val="000080"/>
      </w:rPr>
      <w:tblPr>
        <w:tblLayout w:type="fixed"/>
      </w:tblPr>
      <w:tcPr>
        <w:tcBorders>
          <w:tl2br w:val="nil"/>
          <w:tr2bl w:val="nil"/>
        </w:tcBorders>
      </w:tcPr>
    </w:tblStylePr>
  </w:style>
  <w:style w:type="table" w:styleId="98">
    <w:name w:val="Table Simple 1"/>
    <w:basedOn w:val="87"/>
    <w:uiPriority w:val="0"/>
    <w:pPr>
      <w:widowControl w:val="0"/>
      <w:spacing w:line="0" w:lineRule="atLeast"/>
      <w:jc w:val="both"/>
    </w:pPr>
    <w:tblPr>
      <w:jc w:val="center"/>
      <w:tblBorders>
        <w:top w:val="single" w:color="008000" w:sz="12" w:space="0"/>
        <w:bottom w:val="single" w:color="008000" w:sz="12" w:space="0"/>
        <w:insideH w:val="single" w:color="008000" w:sz="2" w:space="0"/>
        <w:insideV w:val="single" w:color="008000" w:sz="2" w:space="0"/>
      </w:tblBorders>
      <w:tblLayout w:type="fixed"/>
    </w:tblPr>
    <w:trPr>
      <w:jc w:val="center"/>
    </w:trPr>
    <w:tcPr>
      <w:shd w:val="clear" w:color="auto" w:fill="auto"/>
      <w:vAlign w:val="center"/>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99">
    <w:name w:val="Table Simple 2"/>
    <w:basedOn w:val="87"/>
    <w:uiPriority w:val="0"/>
    <w:pPr>
      <w:widowControl w:val="0"/>
      <w:spacing w:line="360" w:lineRule="auto"/>
      <w:jc w:val="both"/>
    </w:pPr>
    <w:tblPr>
      <w:tblLayout w:type="fixed"/>
    </w:tblPr>
    <w:tblStylePr w:type="firstRow">
      <w:rPr>
        <w:b/>
        <w:bCs/>
      </w:rPr>
      <w:tblPr>
        <w:tblLayout w:type="fixed"/>
      </w:tblPr>
      <w:tcPr>
        <w:tcBorders>
          <w:bottom w:val="single" w:color="000000" w:sz="12" w:space="0"/>
          <w:tl2br w:val="nil"/>
          <w:tr2bl w:val="nil"/>
        </w:tcBorders>
      </w:tcPr>
    </w:tblStylePr>
    <w:tblStylePr w:type="lastRow">
      <w:rPr>
        <w:b/>
        <w:bCs/>
        <w:color w:val="auto"/>
      </w:rPr>
      <w:tblPr>
        <w:tblLayout w:type="fixed"/>
      </w:tblPr>
      <w:tcPr>
        <w:tcBorders>
          <w:top w:val="single" w:color="000000" w:sz="6"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lastCol">
      <w:rPr>
        <w:b/>
        <w:bCs/>
      </w:rPr>
      <w:tblPr>
        <w:tblLayout w:type="fixed"/>
      </w:tblPr>
      <w:tcPr>
        <w:tcBorders>
          <w:left w:val="single" w:color="000000" w:sz="6" w:space="0"/>
          <w:tl2br w:val="nil"/>
          <w:tr2bl w:val="nil"/>
        </w:tcBorders>
      </w:tcPr>
    </w:tblStylePr>
    <w:tblStylePr w:type="neCell">
      <w:rPr>
        <w:b/>
        <w:bCs/>
      </w:rPr>
      <w:tblPr>
        <w:tblLayout w:type="fixed"/>
      </w:tblPr>
      <w:tcPr>
        <w:tcBorders>
          <w:left w:val="nil"/>
          <w:tl2br w:val="nil"/>
          <w:tr2bl w:val="nil"/>
        </w:tcBorders>
      </w:tcPr>
    </w:tblStylePr>
    <w:tblStylePr w:type="swCell">
      <w:rPr>
        <w:b/>
        <w:bCs/>
      </w:rPr>
      <w:tblPr>
        <w:tblLayout w:type="fixed"/>
      </w:tblPr>
      <w:tcPr>
        <w:tcBorders>
          <w:top w:val="nil"/>
          <w:tl2br w:val="nil"/>
          <w:tr2bl w:val="nil"/>
        </w:tcBorders>
      </w:tcPr>
    </w:tblStylePr>
  </w:style>
  <w:style w:type="table" w:styleId="100">
    <w:name w:val="Table Simple 3"/>
    <w:basedOn w:val="87"/>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tblBorders>
      <w:tblLayout w:type="fixed"/>
    </w:tblPr>
    <w:tcPr>
      <w:shd w:val="clear" w:color="auto" w:fill="auto"/>
    </w:tcPr>
    <w:tblStylePr w:type="firstRow">
      <w:rPr>
        <w:b/>
        <w:bCs/>
        <w:color w:val="FFFFFF"/>
      </w:rPr>
      <w:tblPr>
        <w:tblLayout w:type="fixed"/>
      </w:tblPr>
      <w:tcPr>
        <w:tcBorders>
          <w:tl2br w:val="nil"/>
          <w:tr2bl w:val="nil"/>
        </w:tcBorders>
        <w:shd w:val="solid" w:color="000000" w:fill="FFFFFF"/>
      </w:tcPr>
    </w:tblStylePr>
  </w:style>
  <w:style w:type="table" w:styleId="101">
    <w:name w:val="Table Subtle 1"/>
    <w:basedOn w:val="87"/>
    <w:uiPriority w:val="0"/>
    <w:pPr>
      <w:widowControl w:val="0"/>
      <w:spacing w:line="360" w:lineRule="auto"/>
      <w:jc w:val="both"/>
    </w:pPr>
    <w:tblPr>
      <w:tblStyleRowBandSize w:val="1"/>
      <w:tblLayout w:type="fixed"/>
    </w:tblPr>
    <w:tblStylePr w:type="firstRow">
      <w:tblPr>
        <w:tblLayout w:type="fixed"/>
      </w:tblPr>
      <w:tcPr>
        <w:tcBorders>
          <w:top w:val="single" w:color="000000" w:sz="6" w:space="0"/>
          <w:bottom w:val="single" w:color="000000" w:sz="12" w:space="0"/>
          <w:tl2br w:val="nil"/>
          <w:tr2bl w:val="nil"/>
        </w:tcBorders>
      </w:tcPr>
    </w:tblStylePr>
    <w:tblStylePr w:type="lastRow">
      <w:tblPr>
        <w:tblLayout w:type="fixed"/>
      </w:tblPr>
      <w:tcPr>
        <w:tcBorders>
          <w:top w:val="single" w:color="000000" w:sz="12" w:space="0"/>
          <w:tl2br w:val="nil"/>
          <w:tr2bl w:val="nil"/>
        </w:tcBorders>
        <w:shd w:val="pct25" w:color="800080" w:fill="FFFFFF"/>
      </w:tcPr>
    </w:tblStylePr>
    <w:tblStylePr w:type="firstCol">
      <w:tblPr>
        <w:tblLayout w:type="fixed"/>
      </w:tblPr>
      <w:tcPr>
        <w:tcBorders>
          <w:right w:val="single" w:color="000000" w:sz="12" w:space="0"/>
          <w:tl2br w:val="nil"/>
          <w:tr2bl w:val="nil"/>
        </w:tcBorders>
      </w:tcPr>
    </w:tblStylePr>
    <w:tblStylePr w:type="lastCol">
      <w:tblPr>
        <w:tblLayout w:type="fixed"/>
      </w:tblPr>
      <w:tcPr>
        <w:tcBorders>
          <w:left w:val="single" w:color="000000" w:sz="12" w:space="0"/>
          <w:tl2br w:val="nil"/>
          <w:tr2bl w:val="nil"/>
        </w:tcBorders>
      </w:tcPr>
    </w:tblStylePr>
    <w:tblStylePr w:type="band1Horz">
      <w:tblPr>
        <w:tblLayout w:type="fixed"/>
      </w:tblPr>
      <w:tcPr>
        <w:tcBorders>
          <w:bottom w:val="single" w:color="000000" w:sz="6"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2">
    <w:name w:val="Table Subtle 2"/>
    <w:basedOn w:val="87"/>
    <w:uiPriority w:val="0"/>
    <w:pPr>
      <w:widowControl w:val="0"/>
      <w:spacing w:line="360" w:lineRule="auto"/>
      <w:jc w:val="both"/>
    </w:pPr>
    <w:tblPr>
      <w:tblBorders>
        <w:left w:val="single" w:color="000000" w:sz="6" w:space="0"/>
        <w:right w:val="single" w:color="000000" w:sz="6" w:space="0"/>
      </w:tblBorders>
      <w:tblLayout w:type="fixed"/>
    </w:tblPr>
    <w:tblStylePr w:type="firstRow">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firstCol">
      <w:tblPr>
        <w:tblLayout w:type="fixed"/>
      </w:tblPr>
      <w:tcPr>
        <w:tcBorders>
          <w:right w:val="single" w:color="000000" w:sz="12" w:space="0"/>
          <w:tl2br w:val="nil"/>
          <w:tr2bl w:val="nil"/>
        </w:tcBorders>
        <w:shd w:val="pct25" w:color="008000" w:fill="FFFFFF"/>
      </w:tcPr>
    </w:tblStylePr>
    <w:tblStylePr w:type="lastCol">
      <w:tblPr>
        <w:tblLayout w:type="fixed"/>
      </w:tblPr>
      <w:tcPr>
        <w:tcBorders>
          <w:left w:val="single" w:color="000000" w:sz="12" w:space="0"/>
          <w:tl2br w:val="nil"/>
          <w:tr2bl w:val="nil"/>
        </w:tcBorders>
        <w:shd w:val="pct25" w:color="8080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3">
    <w:name w:val="Table 3D effects 1"/>
    <w:basedOn w:val="87"/>
    <w:uiPriority w:val="0"/>
    <w:pPr>
      <w:widowControl w:val="0"/>
      <w:spacing w:line="360" w:lineRule="auto"/>
      <w:jc w:val="both"/>
    </w:pPr>
    <w:tblPr>
      <w:tblLayout w:type="fixed"/>
    </w:tblPr>
    <w:tcPr>
      <w:shd w:val="solid" w:color="C0C0C0" w:fill="FFFFFF"/>
    </w:tcPr>
    <w:tblStylePr w:type="firstRow">
      <w:rPr>
        <w:b/>
        <w:bCs/>
        <w:color w:val="800080"/>
      </w:rPr>
      <w:tblPr>
        <w:tblLayout w:type="fixed"/>
      </w:tblPr>
      <w:tcPr>
        <w:tcBorders>
          <w:bottom w:val="single" w:color="808080" w:sz="6" w:space="0"/>
          <w:tl2br w:val="nil"/>
          <w:tr2bl w:val="nil"/>
        </w:tcBorders>
      </w:tcPr>
    </w:tblStylePr>
    <w:tblStylePr w:type="lastRow">
      <w:tblPr>
        <w:tblLayout w:type="fixed"/>
      </w:tblPr>
      <w:tcPr>
        <w:tcBorders>
          <w:top w:val="single" w:color="FFFFFF" w:sz="6" w:space="0"/>
          <w:tl2br w:val="nil"/>
          <w:tr2bl w:val="nil"/>
        </w:tcBorders>
      </w:tcPr>
    </w:tblStylePr>
    <w:tblStylePr w:type="firstCol">
      <w:rPr>
        <w:b/>
        <w:bCs/>
      </w:rPr>
      <w:tblPr>
        <w:tblLayout w:type="fixed"/>
      </w:tblPr>
      <w:tcPr>
        <w:tcBorders>
          <w:right w:val="single" w:color="808080" w:sz="6" w:space="0"/>
          <w:tl2br w:val="nil"/>
          <w:tr2bl w:val="nil"/>
        </w:tcBorders>
      </w:tcPr>
    </w:tblStylePr>
    <w:tblStylePr w:type="lastCol">
      <w:tblPr>
        <w:tblLayout w:type="fixed"/>
      </w:tblPr>
      <w:tcPr>
        <w:tcBorders>
          <w:left w:val="single" w:color="FFFFFF" w:sz="6" w:space="0"/>
          <w:tl2br w:val="nil"/>
          <w:tr2bl w:val="nil"/>
        </w:tcBorders>
      </w:tcPr>
    </w:tblStylePr>
    <w:tblStylePr w:type="neCell">
      <w:tblPr>
        <w:tblLayout w:type="fixed"/>
      </w:tblPr>
      <w:tcPr>
        <w:tcBorders>
          <w:left w:val="nil"/>
          <w:bottom w:val="nil"/>
          <w:tl2br w:val="nil"/>
          <w:tr2bl w:val="nil"/>
        </w:tcBorders>
      </w:tcPr>
    </w:tblStylePr>
    <w:tblStylePr w:type="nwCell">
      <w:tblPr>
        <w:tblLayout w:type="fixed"/>
      </w:tblPr>
      <w:tcPr>
        <w:tcBorders>
          <w:bottom w:val="nil"/>
          <w:right w:val="nil"/>
          <w:tl2br w:val="nil"/>
          <w:tr2bl w:val="nil"/>
        </w:tcBorders>
      </w:tcPr>
    </w:tblStylePr>
    <w:tblStylePr w:type="seCell">
      <w:tblPr>
        <w:tblLayout w:type="fixed"/>
      </w:tblPr>
      <w:tcPr>
        <w:tcBorders>
          <w:top w:val="nil"/>
          <w:left w:val="nil"/>
          <w:tl2br w:val="nil"/>
          <w:tr2bl w:val="nil"/>
        </w:tcBorders>
      </w:tcPr>
    </w:tblStylePr>
    <w:tblStylePr w:type="swCell">
      <w:rPr>
        <w:color w:val="000080"/>
      </w:rPr>
      <w:tblPr>
        <w:tblLayout w:type="fixed"/>
      </w:tblPr>
      <w:tcPr>
        <w:tcBorders>
          <w:top w:val="nil"/>
          <w:right w:val="nil"/>
          <w:tl2br w:val="nil"/>
          <w:tr2bl w:val="nil"/>
        </w:tcBorders>
      </w:tcPr>
    </w:tblStylePr>
  </w:style>
  <w:style w:type="table" w:styleId="104">
    <w:name w:val="Table 3D effects 2"/>
    <w:basedOn w:val="87"/>
    <w:uiPriority w:val="0"/>
    <w:pPr>
      <w:widowControl w:val="0"/>
      <w:spacing w:line="360" w:lineRule="auto"/>
      <w:jc w:val="both"/>
    </w:pPr>
    <w:tblPr>
      <w:tblStyleRowBandSize w:val="1"/>
      <w:tblLayout w:type="fixed"/>
    </w:tblPr>
    <w:tcPr>
      <w:shd w:val="solid" w:color="C0C0C0" w:fill="FFFFFF"/>
    </w:tc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05">
    <w:name w:val="Table 3D effects 3"/>
    <w:basedOn w:val="87"/>
    <w:uiPriority w:val="0"/>
    <w:pPr>
      <w:widowControl w:val="0"/>
      <w:spacing w:line="360" w:lineRule="auto"/>
      <w:jc w:val="both"/>
    </w:pPr>
    <w:tblPr>
      <w:tblStyleRowBandSize w:val="1"/>
      <w:tblStyleColBandSize w:val="1"/>
      <w:tblLayout w:type="fixed"/>
    </w:tblPr>
    <w:tblStylePr w:type="firstRow">
      <w:rPr>
        <w:b/>
        <w:bCs/>
      </w:rPr>
      <w:tblPr>
        <w:tblLayout w:type="fixed"/>
      </w:tblPr>
      <w:tcPr>
        <w:tcBorders>
          <w:tl2br w:val="nil"/>
          <w:tr2bl w:val="nil"/>
        </w:tcBorders>
      </w:tcPr>
    </w:tblStylePr>
    <w:tblStylePr w:type="firstCol">
      <w:tblPr>
        <w:tblLayout w:type="fixed"/>
      </w:tblPr>
      <w:tcPr>
        <w:tcBorders>
          <w:top w:val="nil"/>
          <w:bottom w:val="nil"/>
          <w:right w:val="single" w:color="808080" w:sz="6" w:space="0"/>
          <w:tl2br w:val="nil"/>
          <w:tr2bl w:val="nil"/>
        </w:tcBorders>
      </w:tcPr>
    </w:tblStylePr>
    <w:tblStylePr w:type="lastCol">
      <w:tblPr>
        <w:tblLayout w:type="fixed"/>
      </w:tblPr>
      <w:tcPr>
        <w:tcBorders>
          <w:right w:val="single" w:color="FFFFFF" w:sz="6" w:space="0"/>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50" w:color="C0C0C0" w:fill="FFFFFF"/>
      </w:tcPr>
    </w:tblStylePr>
    <w:tblStylePr w:type="band1Horz">
      <w:tblPr>
        <w:tblLayout w:type="fixed"/>
      </w:tblPr>
      <w:tcPr>
        <w:tcBorders>
          <w:top w:val="single" w:color="808080" w:sz="6" w:space="0"/>
          <w:bottom w:val="single" w:color="FFFFFF" w:sz="6" w:space="0"/>
          <w:tl2br w:val="nil"/>
          <w:tr2bl w:val="nil"/>
        </w:tcBorders>
      </w:tcPr>
    </w:tblStylePr>
    <w:tblStylePr w:type="swCell">
      <w:rPr>
        <w:b/>
        <w:bCs/>
      </w:rPr>
      <w:tblPr>
        <w:tblLayout w:type="fixed"/>
      </w:tblPr>
      <w:tcPr>
        <w:tcBorders>
          <w:tl2br w:val="nil"/>
          <w:tr2bl w:val="nil"/>
        </w:tcBorders>
      </w:tcPr>
    </w:tblStylePr>
  </w:style>
  <w:style w:type="table" w:styleId="106">
    <w:name w:val="Table List 1"/>
    <w:basedOn w:val="87"/>
    <w:uiPriority w:val="0"/>
    <w:pPr>
      <w:widowControl w:val="0"/>
      <w:spacing w:line="360" w:lineRule="auto"/>
      <w:jc w:val="both"/>
    </w:pPr>
    <w:tblPr>
      <w:tblBorders>
        <w:top w:val="single" w:color="008080" w:sz="12" w:space="0"/>
        <w:left w:val="single" w:color="008080" w:sz="6" w:space="0"/>
        <w:bottom w:val="single" w:color="008080" w:sz="12" w:space="0"/>
        <w:right w:val="single" w:color="008080" w:sz="6" w:space="0"/>
      </w:tblBorders>
      <w:tblLayout w:type="fixed"/>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7">
    <w:name w:val="Table List 2"/>
    <w:basedOn w:val="87"/>
    <w:uiPriority w:val="0"/>
    <w:pPr>
      <w:widowControl w:val="0"/>
      <w:spacing w:line="360" w:lineRule="auto"/>
      <w:jc w:val="both"/>
    </w:pPr>
    <w:tblPr>
      <w:tblBorders>
        <w:bottom w:val="single" w:color="808080" w:sz="12" w:space="0"/>
      </w:tblBorders>
      <w:tblLayout w:type="fixed"/>
    </w:tblPr>
    <w:tblStylePr w:type="firstRow">
      <w:rPr>
        <w:b/>
        <w:bCs/>
        <w:color w:val="FFFFFF"/>
      </w:rPr>
      <w:tblPr>
        <w:tblLayout w:type="fixed"/>
      </w:tblPr>
      <w:tcPr>
        <w:tcBorders>
          <w:bottom w:val="single" w:color="000000" w:sz="6" w:space="0"/>
          <w:tl2br w:val="nil"/>
          <w:tr2bl w:val="nil"/>
        </w:tcBorders>
        <w:shd w:val="pct75" w:color="008080" w:fill="008000"/>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pct20" w:color="00FF0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8">
    <w:name w:val="Table List 3"/>
    <w:basedOn w:val="87"/>
    <w:uiPriority w:val="0"/>
    <w:pPr>
      <w:widowControl w:val="0"/>
      <w:spacing w:line="360" w:lineRule="auto"/>
      <w:jc w:val="both"/>
    </w:pPr>
    <w:tblPr>
      <w:tblBorders>
        <w:top w:val="single" w:color="000000" w:sz="12" w:space="0"/>
        <w:bottom w:val="single" w:color="000000" w:sz="12" w:space="0"/>
        <w:insideH w:val="single" w:color="000000" w:sz="6" w:space="0"/>
      </w:tblBorders>
      <w:tblLayout w:type="fixed"/>
    </w:tblPr>
    <w:tcPr>
      <w:shd w:val="clear" w:color="auto" w:fill="auto"/>
    </w:tcPr>
    <w:tblStylePr w:type="firstRow">
      <w:rPr>
        <w:b/>
        <w:bCs/>
        <w:color w:val="000080"/>
      </w:rPr>
      <w:tblPr>
        <w:tblLayout w:type="fixed"/>
      </w:tblPr>
      <w:tcPr>
        <w:tcBorders>
          <w:bottom w:val="single" w:color="000000" w:sz="12" w:space="0"/>
          <w:tl2br w:val="nil"/>
          <w:tr2bl w:val="nil"/>
        </w:tcBorders>
      </w:tcPr>
    </w:tblStylePr>
    <w:tblStylePr w:type="lastRow">
      <w:tblPr>
        <w:tblLayout w:type="fixed"/>
      </w:tblPr>
      <w:tcPr>
        <w:tcBorders>
          <w:top w:val="single" w:color="000000" w:sz="12" w:space="0"/>
          <w:tl2br w:val="nil"/>
          <w:tr2bl w:val="nil"/>
        </w:tcBorders>
      </w:tcPr>
    </w:tblStylePr>
    <w:tblStylePr w:type="swCell">
      <w:rPr>
        <w:i/>
        <w:iCs/>
        <w:color w:val="000080"/>
      </w:rPr>
      <w:tblPr>
        <w:tblLayout w:type="fixed"/>
      </w:tblPr>
      <w:tcPr>
        <w:tcBorders>
          <w:tl2br w:val="nil"/>
          <w:tr2bl w:val="nil"/>
        </w:tcBorders>
      </w:tcPr>
    </w:tblStylePr>
  </w:style>
  <w:style w:type="table" w:styleId="109">
    <w:name w:val="Table List 4"/>
    <w:basedOn w:val="87"/>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tblBorders>
      <w:tblLayout w:type="fixed"/>
    </w:tblPr>
    <w:tcPr>
      <w:shd w:val="clear" w:color="auto" w:fill="auto"/>
    </w:tcPr>
    <w:tblStylePr w:type="firstRow">
      <w:rPr>
        <w:b/>
        <w:bCs/>
        <w:color w:val="FFFFFF"/>
      </w:rPr>
      <w:tblPr>
        <w:tblLayout w:type="fixed"/>
      </w:tblPr>
      <w:tcPr>
        <w:tcBorders>
          <w:bottom w:val="single" w:color="000000" w:sz="12" w:space="0"/>
          <w:tl2br w:val="nil"/>
          <w:tr2bl w:val="nil"/>
        </w:tcBorders>
        <w:shd w:val="solid" w:color="808080" w:fill="FFFFFF"/>
      </w:tcPr>
    </w:tblStylePr>
  </w:style>
  <w:style w:type="table" w:styleId="110">
    <w:name w:val="Table List 5"/>
    <w:basedOn w:val="87"/>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Pr>
    <w:tcPr>
      <w:shd w:val="clear" w:color="auto" w:fill="auto"/>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tl2br w:val="nil"/>
          <w:tr2bl w:val="nil"/>
        </w:tcBorders>
      </w:tcPr>
    </w:tblStylePr>
  </w:style>
  <w:style w:type="table" w:styleId="111">
    <w:name w:val="Table List 6"/>
    <w:basedOn w:val="87"/>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tblBorders>
      <w:tblLayout w:type="fixed"/>
    </w:tblPr>
    <w:tcPr>
      <w:shd w:val="pct50" w:color="000000" w:fill="FFFFFF"/>
    </w:tcPr>
    <w:tblStylePr w:type="firstRow">
      <w:rPr>
        <w:b/>
        <w:bCs/>
      </w:rPr>
      <w:tblPr>
        <w:tblLayout w:type="fixed"/>
      </w:tblPr>
      <w:tcPr>
        <w:tcBorders>
          <w:bottom w:val="single" w:color="000000" w:sz="12" w:space="0"/>
          <w:tl2br w:val="nil"/>
          <w:tr2bl w:val="nil"/>
        </w:tcBorders>
      </w:tcPr>
    </w:tblStylePr>
    <w:tblStylePr w:type="firstCol">
      <w:rPr>
        <w:b/>
        <w:bCs/>
      </w:rPr>
      <w:tblPr>
        <w:tblLayout w:type="fixed"/>
      </w:tblPr>
      <w:tcPr>
        <w:tcBorders>
          <w:right w:val="single" w:color="000000" w:sz="12" w:space="0"/>
          <w:tl2br w:val="nil"/>
          <w:tr2bl w:val="nil"/>
        </w:tcBorders>
      </w:tcPr>
    </w:tblStylePr>
    <w:tblStylePr w:type="band1Horz">
      <w:tblPr>
        <w:tblLayout w:type="fixed"/>
      </w:tblPr>
      <w:tcPr>
        <w:tcBorders>
          <w:tl2br w:val="nil"/>
          <w:tr2bl w:val="nil"/>
        </w:tcBorders>
        <w:shd w:val="pct25" w:color="000000" w:fill="FFFFFF"/>
      </w:tcPr>
    </w:tblStylePr>
    <w:tblStylePr w:type="nwCell">
      <w:tblPr>
        <w:tblLayout w:type="fixed"/>
      </w:tblPr>
      <w:tcPr>
        <w:tcBorders>
          <w:tl2br w:val="single" w:color="000000" w:sz="6" w:space="0"/>
          <w:tr2bl w:val="nil"/>
        </w:tcBorders>
      </w:tcPr>
    </w:tblStylePr>
  </w:style>
  <w:style w:type="table" w:styleId="112">
    <w:name w:val="Table List 7"/>
    <w:basedOn w:val="87"/>
    <w:uiPriority w:val="0"/>
    <w:pPr>
      <w:widowControl w:val="0"/>
      <w:spacing w:line="360" w:lineRule="auto"/>
      <w:jc w:val="both"/>
    </w:pPr>
    <w:tblPr>
      <w:tblBorders>
        <w:top w:val="single" w:color="008000" w:sz="12" w:space="0"/>
        <w:left w:val="single" w:color="008000" w:sz="6" w:space="0"/>
        <w:bottom w:val="single" w:color="008000" w:sz="12" w:space="0"/>
        <w:right w:val="single" w:color="008000" w:sz="6" w:space="0"/>
        <w:insideH w:val="single" w:color="000000" w:sz="6" w:space="0"/>
      </w:tblBorders>
      <w:tblLayout w:type="fixed"/>
    </w:tblPr>
    <w:tblStylePr w:type="firstRow">
      <w:rPr>
        <w:b/>
        <w:bCs/>
      </w:rPr>
      <w:tblPr>
        <w:tblLayout w:type="fixed"/>
      </w:tblPr>
      <w:tcPr>
        <w:tcBorders>
          <w:bottom w:val="single" w:color="008000" w:sz="12" w:space="0"/>
          <w:tl2br w:val="nil"/>
          <w:tr2bl w:val="nil"/>
        </w:tcBorders>
        <w:shd w:val="solid" w:color="C0C0C0" w:fill="FFFFFF"/>
      </w:tcPr>
    </w:tblStylePr>
    <w:tblStylePr w:type="lastRow">
      <w:rPr>
        <w:b/>
        <w:bCs/>
      </w:rPr>
      <w:tblPr>
        <w:tblLayout w:type="fixed"/>
      </w:tblPr>
      <w:tcPr>
        <w:tcBorders>
          <w:top w:val="single" w:color="008000" w:sz="12"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0" w:color="000000" w:fill="FFFFFF"/>
      </w:tcPr>
    </w:tblStylePr>
    <w:tblStylePr w:type="band2Horz">
      <w:tblPr>
        <w:tblLayout w:type="fixed"/>
      </w:tblPr>
      <w:tcPr>
        <w:tcBorders>
          <w:tl2br w:val="nil"/>
          <w:tr2bl w:val="nil"/>
        </w:tcBorders>
        <w:shd w:val="pct25" w:color="FFFF00" w:fill="FFFFFF"/>
      </w:tcPr>
    </w:tblStylePr>
  </w:style>
  <w:style w:type="table" w:styleId="113">
    <w:name w:val="Table List 8"/>
    <w:basedOn w:val="87"/>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V w:val="single" w:color="000000" w:sz="6" w:space="0"/>
      </w:tblBorders>
      <w:tblLayout w:type="fixed"/>
    </w:tblPr>
    <w:tblStylePr w:type="firstRow">
      <w:rPr>
        <w:b/>
        <w:bCs/>
        <w:i/>
        <w:iCs/>
      </w:rPr>
      <w:tblPr>
        <w:tblLayout w:type="fixed"/>
      </w:tblPr>
      <w:tcPr>
        <w:tcBorders>
          <w:bottom w:val="single" w:color="000000" w:sz="6" w:space="0"/>
          <w:tl2br w:val="nil"/>
          <w:tr2bl w:val="nil"/>
        </w:tcBorders>
        <w:shd w:val="solid" w:color="FFFF00" w:fill="FFFFFF"/>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Horz">
      <w:rPr>
        <w:color w:val="auto"/>
      </w:rPr>
      <w:tblPr>
        <w:tblLayout w:type="fixed"/>
      </w:tblPr>
      <w:tcPr>
        <w:tcBorders>
          <w:tl2br w:val="nil"/>
          <w:tr2bl w:val="nil"/>
        </w:tcBorders>
        <w:shd w:val="pct25" w:color="FFFF00" w:fill="FFFFFF"/>
      </w:tcPr>
    </w:tblStylePr>
    <w:tblStylePr w:type="band2Horz">
      <w:tblPr>
        <w:tblLayout w:type="fixed"/>
      </w:tblPr>
      <w:tcPr>
        <w:tcBorders>
          <w:tl2br w:val="nil"/>
          <w:tr2bl w:val="nil"/>
        </w:tcBorders>
        <w:shd w:val="pct50" w:color="FF0000" w:fill="FFFFFF"/>
      </w:tcPr>
    </w:tblStylePr>
    <w:tblStylePr w:type="nwCell">
      <w:tblPr>
        <w:tblLayout w:type="fixed"/>
      </w:tblPr>
      <w:tcPr>
        <w:tcBorders>
          <w:tl2br w:val="single" w:color="auto" w:sz="6" w:space="0"/>
          <w:tr2bl w:val="nil"/>
        </w:tcBorders>
      </w:tcPr>
    </w:tblStylePr>
  </w:style>
  <w:style w:type="table" w:styleId="114">
    <w:name w:val="Table Contemporary"/>
    <w:basedOn w:val="87"/>
    <w:uiPriority w:val="0"/>
    <w:pPr>
      <w:widowControl w:val="0"/>
      <w:spacing w:line="360" w:lineRule="auto"/>
      <w:jc w:val="both"/>
    </w:pPr>
    <w:tblPr>
      <w:tblBorders>
        <w:insideH w:val="single" w:color="FFFFFF" w:sz="18" w:space="0"/>
        <w:insideV w:val="single" w:color="FFFFFF" w:sz="18" w:space="0"/>
      </w:tblBorders>
      <w:tblLayout w:type="fixed"/>
    </w:tblPr>
    <w:tblStylePr w:type="firstRow">
      <w:rPr>
        <w:b/>
        <w:bCs/>
        <w:color w:val="auto"/>
      </w:rPr>
      <w:tblPr>
        <w:tblLayout w:type="fixed"/>
      </w:tblPr>
      <w:tcPr>
        <w:tcBorders>
          <w:tl2br w:val="nil"/>
          <w:tr2bl w:val="nil"/>
        </w:tcBorders>
        <w:shd w:val="pct20" w:color="000000" w:fill="FFFFFF"/>
      </w:tcPr>
    </w:tblStylePr>
    <w:tblStylePr w:type="band1Horz">
      <w:rPr>
        <w:color w:val="auto"/>
      </w:rPr>
      <w:tblPr>
        <w:tblLayout w:type="fixed"/>
      </w:tblPr>
      <w:tcPr>
        <w:tcBorders>
          <w:tl2br w:val="nil"/>
          <w:tr2bl w:val="nil"/>
        </w:tcBorders>
        <w:shd w:val="pct5" w:color="000000" w:fill="FFFFFF"/>
      </w:tcPr>
    </w:tblStylePr>
    <w:tblStylePr w:type="band2Horz">
      <w:rPr>
        <w:color w:val="auto"/>
      </w:rPr>
      <w:tblPr>
        <w:tblLayout w:type="fixed"/>
      </w:tblPr>
      <w:tcPr>
        <w:tcBorders>
          <w:tl2br w:val="nil"/>
          <w:tr2bl w:val="nil"/>
        </w:tcBorders>
        <w:shd w:val="pct20" w:color="000000" w:fill="FFFFFF"/>
      </w:tcPr>
    </w:tblStylePr>
  </w:style>
  <w:style w:type="table" w:styleId="115">
    <w:name w:val="Table Columns 1"/>
    <w:basedOn w:val="87"/>
    <w:uiPriority w:val="0"/>
    <w:pPr>
      <w:widowControl w:val="0"/>
      <w:spacing w:line="360" w:lineRule="auto"/>
      <w:jc w:val="both"/>
    </w:pPr>
    <w:rPr>
      <w:b/>
      <w:bCs/>
    </w:rPr>
    <w:tblPr>
      <w:tblBorders>
        <w:top w:val="single" w:color="000000" w:sz="12" w:space="0"/>
        <w:left w:val="single" w:color="000000" w:sz="12" w:space="0"/>
        <w:bottom w:val="single" w:color="000000" w:sz="12" w:space="0"/>
        <w:right w:val="single" w:color="000000" w:sz="12" w:space="0"/>
      </w:tblBorders>
      <w:tblLayout w:type="fixed"/>
    </w:tblPr>
    <w:tblStylePr w:type="firstRow">
      <w:rPr>
        <w:b w:val="0"/>
        <w:bCs w:val="0"/>
      </w:rPr>
      <w:tblPr>
        <w:tblLayout w:type="fixed"/>
      </w:tblPr>
      <w:tcPr>
        <w:tcBorders>
          <w:bottom w:val="double" w:color="000000" w:sz="6" w:space="0"/>
          <w:tl2br w:val="nil"/>
          <w:tr2bl w:val="nil"/>
        </w:tcBorders>
      </w:tcPr>
    </w:tblStylePr>
    <w:tblStylePr w:type="lastRow">
      <w:rPr>
        <w:b w:val="0"/>
        <w:bCs w:val="0"/>
      </w:rPr>
      <w:tblPr>
        <w:tblLayout w:type="fixed"/>
      </w:tblPr>
      <w:tcPr>
        <w:tcBorders>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25" w:color="000000" w:fill="FFFFFF"/>
      </w:tcPr>
    </w:tblStylePr>
    <w:tblStylePr w:type="band2Vert">
      <w:rPr>
        <w:color w:val="auto"/>
      </w:rPr>
      <w:tblPr>
        <w:tblLayout w:type="fixed"/>
      </w:tblPr>
      <w:tcPr>
        <w:shd w:val="pct25" w:color="FF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6">
    <w:name w:val="Table Columns 2"/>
    <w:basedOn w:val="87"/>
    <w:uiPriority w:val="0"/>
    <w:pPr>
      <w:widowControl w:val="0"/>
      <w:spacing w:line="360" w:lineRule="auto"/>
      <w:jc w:val="both"/>
    </w:pPr>
    <w:rPr>
      <w:b/>
      <w:bCs/>
    </w:rPr>
    <w:tblPr>
      <w:tblStyleColBandSize w:val="1"/>
      <w:tblLayout w:type="fixed"/>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l2br w:val="nil"/>
          <w:tr2bl w:val="nil"/>
        </w:tcBorders>
      </w:tcPr>
    </w:tblStylePr>
    <w:tblStylePr w:type="firstCol">
      <w:rPr>
        <w:b w:val="0"/>
        <w:bCs w:val="0"/>
        <w:color w:val="00000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pct30" w:color="000000" w:fill="FFFFFF"/>
      </w:tcPr>
    </w:tblStylePr>
    <w:tblStylePr w:type="band2Vert">
      <w:rPr>
        <w:color w:val="auto"/>
      </w:rPr>
      <w:tblPr>
        <w:tblLayout w:type="fixed"/>
      </w:tblPr>
      <w:tcPr>
        <w:shd w:val="pct25" w:color="00FF00" w:fill="FFFFFF"/>
      </w:tcPr>
    </w:tblStylePr>
    <w:tblStylePr w:type="neCell">
      <w:rPr>
        <w:b/>
        <w:bCs/>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17">
    <w:name w:val="Table Columns 3"/>
    <w:basedOn w:val="87"/>
    <w:uiPriority w:val="0"/>
    <w:pPr>
      <w:widowControl w:val="0"/>
      <w:spacing w:line="360" w:lineRule="auto"/>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Layout w:type="fixed"/>
    </w:tblPr>
    <w:tblStylePr w:type="firstRow">
      <w:rPr>
        <w:color w:val="FFFFFF"/>
      </w:rPr>
      <w:tblPr>
        <w:tblLayout w:type="fixed"/>
      </w:tblPr>
      <w:tcPr>
        <w:tcBorders>
          <w:tl2br w:val="nil"/>
          <w:tr2bl w:val="nil"/>
        </w:tcBorders>
        <w:shd w:val="solid" w:color="000080" w:fill="FFFFFF"/>
      </w:tcPr>
    </w:tblStylePr>
    <w:tblStylePr w:type="lastRow">
      <w:rPr>
        <w:b w:val="0"/>
        <w:bCs w:val="0"/>
      </w:rPr>
      <w:tblPr>
        <w:tblLayout w:type="fixed"/>
      </w:tblPr>
      <w:tcPr>
        <w:tcBorders>
          <w:top w:val="single" w:color="00008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Pr>
        <w:tblLayout w:type="fixed"/>
      </w:tblPr>
      <w:tcPr>
        <w:shd w:val="pct10" w:color="000000" w:fill="FFFFFF"/>
      </w:tcPr>
    </w:tblStylePr>
    <w:tblStylePr w:type="neCell">
      <w:rPr>
        <w:b/>
        <w:bCs/>
      </w:rPr>
      <w:tblPr>
        <w:tblLayout w:type="fixed"/>
      </w:tblPr>
      <w:tcPr>
        <w:tcBorders>
          <w:tl2br w:val="nil"/>
          <w:tr2bl w:val="nil"/>
        </w:tcBorders>
      </w:tcPr>
    </w:tblStylePr>
  </w:style>
  <w:style w:type="table" w:styleId="118">
    <w:name w:val="Table Columns 4"/>
    <w:basedOn w:val="87"/>
    <w:uiPriority w:val="0"/>
    <w:pPr>
      <w:widowControl w:val="0"/>
      <w:spacing w:line="360" w:lineRule="auto"/>
      <w:jc w:val="both"/>
    </w:pPr>
    <w:tblPr>
      <w:tblStyleColBandSize w:val="1"/>
      <w:tblLayout w:type="fixed"/>
    </w:tblPr>
    <w:tblStylePr w:type="firstRow">
      <w:rPr>
        <w:color w:val="FFFFFF"/>
      </w:rPr>
      <w:tblPr>
        <w:tblLayout w:type="fixed"/>
      </w:tblPr>
      <w:tcPr>
        <w:tcBorders>
          <w:tl2br w:val="nil"/>
          <w:tr2bl w:val="nil"/>
        </w:tcBorders>
        <w:shd w:val="solid" w:color="0000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pct50" w:color="008080" w:fill="FFFFFF"/>
      </w:tcPr>
    </w:tblStylePr>
    <w:tblStylePr w:type="band2Vert">
      <w:rPr>
        <w:color w:val="auto"/>
      </w:rPr>
      <w:tblPr>
        <w:tblLayout w:type="fixed"/>
      </w:tblPr>
      <w:tcPr>
        <w:shd w:val="pct10" w:color="000000" w:fill="FFFFFF"/>
      </w:tcPr>
    </w:tblStylePr>
  </w:style>
  <w:style w:type="table" w:styleId="119">
    <w:name w:val="Table Columns 5"/>
    <w:basedOn w:val="87"/>
    <w:uiPriority w:val="0"/>
    <w:pPr>
      <w:widowControl w:val="0"/>
      <w:spacing w:line="360" w:lineRule="auto"/>
      <w:jc w:val="both"/>
    </w:pPr>
    <w:tblPr>
      <w:tblBorders>
        <w:top w:val="single" w:color="808080" w:sz="12" w:space="0"/>
        <w:left w:val="single" w:color="808080" w:sz="12" w:space="0"/>
        <w:bottom w:val="single" w:color="808080" w:sz="12" w:space="0"/>
        <w:right w:val="single" w:color="808080" w:sz="12" w:space="0"/>
        <w:insideV w:val="single" w:color="C0C0C0" w:sz="6" w:space="0"/>
      </w:tblBorders>
      <w:tblLayout w:type="fixed"/>
    </w:tblPr>
    <w:tblStylePr w:type="firstRow">
      <w:rPr>
        <w:b/>
        <w:bCs/>
        <w:i/>
        <w:iCs/>
      </w:rPr>
      <w:tblPr>
        <w:tblLayout w:type="fixed"/>
      </w:tblPr>
      <w:tcPr>
        <w:tcBorders>
          <w:bottom w:val="single" w:color="808080" w:sz="6" w:space="0"/>
          <w:tl2br w:val="nil"/>
          <w:tr2bl w:val="nil"/>
        </w:tcBorders>
      </w:tcPr>
    </w:tblStylePr>
    <w:tblStylePr w:type="lastRow">
      <w:rPr>
        <w:b/>
        <w:bCs/>
      </w:rPr>
      <w:tblPr>
        <w:tblLayout w:type="fixed"/>
      </w:tblPr>
      <w:tcPr>
        <w:tcBorders>
          <w:top w:val="single" w:color="80808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band1Vert">
      <w:rPr>
        <w:color w:val="auto"/>
      </w:rPr>
      <w:tblPr>
        <w:tblLayout w:type="fixed"/>
      </w:tblPr>
      <w:tcPr>
        <w:shd w:val="solid" w:color="C0C0C0" w:fill="FFFFFF"/>
      </w:tcPr>
    </w:tblStylePr>
    <w:tblStylePr w:type="band2Vert">
      <w:rPr>
        <w:color w:val="auto"/>
      </w:rPr>
    </w:tblStylePr>
  </w:style>
  <w:style w:type="table" w:styleId="120">
    <w:name w:val="Table Grid 1"/>
    <w:basedOn w:val="87"/>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1">
    <w:name w:val="Table Grid 2"/>
    <w:basedOn w:val="87"/>
    <w:uiPriority w:val="0"/>
    <w:pPr>
      <w:widowControl w:val="0"/>
      <w:spacing w:line="360" w:lineRule="auto"/>
      <w:jc w:val="both"/>
    </w:pPr>
    <w:tblPr>
      <w:tblBorders>
        <w:insideH w:val="single" w:color="000000" w:sz="6" w:space="0"/>
        <w:insideV w:val="single" w:color="000000" w:sz="6" w:space="0"/>
      </w:tblBorders>
      <w:tblLayout w:type="fixed"/>
    </w:tblPr>
    <w:tcPr>
      <w:shd w:val="clear" w:color="auto" w:fill="auto"/>
    </w:tcPr>
    <w:tblStylePr w:type="firstRow">
      <w:rPr>
        <w:b/>
        <w:bCs/>
      </w:rPr>
      <w:tblPr>
        <w:tblLayout w:type="fixed"/>
      </w:tblPr>
      <w:tcPr>
        <w:tcBorders>
          <w:tl2br w:val="nil"/>
          <w:tr2bl w:val="nil"/>
        </w:tcBorders>
      </w:tcPr>
    </w:tblStylePr>
    <w:tblStylePr w:type="lastRow">
      <w:rPr>
        <w:b/>
        <w:bCs/>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style>
  <w:style w:type="table" w:styleId="122">
    <w:name w:val="Table Grid 3"/>
    <w:basedOn w:val="87"/>
    <w:uiPriority w:val="0"/>
    <w:pPr>
      <w:widowControl w:val="0"/>
      <w:spacing w:line="360" w:lineRule="auto"/>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Pr>
    <w:tcPr>
      <w:shd w:val="clear" w:color="auto" w:fill="auto"/>
    </w:tcPr>
    <w:tblStylePr w:type="firstRow">
      <w:tblPr>
        <w:tblLayout w:type="fixed"/>
      </w:tblPr>
      <w:tcPr>
        <w:tcBorders>
          <w:bottom w:val="single" w:color="000000" w:sz="6" w:space="0"/>
          <w:tl2br w:val="nil"/>
          <w:tr2bl w:val="nil"/>
        </w:tcBorders>
        <w:shd w:val="pct30" w:color="FFFF00" w:fill="FFFFFF"/>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3">
    <w:name w:val="Table Grid 4"/>
    <w:basedOn w:val="87"/>
    <w:uiPriority w:val="0"/>
    <w:pPr>
      <w:widowControl w:val="0"/>
      <w:spacing w:line="360" w:lineRule="auto"/>
      <w:jc w:val="both"/>
    </w:pPr>
    <w:tblPr>
      <w:tblBorders>
        <w:left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color w:val="auto"/>
      </w:rPr>
      <w:tblPr>
        <w:tblLayout w:type="fixed"/>
      </w:tblPr>
      <w:tcPr>
        <w:tcBorders>
          <w:bottom w:val="single" w:color="000000" w:sz="6" w:space="0"/>
          <w:tl2br w:val="nil"/>
          <w:tr2bl w:val="nil"/>
        </w:tcBorders>
        <w:shd w:val="pct30" w:color="FFFF00" w:fill="FFFFFF"/>
      </w:tcPr>
    </w:tblStylePr>
    <w:tblStylePr w:type="lastRow">
      <w:rPr>
        <w:b/>
        <w:bCs/>
        <w:color w:val="auto"/>
      </w:rPr>
      <w:tblPr>
        <w:tblLayout w:type="fixed"/>
      </w:tblPr>
      <w:tcPr>
        <w:tcBorders>
          <w:top w:val="single" w:color="000000" w:sz="6" w:space="0"/>
          <w:tl2br w:val="nil"/>
          <w:tr2bl w:val="nil"/>
        </w:tcBorders>
        <w:shd w:val="pct30" w:color="FFFF00" w:fill="FFFFFF"/>
      </w:tcPr>
    </w:tblStylePr>
    <w:tblStylePr w:type="lastCol">
      <w:rPr>
        <w:b/>
        <w:bCs/>
        <w:color w:val="auto"/>
      </w:rPr>
      <w:tblPr>
        <w:tblLayout w:type="fixed"/>
      </w:tblPr>
      <w:tcPr>
        <w:tcBorders>
          <w:tl2br w:val="nil"/>
          <w:tr2bl w:val="nil"/>
        </w:tcBorders>
      </w:tcPr>
    </w:tblStylePr>
  </w:style>
  <w:style w:type="table" w:styleId="124">
    <w:name w:val="Table Grid 5"/>
    <w:basedOn w:val="87"/>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5">
    <w:name w:val="Table Grid 6"/>
    <w:basedOn w:val="87"/>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V w:val="single" w:color="000000" w:sz="6" w:space="0"/>
      </w:tblBorders>
      <w:tblLayout w:type="fixed"/>
    </w:tblPr>
    <w:tcPr>
      <w:shd w:val="clear" w:color="auto" w:fill="auto"/>
    </w:tcPr>
    <w:tblStylePr w:type="firstRow">
      <w:rPr>
        <w:b/>
        <w:bCs/>
      </w:rPr>
      <w:tblPr>
        <w:tblLayout w:type="fixed"/>
      </w:tblPr>
      <w:tcPr>
        <w:tcBorders>
          <w:bottom w:val="single" w:color="000000" w:sz="6" w:space="0"/>
          <w:tl2br w:val="nil"/>
          <w:tr2bl w:val="nil"/>
        </w:tcBorders>
      </w:tcPr>
    </w:tblStylePr>
    <w:tblStylePr w:type="lastRow">
      <w:rPr>
        <w:color w:val="auto"/>
      </w:rPr>
      <w:tblPr>
        <w:tblLayout w:type="fixed"/>
      </w:tblPr>
      <w:tcPr>
        <w:tcBorders>
          <w:top w:val="single" w:color="000000" w:sz="6" w:space="0"/>
          <w:tl2br w:val="nil"/>
          <w:tr2bl w:val="nil"/>
        </w:tcBorders>
      </w:tcPr>
    </w:tblStylePr>
    <w:tblStylePr w:type="fir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26">
    <w:name w:val="Table Grid 7"/>
    <w:basedOn w:val="87"/>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rPr>
        <w:b w:val="0"/>
        <w:bCs w:val="0"/>
      </w:rPr>
      <w:tblPr>
        <w:tblLayout w:type="fixed"/>
      </w:tblPr>
      <w:tcPr>
        <w:tcBorders>
          <w:top w:val="nil"/>
          <w:left w:val="nil"/>
          <w:bottom w:val="single" w:color="000000" w:sz="12" w:space="0"/>
          <w:right w:val="nil"/>
          <w:insideH w:val="nil"/>
          <w:insideV w:val="nil"/>
          <w:tl2br w:val="nil"/>
          <w:tr2bl w:val="nil"/>
        </w:tcBorders>
      </w:tcPr>
    </w:tblStylePr>
    <w:tblStylePr w:type="lastRow">
      <w:rPr>
        <w:b w:val="0"/>
        <w:bCs w:val="0"/>
      </w:rPr>
      <w:tblPr>
        <w:tblLayout w:type="fixed"/>
      </w:tblPr>
      <w:tcPr>
        <w:tcBorders>
          <w:top w:val="single" w:color="000000" w:sz="6" w:space="0"/>
          <w:left w:val="nil"/>
          <w:bottom w:val="nil"/>
          <w:right w:val="nil"/>
          <w:insideH w:val="nil"/>
          <w:insideV w:val="nil"/>
          <w:tl2br w:val="nil"/>
          <w:tr2bl w:val="nil"/>
        </w:tcBorders>
      </w:tcPr>
    </w:tblStylePr>
    <w:tblStylePr w:type="firstCol">
      <w:rPr>
        <w:b w:val="0"/>
        <w:bCs w:val="0"/>
      </w:rPr>
      <w:tblPr>
        <w:tblLayout w:type="fixed"/>
      </w:tblPr>
      <w:tcPr>
        <w:tcBorders>
          <w:top w:val="nil"/>
          <w:left w:val="nil"/>
          <w:bottom w:val="nil"/>
          <w:right w:val="nil"/>
          <w:insideH w:val="nil"/>
          <w:insideV w:val="nil"/>
          <w:tl2br w:val="nil"/>
          <w:tr2bl w:val="nil"/>
        </w:tcBorders>
      </w:tcPr>
    </w:tblStylePr>
    <w:tblStylePr w:type="lastCol">
      <w:rPr>
        <w:b w:val="0"/>
        <w:bCs w:val="0"/>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27">
    <w:name w:val="Table Grid 8"/>
    <w:basedOn w:val="87"/>
    <w:uiPriority w:val="0"/>
    <w:pPr>
      <w:widowControl w:val="0"/>
      <w:spacing w:line="360" w:lineRule="auto"/>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l2br w:val="nil"/>
          <w:tr2bl w:val="nil"/>
        </w:tcBorders>
        <w:shd w:val="solid" w:color="000080" w:fill="FFFFFF"/>
      </w:tcPr>
    </w:tblStylePr>
    <w:tblStylePr w:type="lastRow">
      <w:rPr>
        <w:b/>
        <w:bCs/>
        <w:color w:val="auto"/>
      </w:rPr>
      <w:tblPr>
        <w:tblLayout w:type="fixed"/>
      </w:tblPr>
      <w:tcPr>
        <w:tcBorders>
          <w:tl2br w:val="nil"/>
          <w:tr2bl w:val="nil"/>
        </w:tcBorders>
      </w:tcPr>
    </w:tblStylePr>
    <w:tblStylePr w:type="lastCol">
      <w:rPr>
        <w:b/>
        <w:bCs/>
        <w:color w:val="auto"/>
      </w:rPr>
      <w:tblPr>
        <w:tblLayout w:type="fixed"/>
      </w:tblPr>
      <w:tcPr>
        <w:tcBorders>
          <w:tl2br w:val="nil"/>
          <w:tr2bl w:val="nil"/>
        </w:tcBorders>
      </w:tcPr>
    </w:tblStylePr>
  </w:style>
  <w:style w:type="table" w:styleId="128">
    <w:name w:val="Table Web 1"/>
    <w:basedOn w:val="87"/>
    <w:uiPriority w:val="0"/>
    <w:pPr>
      <w:widowControl w:val="0"/>
      <w:spacing w:line="360" w:lineRule="auto"/>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29">
    <w:name w:val="Table Web 2"/>
    <w:basedOn w:val="87"/>
    <w:uiPriority w:val="0"/>
    <w:pPr>
      <w:widowControl w:val="0"/>
      <w:spacing w:line="360" w:lineRule="auto"/>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0">
    <w:name w:val="Table Web 3"/>
    <w:basedOn w:val="87"/>
    <w:uiPriority w:val="0"/>
    <w:pPr>
      <w:widowControl w:val="0"/>
      <w:spacing w:line="360" w:lineRule="auto"/>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Pr>
    <w:trPr>
      <w:tblCellSpacing w:w="20" w:type="dxa"/>
    </w:trPr>
    <w:tcPr>
      <w:shd w:val="clear" w:color="auto" w:fill="auto"/>
    </w:tcPr>
    <w:tblStylePr w:type="firstRow">
      <w:rPr>
        <w:color w:val="auto"/>
      </w:rPr>
      <w:tblPr>
        <w:tblLayout w:type="fixed"/>
      </w:tblPr>
      <w:tcPr>
        <w:tcBorders>
          <w:tl2br w:val="nil"/>
          <w:tr2bl w:val="nil"/>
        </w:tcBorders>
      </w:tcPr>
    </w:tblStylePr>
  </w:style>
  <w:style w:type="table" w:styleId="131">
    <w:name w:val="Table Professional"/>
    <w:basedOn w:val="87"/>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styleId="133">
    <w:name w:val="Strong"/>
    <w:qFormat/>
    <w:uiPriority w:val="0"/>
    <w:rPr>
      <w:b/>
    </w:rPr>
  </w:style>
  <w:style w:type="character" w:styleId="134">
    <w:name w:val="page number"/>
    <w:basedOn w:val="132"/>
    <w:uiPriority w:val="0"/>
  </w:style>
  <w:style w:type="character" w:styleId="135">
    <w:name w:val="FollowedHyperlink"/>
    <w:qFormat/>
    <w:uiPriority w:val="0"/>
    <w:rPr>
      <w:color w:val="800080"/>
      <w:u w:val="single"/>
    </w:rPr>
  </w:style>
  <w:style w:type="character" w:styleId="136">
    <w:name w:val="Emphasis"/>
    <w:qFormat/>
    <w:uiPriority w:val="0"/>
    <w:rPr>
      <w:color w:val="CC0000"/>
    </w:rPr>
  </w:style>
  <w:style w:type="character" w:styleId="137">
    <w:name w:val="line number"/>
    <w:basedOn w:val="132"/>
    <w:qFormat/>
    <w:uiPriority w:val="0"/>
  </w:style>
  <w:style w:type="character" w:styleId="138">
    <w:name w:val="HTML Definition"/>
    <w:uiPriority w:val="0"/>
    <w:rPr>
      <w:i/>
      <w:iCs/>
    </w:rPr>
  </w:style>
  <w:style w:type="character" w:styleId="139">
    <w:name w:val="HTML Typewriter"/>
    <w:qFormat/>
    <w:uiPriority w:val="0"/>
    <w:rPr>
      <w:rFonts w:ascii="宋体" w:hAnsi="宋体" w:eastAsia="宋体" w:cs="宋体"/>
      <w:sz w:val="18"/>
      <w:szCs w:val="18"/>
    </w:rPr>
  </w:style>
  <w:style w:type="character" w:styleId="140">
    <w:name w:val="HTML Acronym"/>
    <w:basedOn w:val="132"/>
    <w:uiPriority w:val="0"/>
  </w:style>
  <w:style w:type="character" w:styleId="141">
    <w:name w:val="HTML Variable"/>
    <w:uiPriority w:val="0"/>
    <w:rPr>
      <w:i/>
      <w:iCs/>
    </w:rPr>
  </w:style>
  <w:style w:type="character" w:styleId="142">
    <w:name w:val="Hyperlink"/>
    <w:qFormat/>
    <w:uiPriority w:val="99"/>
    <w:rPr>
      <w:color w:val="0000FF"/>
      <w:u w:val="single"/>
    </w:rPr>
  </w:style>
  <w:style w:type="character" w:styleId="143">
    <w:name w:val="HTML Code"/>
    <w:uiPriority w:val="0"/>
    <w:rPr>
      <w:rFonts w:ascii="宋体" w:hAnsi="宋体" w:eastAsia="宋体" w:cs="宋体"/>
      <w:sz w:val="24"/>
      <w:szCs w:val="24"/>
    </w:rPr>
  </w:style>
  <w:style w:type="character" w:styleId="144">
    <w:name w:val="annotation reference"/>
    <w:qFormat/>
    <w:uiPriority w:val="99"/>
    <w:rPr>
      <w:sz w:val="21"/>
    </w:rPr>
  </w:style>
  <w:style w:type="character" w:styleId="145">
    <w:name w:val="HTML Cite"/>
    <w:uiPriority w:val="0"/>
    <w:rPr>
      <w:i/>
      <w:iCs/>
    </w:rPr>
  </w:style>
  <w:style w:type="character" w:styleId="146">
    <w:name w:val="footnote reference"/>
    <w:qFormat/>
    <w:uiPriority w:val="0"/>
    <w:rPr>
      <w:vertAlign w:val="superscript"/>
    </w:rPr>
  </w:style>
  <w:style w:type="character" w:styleId="147">
    <w:name w:val="HTML Keyboard"/>
    <w:uiPriority w:val="0"/>
    <w:rPr>
      <w:rFonts w:ascii="Courier New" w:hAnsi="Courier New" w:cs="Courier New"/>
      <w:sz w:val="20"/>
      <w:szCs w:val="20"/>
    </w:rPr>
  </w:style>
  <w:style w:type="character" w:styleId="148">
    <w:name w:val="HTML Sample"/>
    <w:uiPriority w:val="0"/>
    <w:rPr>
      <w:rFonts w:ascii="Courier New" w:hAnsi="Courier New" w:cs="Courier New"/>
    </w:rPr>
  </w:style>
  <w:style w:type="character" w:customStyle="1" w:styleId="149">
    <w:name w:val="样式3 Char Char Char Char Char Char Char"/>
    <w:uiPriority w:val="0"/>
    <w:rPr>
      <w:rFonts w:eastAsia="宋体"/>
      <w:sz w:val="24"/>
      <w:szCs w:val="24"/>
      <w:lang w:val="en-US" w:eastAsia="zh-CN" w:bidi="ar-SA"/>
    </w:rPr>
  </w:style>
  <w:style w:type="character" w:customStyle="1" w:styleId="150">
    <w:name w:val="样式 紧缩量  0.2 磅"/>
    <w:uiPriority w:val="0"/>
    <w:rPr>
      <w:spacing w:val="-4"/>
      <w:sz w:val="24"/>
    </w:rPr>
  </w:style>
  <w:style w:type="character" w:customStyle="1" w:styleId="151">
    <w:name w:val="text1"/>
    <w:uiPriority w:val="0"/>
    <w:rPr>
      <w:sz w:val="18"/>
      <w:szCs w:val="18"/>
    </w:rPr>
  </w:style>
  <w:style w:type="character" w:customStyle="1" w:styleId="152">
    <w:name w:val="正文文字缩进 Char"/>
    <w:uiPriority w:val="0"/>
    <w:rPr>
      <w:rFonts w:eastAsia="宋体"/>
      <w:kern w:val="2"/>
      <w:sz w:val="28"/>
      <w:lang w:val="en-US" w:eastAsia="zh-CN" w:bidi="ar-SA"/>
    </w:rPr>
  </w:style>
  <w:style w:type="character" w:customStyle="1" w:styleId="153">
    <w:name w:val="一正文缩进 Char"/>
    <w:link w:val="154"/>
    <w:uiPriority w:val="0"/>
    <w:rPr>
      <w:rFonts w:eastAsia="仿宋_GB2312"/>
      <w:snapToGrid w:val="0"/>
      <w:color w:val="000000"/>
      <w:kern w:val="28"/>
      <w:sz w:val="27"/>
      <w:szCs w:val="27"/>
      <w:lang w:val="en-US" w:eastAsia="zh-CN" w:bidi="ar-SA"/>
    </w:rPr>
  </w:style>
  <w:style w:type="paragraph" w:customStyle="1" w:styleId="154">
    <w:name w:val="一正文缩进"/>
    <w:basedOn w:val="40"/>
    <w:link w:val="153"/>
    <w:qFormat/>
    <w:uiPriority w:val="0"/>
    <w:pPr>
      <w:adjustRightInd w:val="0"/>
      <w:snapToGrid w:val="0"/>
      <w:spacing w:after="0" w:line="520" w:lineRule="exact"/>
      <w:ind w:firstLine="505" w:firstLineChars="0"/>
      <w:jc w:val="left"/>
    </w:pPr>
    <w:rPr>
      <w:snapToGrid w:val="0"/>
      <w:color w:val="000000"/>
      <w:kern w:val="28"/>
      <w:sz w:val="27"/>
      <w:szCs w:val="27"/>
    </w:rPr>
  </w:style>
  <w:style w:type="character" w:customStyle="1" w:styleId="155">
    <w:name w:val="表格样式11 Char"/>
    <w:link w:val="156"/>
    <w:qFormat/>
    <w:uiPriority w:val="0"/>
    <w:rPr>
      <w:rFonts w:ascii="Arial" w:hAnsi="Arial" w:eastAsia="宋体" w:cs="Arial"/>
      <w:sz w:val="21"/>
      <w:szCs w:val="21"/>
      <w:lang w:val="en-US" w:eastAsia="en-US" w:bidi="en-US"/>
    </w:rPr>
  </w:style>
  <w:style w:type="paragraph" w:customStyle="1" w:styleId="156">
    <w:name w:val="表格样式11"/>
    <w:basedOn w:val="1"/>
    <w:link w:val="155"/>
    <w:qFormat/>
    <w:uiPriority w:val="0"/>
    <w:pPr>
      <w:widowControl/>
      <w:spacing w:line="0" w:lineRule="atLeast"/>
      <w:jc w:val="center"/>
    </w:pPr>
    <w:rPr>
      <w:rFonts w:ascii="Arial" w:hAnsi="Arial" w:eastAsia="宋体" w:cs="Arial"/>
      <w:kern w:val="0"/>
      <w:sz w:val="21"/>
      <w:szCs w:val="21"/>
      <w:lang w:eastAsia="en-US" w:bidi="en-US"/>
    </w:rPr>
  </w:style>
  <w:style w:type="character" w:customStyle="1" w:styleId="157">
    <w:name w:val="标题 6 字符"/>
    <w:link w:val="8"/>
    <w:qFormat/>
    <w:uiPriority w:val="0"/>
    <w:rPr>
      <w:rFonts w:ascii="Arial" w:hAnsi="Arial" w:eastAsia="黑体"/>
      <w:b/>
      <w:bCs/>
      <w:kern w:val="2"/>
      <w:sz w:val="24"/>
      <w:szCs w:val="24"/>
    </w:rPr>
  </w:style>
  <w:style w:type="character" w:customStyle="1" w:styleId="158">
    <w:name w:val="style451"/>
    <w:qFormat/>
    <w:uiPriority w:val="0"/>
    <w:rPr>
      <w:b/>
      <w:bCs/>
      <w:color w:val="000000"/>
      <w:sz w:val="19"/>
      <w:szCs w:val="19"/>
    </w:rPr>
  </w:style>
  <w:style w:type="character" w:customStyle="1" w:styleId="159">
    <w:name w:val="样式 正文缩进首行缩进两字标题4正文不缩进s4正文（首行缩进两字） Char Char Char Char Char ... Char"/>
    <w:qFormat/>
    <w:uiPriority w:val="0"/>
    <w:rPr>
      <w:rFonts w:ascii="Arial" w:hAnsi="Arial" w:eastAsia="宋体" w:cs="Arial"/>
      <w:color w:val="000000"/>
      <w:spacing w:val="10"/>
      <w:kern w:val="2"/>
      <w:sz w:val="24"/>
      <w:lang w:val="en-US" w:eastAsia="zh-CN" w:bidi="ar-SA"/>
    </w:rPr>
  </w:style>
  <w:style w:type="character" w:customStyle="1" w:styleId="160">
    <w:name w:val="a21"/>
    <w:qFormat/>
    <w:uiPriority w:val="0"/>
    <w:rPr>
      <w:rFonts w:hint="default" w:ascii="Geneva" w:hAnsi="Geneva"/>
      <w:color w:val="000000"/>
      <w:sz w:val="23"/>
      <w:szCs w:val="23"/>
      <w:u w:val="none"/>
    </w:rPr>
  </w:style>
  <w:style w:type="character" w:customStyle="1" w:styleId="161">
    <w:name w:val="正文001 Char1"/>
    <w:link w:val="162"/>
    <w:qFormat/>
    <w:uiPriority w:val="0"/>
    <w:rPr>
      <w:rFonts w:eastAsia="宋体"/>
      <w:kern w:val="2"/>
      <w:sz w:val="24"/>
      <w:lang w:val="en-US" w:eastAsia="zh-CN" w:bidi="ar-SA"/>
    </w:rPr>
  </w:style>
  <w:style w:type="paragraph" w:customStyle="1" w:styleId="162">
    <w:name w:val="正文001"/>
    <w:basedOn w:val="1"/>
    <w:link w:val="161"/>
    <w:qFormat/>
    <w:uiPriority w:val="0"/>
    <w:pPr>
      <w:spacing w:before="60" w:line="420" w:lineRule="exact"/>
      <w:ind w:firstLine="482"/>
    </w:pPr>
    <w:rPr>
      <w:rFonts w:eastAsia="宋体"/>
      <w:sz w:val="24"/>
    </w:rPr>
  </w:style>
  <w:style w:type="character" w:customStyle="1" w:styleId="163">
    <w:name w:val="正文01 Char"/>
    <w:link w:val="164"/>
    <w:qFormat/>
    <w:uiPriority w:val="0"/>
    <w:rPr>
      <w:rFonts w:eastAsia="宋体"/>
      <w:kern w:val="2"/>
      <w:sz w:val="24"/>
      <w:lang w:val="en-US" w:eastAsia="zh-CN" w:bidi="ar-SA"/>
    </w:rPr>
  </w:style>
  <w:style w:type="paragraph" w:customStyle="1" w:styleId="164">
    <w:name w:val="正文01"/>
    <w:basedOn w:val="1"/>
    <w:link w:val="163"/>
    <w:qFormat/>
    <w:uiPriority w:val="0"/>
    <w:pPr>
      <w:spacing w:before="60" w:line="460" w:lineRule="exact"/>
      <w:ind w:firstLine="200" w:firstLineChars="200"/>
    </w:pPr>
    <w:rPr>
      <w:rFonts w:eastAsia="宋体"/>
      <w:sz w:val="24"/>
    </w:rPr>
  </w:style>
  <w:style w:type="character" w:customStyle="1" w:styleId="165">
    <w:name w:val="纯文本 Char"/>
    <w:qFormat/>
    <w:uiPriority w:val="0"/>
    <w:rPr>
      <w:rFonts w:ascii="宋体" w:hAnsi="Courier New" w:eastAsia="宋体"/>
      <w:kern w:val="2"/>
      <w:sz w:val="21"/>
      <w:szCs w:val="21"/>
      <w:lang w:val="en-US" w:eastAsia="zh-CN" w:bidi="ar-SA"/>
    </w:rPr>
  </w:style>
  <w:style w:type="character" w:customStyle="1" w:styleId="166">
    <w:name w:val="页脚 字符2"/>
    <w:link w:val="55"/>
    <w:qFormat/>
    <w:uiPriority w:val="99"/>
    <w:rPr>
      <w:rFonts w:eastAsia="仿宋_GB2312"/>
      <w:kern w:val="2"/>
      <w:sz w:val="18"/>
    </w:rPr>
  </w:style>
  <w:style w:type="character" w:customStyle="1" w:styleId="167">
    <w:name w:val="dl1"/>
    <w:qFormat/>
    <w:uiPriority w:val="0"/>
    <w:rPr>
      <w:color w:val="000000"/>
      <w:sz w:val="20"/>
      <w:szCs w:val="20"/>
    </w:rPr>
  </w:style>
  <w:style w:type="character" w:customStyle="1" w:styleId="168">
    <w:name w:val="正文调整 Char"/>
    <w:link w:val="169"/>
    <w:qFormat/>
    <w:uiPriority w:val="0"/>
    <w:rPr>
      <w:kern w:val="2"/>
      <w:sz w:val="24"/>
      <w:szCs w:val="24"/>
    </w:rPr>
  </w:style>
  <w:style w:type="paragraph" w:customStyle="1" w:styleId="169">
    <w:name w:val="正文调整"/>
    <w:basedOn w:val="162"/>
    <w:link w:val="168"/>
    <w:uiPriority w:val="0"/>
    <w:pPr>
      <w:spacing w:line="460" w:lineRule="atLeast"/>
      <w:ind w:firstLine="200" w:firstLineChars="200"/>
    </w:pPr>
    <w:rPr>
      <w:szCs w:val="24"/>
      <w:lang w:val="zh-CN" w:eastAsia="zh-CN"/>
    </w:rPr>
  </w:style>
  <w:style w:type="character" w:customStyle="1" w:styleId="170">
    <w:name w:val="px14"/>
    <w:basedOn w:val="132"/>
    <w:qFormat/>
    <w:uiPriority w:val="0"/>
  </w:style>
  <w:style w:type="character" w:customStyle="1" w:styleId="171">
    <w:name w:val="HTML 预设格式 字符"/>
    <w:link w:val="80"/>
    <w:qFormat/>
    <w:uiPriority w:val="0"/>
    <w:rPr>
      <w:rFonts w:ascii="宋体" w:hAnsi="宋体" w:cs="宋体"/>
      <w:sz w:val="24"/>
      <w:szCs w:val="24"/>
    </w:rPr>
  </w:style>
  <w:style w:type="character" w:customStyle="1" w:styleId="172">
    <w:name w:val="样式 正文文本缩进 + 宋体 13 磅 Char"/>
    <w:qFormat/>
    <w:uiPriority w:val="0"/>
    <w:rPr>
      <w:rFonts w:ascii="宋体" w:hAnsi="宋体" w:eastAsia="宋体"/>
      <w:kern w:val="2"/>
      <w:sz w:val="28"/>
      <w:szCs w:val="28"/>
      <w:lang w:val="en-US" w:eastAsia="zh-CN" w:bidi="ar-SA"/>
    </w:rPr>
  </w:style>
  <w:style w:type="character" w:customStyle="1" w:styleId="173">
    <w:name w:val="11p"/>
    <w:basedOn w:val="132"/>
    <w:qFormat/>
    <w:uiPriority w:val="0"/>
  </w:style>
  <w:style w:type="character" w:customStyle="1" w:styleId="174">
    <w:name w:val="正文首行缩进 字符"/>
    <w:link w:val="40"/>
    <w:qFormat/>
    <w:uiPriority w:val="99"/>
    <w:rPr>
      <w:rFonts w:eastAsia="仿宋_GB2312"/>
      <w:kern w:val="2"/>
      <w:sz w:val="28"/>
      <w:lang w:val="en-US" w:eastAsia="zh-CN" w:bidi="ar-SA"/>
    </w:rPr>
  </w:style>
  <w:style w:type="character" w:customStyle="1" w:styleId="175">
    <w:name w:val="表头 Char"/>
    <w:qFormat/>
    <w:uiPriority w:val="0"/>
    <w:rPr>
      <w:rFonts w:eastAsia="宋体"/>
      <w:kern w:val="2"/>
      <w:sz w:val="21"/>
      <w:szCs w:val="21"/>
      <w:lang w:val="en-US" w:eastAsia="zh-CN" w:bidi="ar-SA"/>
    </w:rPr>
  </w:style>
  <w:style w:type="character" w:customStyle="1" w:styleId="176">
    <w:name w:val="正文缩进 Char1 Char Char Char"/>
    <w:qFormat/>
    <w:uiPriority w:val="0"/>
    <w:rPr>
      <w:rFonts w:eastAsia="宋体"/>
      <w:lang w:val="en-US" w:eastAsia="zh-CN"/>
    </w:rPr>
  </w:style>
  <w:style w:type="character" w:customStyle="1" w:styleId="177">
    <w:name w:val="样式 Char Char Char Char Char Char Char Char Char Char Char Char Char Char Char Char Char Char"/>
    <w:link w:val="178"/>
    <w:qFormat/>
    <w:uiPriority w:val="0"/>
    <w:rPr>
      <w:rFonts w:eastAsia="宋体"/>
      <w:kern w:val="2"/>
      <w:sz w:val="24"/>
      <w:szCs w:val="24"/>
      <w:lang w:val="en-US" w:eastAsia="zh-CN" w:bidi="ar-SA"/>
    </w:rPr>
  </w:style>
  <w:style w:type="paragraph" w:customStyle="1" w:styleId="178">
    <w:name w:val="样式 Char Char Char Char Char Char Char Char Char Char Char Char Char Char Char Char Char"/>
    <w:basedOn w:val="4"/>
    <w:link w:val="177"/>
    <w:qFormat/>
    <w:uiPriority w:val="0"/>
    <w:pPr>
      <w:widowControl/>
      <w:overflowPunct w:val="0"/>
      <w:autoSpaceDE w:val="0"/>
      <w:autoSpaceDN w:val="0"/>
      <w:adjustRightInd w:val="0"/>
      <w:spacing w:line="240" w:lineRule="auto"/>
      <w:ind w:firstLine="491" w:firstLineChars="200"/>
      <w:textAlignment w:val="baseline"/>
    </w:pPr>
    <w:rPr>
      <w:rFonts w:ascii="Times New Roman" w:hAnsi="Times New Roman" w:cs="Times New Roman"/>
      <w:spacing w:val="0"/>
      <w:szCs w:val="24"/>
    </w:rPr>
  </w:style>
  <w:style w:type="character" w:customStyle="1" w:styleId="179">
    <w:name w:val="中远正文 Char"/>
    <w:link w:val="180"/>
    <w:qFormat/>
    <w:uiPriority w:val="0"/>
    <w:rPr>
      <w:rFonts w:ascii="Arial" w:hAnsi="Arial" w:eastAsia="宋体" w:cs="Arial"/>
      <w:kern w:val="2"/>
      <w:sz w:val="24"/>
      <w:szCs w:val="24"/>
      <w:lang w:val="en-US" w:eastAsia="zh-CN" w:bidi="ar-SA"/>
    </w:rPr>
  </w:style>
  <w:style w:type="paragraph" w:customStyle="1" w:styleId="180">
    <w:name w:val="中远正文"/>
    <w:basedOn w:val="1"/>
    <w:link w:val="179"/>
    <w:qFormat/>
    <w:uiPriority w:val="0"/>
    <w:pPr>
      <w:spacing w:line="440" w:lineRule="exact"/>
      <w:ind w:firstLine="480" w:firstLineChars="200"/>
    </w:pPr>
    <w:rPr>
      <w:rFonts w:ascii="Arial" w:hAnsi="Arial" w:eastAsia="宋体" w:cs="Arial"/>
      <w:sz w:val="24"/>
      <w:szCs w:val="24"/>
    </w:rPr>
  </w:style>
  <w:style w:type="character" w:customStyle="1" w:styleId="181">
    <w:name w:val="样式 Char Char Char Char Char Char Char Char Char Char Char Char Char Char Char Char Char1"/>
    <w:qFormat/>
    <w:uiPriority w:val="0"/>
    <w:rPr>
      <w:rFonts w:eastAsia="宋体"/>
      <w:kern w:val="2"/>
      <w:sz w:val="24"/>
      <w:szCs w:val="24"/>
      <w:lang w:val="en-US" w:eastAsia="zh-CN" w:bidi="ar-SA"/>
    </w:rPr>
  </w:style>
  <w:style w:type="character" w:customStyle="1" w:styleId="182">
    <w:name w:val="正文文本 3 字符"/>
    <w:link w:val="30"/>
    <w:qFormat/>
    <w:uiPriority w:val="0"/>
    <w:rPr>
      <w:rFonts w:eastAsia="仿宋_GB2312"/>
      <w:kern w:val="2"/>
      <w:sz w:val="16"/>
      <w:szCs w:val="16"/>
      <w:lang w:val="en-US" w:eastAsia="zh-CN" w:bidi="ar-SA"/>
    </w:rPr>
  </w:style>
  <w:style w:type="character" w:customStyle="1" w:styleId="183">
    <w:name w:val="正文缩进 字符1"/>
    <w:link w:val="4"/>
    <w:qFormat/>
    <w:uiPriority w:val="0"/>
    <w:rPr>
      <w:rFonts w:ascii="Arial" w:hAnsi="Arial" w:eastAsia="宋体" w:cs="Arial"/>
      <w:spacing w:val="10"/>
      <w:kern w:val="2"/>
      <w:sz w:val="24"/>
      <w:lang w:val="en-US" w:eastAsia="zh-CN" w:bidi="ar-SA"/>
    </w:rPr>
  </w:style>
  <w:style w:type="character" w:customStyle="1" w:styleId="184">
    <w:name w:val="txt"/>
    <w:basedOn w:val="132"/>
    <w:qFormat/>
    <w:uiPriority w:val="0"/>
  </w:style>
  <w:style w:type="character" w:customStyle="1" w:styleId="185">
    <w:name w:val="标题 4 字符1"/>
    <w:link w:val="6"/>
    <w:qFormat/>
    <w:uiPriority w:val="0"/>
    <w:rPr>
      <w:rFonts w:ascii="Arial" w:hAnsi="Arial" w:eastAsia="仿宋_GB2312"/>
      <w:b/>
      <w:kern w:val="2"/>
      <w:sz w:val="24"/>
      <w:lang w:val="zh-CN" w:eastAsia="zh-CN"/>
    </w:rPr>
  </w:style>
  <w:style w:type="character" w:customStyle="1" w:styleId="186">
    <w:name w:val="批注框文本 字符"/>
    <w:link w:val="54"/>
    <w:qFormat/>
    <w:uiPriority w:val="0"/>
    <w:rPr>
      <w:rFonts w:eastAsia="仿宋_GB2312"/>
      <w:kern w:val="2"/>
      <w:sz w:val="18"/>
      <w:szCs w:val="18"/>
      <w:lang w:val="en-US" w:eastAsia="zh-CN" w:bidi="ar-SA"/>
    </w:rPr>
  </w:style>
  <w:style w:type="character" w:customStyle="1" w:styleId="187">
    <w:name w:val="标题 3 字符1"/>
    <w:link w:val="5"/>
    <w:qFormat/>
    <w:uiPriority w:val="0"/>
    <w:rPr>
      <w:rFonts w:ascii="仿宋_GB2312" w:eastAsia="仿宋_GB2312"/>
      <w:b/>
      <w:bCs/>
      <w:sz w:val="24"/>
      <w:lang w:val="zh-CN" w:eastAsia="zh-CN"/>
    </w:rPr>
  </w:style>
  <w:style w:type="character" w:customStyle="1" w:styleId="188">
    <w:name w:val="c1"/>
    <w:qFormat/>
    <w:uiPriority w:val="0"/>
    <w:rPr>
      <w:sz w:val="28"/>
      <w:szCs w:val="28"/>
    </w:rPr>
  </w:style>
  <w:style w:type="character" w:customStyle="1" w:styleId="189">
    <w:name w:val="标题 1 字符1"/>
    <w:link w:val="2"/>
    <w:qFormat/>
    <w:uiPriority w:val="0"/>
    <w:rPr>
      <w:b/>
      <w:kern w:val="44"/>
      <w:sz w:val="36"/>
    </w:rPr>
  </w:style>
  <w:style w:type="character" w:customStyle="1" w:styleId="190">
    <w:name w:val="标题 2 字符1"/>
    <w:link w:val="3"/>
    <w:qFormat/>
    <w:uiPriority w:val="0"/>
    <w:rPr>
      <w:rFonts w:ascii="黑体" w:hAnsi="Arial" w:eastAsia="黑体"/>
      <w:kern w:val="2"/>
      <w:sz w:val="28"/>
      <w:lang w:val="zh-CN" w:eastAsia="zh-CN"/>
    </w:rPr>
  </w:style>
  <w:style w:type="character" w:customStyle="1" w:styleId="191">
    <w:name w:val="正文缩进 Char1"/>
    <w:qFormat/>
    <w:uiPriority w:val="0"/>
    <w:rPr>
      <w:rFonts w:ascii="Arial" w:hAnsi="Arial" w:eastAsia="宋体" w:cs="Arial"/>
      <w:spacing w:val="10"/>
      <w:kern w:val="2"/>
      <w:sz w:val="24"/>
      <w:lang w:val="en-US" w:eastAsia="zh-CN" w:bidi="ar-SA"/>
    </w:rPr>
  </w:style>
  <w:style w:type="character" w:customStyle="1" w:styleId="192">
    <w:name w:val="标题 3 Char1"/>
    <w:qFormat/>
    <w:uiPriority w:val="0"/>
    <w:rPr>
      <w:rFonts w:ascii="仿宋_GB2312" w:eastAsia="仿宋_GB2312"/>
      <w:b/>
      <w:bCs/>
      <w:kern w:val="2"/>
      <w:sz w:val="24"/>
      <w:lang w:val="en-US" w:eastAsia="zh-CN" w:bidi="ar-SA"/>
    </w:rPr>
  </w:style>
  <w:style w:type="character" w:customStyle="1" w:styleId="193">
    <w:name w:val="纯文本 字符2"/>
    <w:link w:val="45"/>
    <w:qFormat/>
    <w:uiPriority w:val="0"/>
    <w:rPr>
      <w:rFonts w:ascii="宋体" w:hAnsi="Courier New" w:eastAsia="宋体"/>
      <w:kern w:val="2"/>
      <w:sz w:val="21"/>
      <w:lang w:val="en-US" w:eastAsia="zh-CN" w:bidi="ar-SA"/>
    </w:rPr>
  </w:style>
  <w:style w:type="character" w:customStyle="1" w:styleId="194">
    <w:name w:val="页眉 字符2"/>
    <w:link w:val="57"/>
    <w:qFormat/>
    <w:uiPriority w:val="99"/>
    <w:rPr>
      <w:rFonts w:eastAsia="仿宋_GB2312"/>
      <w:kern w:val="2"/>
      <w:sz w:val="18"/>
      <w:lang w:val="en-US" w:eastAsia="zh-CN" w:bidi="ar-SA"/>
    </w:rPr>
  </w:style>
  <w:style w:type="character" w:customStyle="1" w:styleId="195">
    <w:name w:val="表格文字2 Char"/>
    <w:link w:val="196"/>
    <w:qFormat/>
    <w:uiPriority w:val="0"/>
    <w:rPr>
      <w:rFonts w:ascii="宋体" w:eastAsia="宋体"/>
      <w:kern w:val="2"/>
      <w:sz w:val="21"/>
      <w:szCs w:val="24"/>
      <w:lang w:val="en-US" w:eastAsia="zh-CN" w:bidi="ar-SA"/>
    </w:rPr>
  </w:style>
  <w:style w:type="paragraph" w:customStyle="1" w:styleId="196">
    <w:name w:val="表格文字2"/>
    <w:basedOn w:val="1"/>
    <w:link w:val="195"/>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eastAsia="宋体"/>
      <w:sz w:val="21"/>
      <w:szCs w:val="24"/>
    </w:rPr>
  </w:style>
  <w:style w:type="character" w:customStyle="1" w:styleId="197">
    <w:name w:val="标题1"/>
    <w:basedOn w:val="132"/>
    <w:qFormat/>
    <w:uiPriority w:val="0"/>
  </w:style>
  <w:style w:type="character" w:customStyle="1" w:styleId="198">
    <w:name w:val="txt61"/>
    <w:qFormat/>
    <w:uiPriority w:val="0"/>
    <w:rPr>
      <w:color w:val="003366"/>
      <w:sz w:val="20"/>
      <w:szCs w:val="20"/>
      <w:u w:val="none"/>
    </w:rPr>
  </w:style>
  <w:style w:type="character" w:customStyle="1" w:styleId="199">
    <w:name w:val="xmj1"/>
    <w:qFormat/>
    <w:uiPriority w:val="0"/>
    <w:rPr>
      <w:color w:val="000000"/>
      <w:sz w:val="18"/>
      <w:szCs w:val="18"/>
      <w:u w:val="none"/>
    </w:rPr>
  </w:style>
  <w:style w:type="character" w:styleId="200">
    <w:name w:val="Placeholder Text"/>
    <w:semiHidden/>
    <w:qFormat/>
    <w:uiPriority w:val="0"/>
    <w:rPr>
      <w:color w:val="808080"/>
    </w:rPr>
  </w:style>
  <w:style w:type="character" w:customStyle="1" w:styleId="201">
    <w:name w:val="css1"/>
    <w:qFormat/>
    <w:uiPriority w:val="0"/>
    <w:rPr>
      <w:rFonts w:hint="default" w:ascii="ˎ̥" w:hAnsi="ˎ̥"/>
      <w:color w:val="000000"/>
      <w:sz w:val="16"/>
      <w:szCs w:val="16"/>
    </w:rPr>
  </w:style>
  <w:style w:type="character" w:customStyle="1" w:styleId="202">
    <w:name w:val="样式9 Char"/>
    <w:link w:val="203"/>
    <w:qFormat/>
    <w:uiPriority w:val="0"/>
    <w:rPr>
      <w:rFonts w:ascii="Arial" w:hAnsi="Arial" w:eastAsia="宋体" w:cs="Arial"/>
      <w:spacing w:val="10"/>
      <w:kern w:val="2"/>
      <w:sz w:val="24"/>
      <w:lang w:val="en-US" w:eastAsia="zh-CN" w:bidi="ar-SA"/>
    </w:rPr>
  </w:style>
  <w:style w:type="paragraph" w:customStyle="1" w:styleId="203">
    <w:name w:val="样式9"/>
    <w:basedOn w:val="4"/>
    <w:link w:val="202"/>
    <w:qFormat/>
    <w:uiPriority w:val="0"/>
  </w:style>
  <w:style w:type="character" w:customStyle="1" w:styleId="204">
    <w:name w:val="Char Char"/>
    <w:qFormat/>
    <w:uiPriority w:val="0"/>
    <w:rPr>
      <w:rFonts w:ascii="仿宋_GB2312" w:eastAsia="仿宋_GB2312"/>
      <w:b/>
      <w:bCs/>
      <w:kern w:val="2"/>
      <w:sz w:val="24"/>
      <w:lang w:val="en-US" w:eastAsia="zh-CN" w:bidi="ar-SA"/>
    </w:rPr>
  </w:style>
  <w:style w:type="character" w:customStyle="1" w:styleId="205">
    <w:name w:val="my Char"/>
    <w:link w:val="206"/>
    <w:qFormat/>
    <w:uiPriority w:val="0"/>
    <w:rPr>
      <w:rFonts w:eastAsia="华文楷体"/>
      <w:snapToGrid w:val="0"/>
      <w:sz w:val="28"/>
      <w:szCs w:val="28"/>
      <w:lang w:val="en-US" w:eastAsia="zh-CN" w:bidi="ar-SA"/>
    </w:rPr>
  </w:style>
  <w:style w:type="paragraph" w:customStyle="1" w:styleId="206">
    <w:name w:val="my"/>
    <w:basedOn w:val="1"/>
    <w:link w:val="205"/>
    <w:qFormat/>
    <w:uiPriority w:val="0"/>
    <w:pPr>
      <w:widowControl/>
      <w:tabs>
        <w:tab w:val="left" w:pos="0"/>
      </w:tabs>
      <w:adjustRightInd w:val="0"/>
      <w:spacing w:line="560" w:lineRule="exact"/>
      <w:ind w:firstLine="200" w:firstLineChars="200"/>
    </w:pPr>
    <w:rPr>
      <w:rFonts w:eastAsia="华文楷体"/>
      <w:snapToGrid w:val="0"/>
      <w:kern w:val="0"/>
      <w:szCs w:val="28"/>
    </w:rPr>
  </w:style>
  <w:style w:type="character" w:customStyle="1" w:styleId="207">
    <w:name w:val="报告书正文 Char"/>
    <w:link w:val="208"/>
    <w:qFormat/>
    <w:uiPriority w:val="0"/>
    <w:rPr>
      <w:rFonts w:eastAsia="宋体"/>
      <w:color w:val="000000"/>
      <w:kern w:val="2"/>
      <w:sz w:val="24"/>
      <w:szCs w:val="24"/>
      <w:lang w:val="en-US" w:eastAsia="zh-CN" w:bidi="ar-SA"/>
    </w:rPr>
  </w:style>
  <w:style w:type="paragraph" w:customStyle="1" w:styleId="208">
    <w:name w:val="报告书正文"/>
    <w:basedOn w:val="1"/>
    <w:link w:val="207"/>
    <w:qFormat/>
    <w:uiPriority w:val="0"/>
    <w:pPr>
      <w:spacing w:line="360" w:lineRule="auto"/>
      <w:ind w:firstLine="200" w:firstLineChars="200"/>
    </w:pPr>
    <w:rPr>
      <w:rFonts w:eastAsia="宋体"/>
      <w:color w:val="000000"/>
      <w:sz w:val="24"/>
      <w:szCs w:val="24"/>
    </w:rPr>
  </w:style>
  <w:style w:type="character" w:customStyle="1" w:styleId="209">
    <w:name w:val="textjianju21"/>
    <w:qFormat/>
    <w:uiPriority w:val="0"/>
    <w:rPr>
      <w:color w:val="000000"/>
      <w:sz w:val="20"/>
      <w:szCs w:val="20"/>
    </w:rPr>
  </w:style>
  <w:style w:type="character" w:customStyle="1" w:styleId="210">
    <w:name w:val="a91"/>
    <w:qFormat/>
    <w:uiPriority w:val="0"/>
    <w:rPr>
      <w:sz w:val="18"/>
      <w:szCs w:val="18"/>
      <w:u w:val="none"/>
    </w:rPr>
  </w:style>
  <w:style w:type="character" w:customStyle="1" w:styleId="211">
    <w:name w:val="black3"/>
    <w:qFormat/>
    <w:uiPriority w:val="0"/>
    <w:rPr>
      <w:rFonts w:hint="eastAsia" w:ascii="宋体" w:hAnsi="宋体" w:eastAsia="宋体"/>
      <w:color w:val="000000"/>
      <w:sz w:val="18"/>
      <w:szCs w:val="18"/>
      <w:u w:val="none"/>
    </w:rPr>
  </w:style>
  <w:style w:type="character" w:customStyle="1" w:styleId="212">
    <w:name w:val="样式0 Char"/>
    <w:link w:val="213"/>
    <w:qFormat/>
    <w:uiPriority w:val="0"/>
    <w:rPr>
      <w:rFonts w:ascii="Arial" w:hAnsi="Arial" w:eastAsia="宋体" w:cs="Arial"/>
      <w:spacing w:val="10"/>
      <w:kern w:val="2"/>
      <w:sz w:val="24"/>
      <w:lang w:val="en-US" w:eastAsia="zh-CN" w:bidi="ar-SA"/>
    </w:rPr>
  </w:style>
  <w:style w:type="paragraph" w:customStyle="1" w:styleId="213">
    <w:name w:val="样式0"/>
    <w:basedOn w:val="4"/>
    <w:link w:val="212"/>
    <w:qFormat/>
    <w:uiPriority w:val="0"/>
  </w:style>
  <w:style w:type="character" w:customStyle="1" w:styleId="214">
    <w:name w:val="样式 Char"/>
    <w:link w:val="215"/>
    <w:qFormat/>
    <w:uiPriority w:val="0"/>
    <w:rPr>
      <w:rFonts w:ascii="Arial" w:hAnsi="Arial" w:eastAsia="宋体" w:cs="Arial"/>
      <w:spacing w:val="10"/>
      <w:kern w:val="2"/>
      <w:sz w:val="24"/>
      <w:lang w:val="en-US" w:eastAsia="zh-CN" w:bidi="ar-SA"/>
    </w:rPr>
  </w:style>
  <w:style w:type="paragraph" w:customStyle="1" w:styleId="215">
    <w:name w:val="样式"/>
    <w:basedOn w:val="4"/>
    <w:link w:val="214"/>
    <w:qFormat/>
    <w:uiPriority w:val="0"/>
  </w:style>
  <w:style w:type="character" w:customStyle="1" w:styleId="216">
    <w:name w:val="副标题 字符"/>
    <w:link w:val="64"/>
    <w:qFormat/>
    <w:uiPriority w:val="0"/>
    <w:rPr>
      <w:rFonts w:eastAsia="仿宋_GB2312"/>
      <w:b/>
      <w:bCs/>
      <w:kern w:val="28"/>
      <w:sz w:val="28"/>
      <w:szCs w:val="32"/>
      <w:lang w:val="en-US" w:eastAsia="zh-CN" w:bidi="ar-SA"/>
    </w:rPr>
  </w:style>
  <w:style w:type="character" w:customStyle="1" w:styleId="217">
    <w:name w:val="样式2 Char Char"/>
    <w:link w:val="218"/>
    <w:qFormat/>
    <w:uiPriority w:val="0"/>
    <w:rPr>
      <w:rFonts w:eastAsia="宋体"/>
      <w:kern w:val="2"/>
      <w:sz w:val="24"/>
      <w:szCs w:val="24"/>
      <w:lang w:val="en-US" w:eastAsia="zh-CN" w:bidi="ar-SA"/>
    </w:rPr>
  </w:style>
  <w:style w:type="paragraph" w:customStyle="1" w:styleId="218">
    <w:name w:val="样式2 Char"/>
    <w:basedOn w:val="4"/>
    <w:link w:val="217"/>
    <w:qFormat/>
    <w:uiPriority w:val="0"/>
    <w:pPr>
      <w:widowControl/>
      <w:overflowPunct w:val="0"/>
      <w:autoSpaceDE w:val="0"/>
      <w:autoSpaceDN w:val="0"/>
      <w:adjustRightInd w:val="0"/>
      <w:spacing w:line="240" w:lineRule="auto"/>
      <w:ind w:firstLine="491" w:firstLineChars="200"/>
      <w:textAlignment w:val="baseline"/>
    </w:pPr>
    <w:rPr>
      <w:rFonts w:ascii="Times New Roman" w:hAnsi="Times New Roman" w:cs="Times New Roman"/>
      <w:spacing w:val="0"/>
      <w:szCs w:val="24"/>
    </w:rPr>
  </w:style>
  <w:style w:type="character" w:customStyle="1" w:styleId="219">
    <w:name w:val="样式3 Char Char Char Char"/>
    <w:link w:val="220"/>
    <w:qFormat/>
    <w:uiPriority w:val="0"/>
    <w:rPr>
      <w:rFonts w:eastAsia="宋体"/>
      <w:kern w:val="2"/>
      <w:sz w:val="24"/>
      <w:szCs w:val="24"/>
      <w:lang w:val="en-US" w:eastAsia="zh-CN" w:bidi="ar-SA"/>
    </w:rPr>
  </w:style>
  <w:style w:type="paragraph" w:customStyle="1" w:styleId="220">
    <w:name w:val="样式3 Char Char Char"/>
    <w:basedOn w:val="4"/>
    <w:link w:val="219"/>
    <w:qFormat/>
    <w:uiPriority w:val="0"/>
    <w:pPr>
      <w:widowControl/>
      <w:overflowPunct w:val="0"/>
      <w:autoSpaceDE w:val="0"/>
      <w:autoSpaceDN w:val="0"/>
      <w:adjustRightInd w:val="0"/>
      <w:spacing w:line="360" w:lineRule="auto"/>
      <w:ind w:firstLine="491" w:firstLineChars="200"/>
      <w:textAlignment w:val="baseline"/>
    </w:pPr>
    <w:rPr>
      <w:rFonts w:ascii="Times New Roman" w:hAnsi="Times New Roman" w:cs="Times New Roman"/>
      <w:spacing w:val="0"/>
      <w:szCs w:val="24"/>
    </w:rPr>
  </w:style>
  <w:style w:type="character" w:customStyle="1" w:styleId="221">
    <w:name w:val="yangshi-h41"/>
    <w:qFormat/>
    <w:uiPriority w:val="0"/>
    <w:rPr>
      <w:rFonts w:ascii="黑体" w:eastAsia="黑体"/>
      <w:b/>
      <w:bCs/>
      <w:color w:val="000000"/>
      <w:sz w:val="24"/>
      <w:szCs w:val="24"/>
    </w:rPr>
  </w:style>
  <w:style w:type="character" w:customStyle="1" w:styleId="222">
    <w:name w:val="样式 Char Char Char Char Char Char Char Char Char Char Char Char Char Char Char Char"/>
    <w:qFormat/>
    <w:uiPriority w:val="0"/>
    <w:rPr>
      <w:rFonts w:eastAsia="宋体"/>
      <w:sz w:val="24"/>
      <w:szCs w:val="24"/>
      <w:lang w:val="en-US" w:eastAsia="zh-CN" w:bidi="ar-SA"/>
    </w:rPr>
  </w:style>
  <w:style w:type="character" w:customStyle="1" w:styleId="223">
    <w:name w:val="样式3 Char Char Char Char Char"/>
    <w:qFormat/>
    <w:uiPriority w:val="0"/>
    <w:rPr>
      <w:rFonts w:eastAsia="宋体"/>
      <w:sz w:val="24"/>
      <w:szCs w:val="24"/>
      <w:lang w:val="en-US" w:eastAsia="zh-CN" w:bidi="ar-SA"/>
    </w:rPr>
  </w:style>
  <w:style w:type="character" w:customStyle="1" w:styleId="224">
    <w:name w:val="样式3 Char Char Char Char Char Char"/>
    <w:qFormat/>
    <w:uiPriority w:val="0"/>
    <w:rPr>
      <w:rFonts w:eastAsia="宋体"/>
      <w:sz w:val="24"/>
      <w:szCs w:val="24"/>
      <w:lang w:val="en-US" w:eastAsia="zh-CN" w:bidi="ar-SA"/>
    </w:rPr>
  </w:style>
  <w:style w:type="character" w:customStyle="1" w:styleId="225">
    <w:name w:val="样式2 Char Char Char"/>
    <w:qFormat/>
    <w:uiPriority w:val="0"/>
    <w:rPr>
      <w:rFonts w:eastAsia="宋体"/>
      <w:sz w:val="24"/>
      <w:szCs w:val="24"/>
      <w:lang w:val="en-US" w:eastAsia="zh-CN"/>
    </w:rPr>
  </w:style>
  <w:style w:type="character" w:customStyle="1" w:styleId="226">
    <w:name w:val="正文首行缩进 Char1 Char Char"/>
    <w:qFormat/>
    <w:uiPriority w:val="0"/>
    <w:rPr>
      <w:rFonts w:ascii="宋体" w:eastAsia="宋体"/>
      <w:kern w:val="2"/>
      <w:sz w:val="28"/>
      <w:szCs w:val="28"/>
      <w:lang w:val="en-US" w:eastAsia="zh-CN" w:bidi="ar-SA"/>
    </w:rPr>
  </w:style>
  <w:style w:type="character" w:customStyle="1" w:styleId="227">
    <w:name w:val="标题 3 Char1 Char"/>
    <w:qFormat/>
    <w:uiPriority w:val="0"/>
    <w:rPr>
      <w:rFonts w:ascii="黑体" w:eastAsia="黑体"/>
      <w:b/>
      <w:kern w:val="2"/>
      <w:sz w:val="24"/>
      <w:szCs w:val="21"/>
      <w:lang w:val="en-US" w:eastAsia="zh-CN" w:bidi="ar-SA"/>
    </w:rPr>
  </w:style>
  <w:style w:type="character" w:customStyle="1" w:styleId="228">
    <w:name w:val="超链接1"/>
    <w:qFormat/>
    <w:uiPriority w:val="0"/>
    <w:rPr>
      <w:color w:val="0000FF"/>
      <w:u w:val="single"/>
    </w:rPr>
  </w:style>
  <w:style w:type="character" w:customStyle="1" w:styleId="229">
    <w:name w:val="fieldlabel1"/>
    <w:qFormat/>
    <w:uiPriority w:val="0"/>
    <w:rPr>
      <w:rFonts w:hint="default" w:ascii="Verdana" w:hAnsi="Verdana"/>
      <w:b/>
      <w:bCs/>
      <w:color w:val="000000"/>
      <w:sz w:val="24"/>
      <w:szCs w:val="24"/>
    </w:rPr>
  </w:style>
  <w:style w:type="character" w:customStyle="1" w:styleId="230">
    <w:name w:val="fieldcontents1"/>
    <w:qFormat/>
    <w:uiPriority w:val="0"/>
    <w:rPr>
      <w:rFonts w:hint="default" w:ascii="Verdana" w:hAnsi="Verdana"/>
      <w:color w:val="000000"/>
      <w:sz w:val="24"/>
      <w:szCs w:val="24"/>
    </w:rPr>
  </w:style>
  <w:style w:type="character" w:customStyle="1" w:styleId="231">
    <w:name w:val="题注 字符1"/>
    <w:link w:val="21"/>
    <w:qFormat/>
    <w:uiPriority w:val="0"/>
    <w:rPr>
      <w:rFonts w:ascii="Arial" w:hAnsi="Arial" w:eastAsia="黑体" w:cs="Arial"/>
      <w:kern w:val="2"/>
      <w:lang w:val="en-US" w:eastAsia="zh-CN" w:bidi="ar-SA"/>
    </w:rPr>
  </w:style>
  <w:style w:type="character" w:customStyle="1" w:styleId="232">
    <w:name w:val="题注 Char"/>
    <w:qFormat/>
    <w:uiPriority w:val="0"/>
    <w:rPr>
      <w:rFonts w:ascii="Arial" w:hAnsi="Arial" w:eastAsia="宋体" w:cs="Arial"/>
      <w:kern w:val="2"/>
      <w:sz w:val="24"/>
      <w:lang w:val="en-US" w:eastAsia="zh-CN" w:bidi="ar-SA"/>
    </w:rPr>
  </w:style>
  <w:style w:type="character" w:customStyle="1" w:styleId="233">
    <w:name w:val="样式 题注 + (中文) 黑体 加粗 Char"/>
    <w:qFormat/>
    <w:uiPriority w:val="0"/>
    <w:rPr>
      <w:rFonts w:ascii="Arial" w:hAnsi="Arial" w:eastAsia="宋体" w:cs="Arial"/>
      <w:b/>
      <w:bCs/>
      <w:kern w:val="2"/>
      <w:sz w:val="24"/>
      <w:lang w:val="en-US" w:eastAsia="zh-CN" w:bidi="ar-SA"/>
    </w:rPr>
  </w:style>
  <w:style w:type="character" w:customStyle="1" w:styleId="234">
    <w:name w:val="样式 题注 + (中文) 黑体 Char"/>
    <w:basedOn w:val="232"/>
    <w:qFormat/>
    <w:uiPriority w:val="0"/>
    <w:rPr>
      <w:rFonts w:ascii="Arial" w:hAnsi="Arial" w:eastAsia="宋体" w:cs="Arial"/>
      <w:kern w:val="2"/>
      <w:sz w:val="24"/>
      <w:lang w:val="en-US" w:eastAsia="zh-CN" w:bidi="ar-SA"/>
    </w:rPr>
  </w:style>
  <w:style w:type="character" w:customStyle="1" w:styleId="235">
    <w:name w:val="正文首行缩进 2 + Times New Roman Char"/>
    <w:link w:val="236"/>
    <w:qFormat/>
    <w:uiPriority w:val="0"/>
    <w:rPr>
      <w:rFonts w:ascii="宋体" w:hAnsi="宋体" w:eastAsia="宋体"/>
      <w:sz w:val="24"/>
      <w:szCs w:val="24"/>
      <w:lang w:val="en-US" w:eastAsia="zh-CN" w:bidi="ar-SA"/>
    </w:rPr>
  </w:style>
  <w:style w:type="paragraph" w:customStyle="1" w:styleId="236">
    <w:name w:val="正文首行缩进 2 + Times New Roman"/>
    <w:basedOn w:val="1"/>
    <w:link w:val="235"/>
    <w:qFormat/>
    <w:uiPriority w:val="0"/>
    <w:pPr>
      <w:tabs>
        <w:tab w:val="left" w:pos="0"/>
        <w:tab w:val="left" w:pos="870"/>
        <w:tab w:val="left" w:pos="3150"/>
      </w:tabs>
      <w:autoSpaceDE w:val="0"/>
      <w:autoSpaceDN w:val="0"/>
      <w:spacing w:line="360" w:lineRule="auto"/>
      <w:ind w:firstLine="482"/>
    </w:pPr>
    <w:rPr>
      <w:rFonts w:ascii="宋体" w:hAnsi="宋体" w:eastAsia="宋体"/>
      <w:kern w:val="0"/>
      <w:sz w:val="24"/>
      <w:szCs w:val="24"/>
    </w:rPr>
  </w:style>
  <w:style w:type="character" w:customStyle="1" w:styleId="237">
    <w:name w:val="样式 Char Char Char Char Char Char Char Char Char Char Char Char Char Char Char Char Char Char Char"/>
    <w:qFormat/>
    <w:uiPriority w:val="0"/>
    <w:rPr>
      <w:rFonts w:eastAsia="宋体"/>
      <w:sz w:val="24"/>
      <w:szCs w:val="24"/>
      <w:lang w:val="en-US" w:eastAsia="zh-CN" w:bidi="ar-SA"/>
    </w:rPr>
  </w:style>
  <w:style w:type="character" w:customStyle="1" w:styleId="238">
    <w:name w:val="表格正文 Char"/>
    <w:link w:val="239"/>
    <w:qFormat/>
    <w:uiPriority w:val="0"/>
    <w:rPr>
      <w:rFonts w:eastAsia="宋体"/>
      <w:kern w:val="2"/>
      <w:sz w:val="21"/>
      <w:lang w:val="en-US" w:eastAsia="zh-CN" w:bidi="ar-SA"/>
    </w:rPr>
  </w:style>
  <w:style w:type="paragraph" w:customStyle="1" w:styleId="239">
    <w:name w:val="表格正文"/>
    <w:basedOn w:val="1"/>
    <w:link w:val="238"/>
    <w:qFormat/>
    <w:uiPriority w:val="0"/>
    <w:pPr>
      <w:adjustRightInd w:val="0"/>
      <w:spacing w:line="0" w:lineRule="atLeast"/>
      <w:textAlignment w:val="baseline"/>
    </w:pPr>
    <w:rPr>
      <w:rFonts w:eastAsia="宋体"/>
      <w:sz w:val="21"/>
    </w:rPr>
  </w:style>
  <w:style w:type="character" w:customStyle="1" w:styleId="240">
    <w:name w:val="LNG－文本框 Char Char"/>
    <w:qFormat/>
    <w:uiPriority w:val="0"/>
    <w:rPr>
      <w:rFonts w:eastAsia="宋体"/>
      <w:kern w:val="2"/>
      <w:sz w:val="21"/>
      <w:szCs w:val="21"/>
      <w:lang w:val="en-US" w:eastAsia="zh-CN" w:bidi="ar-SA"/>
    </w:rPr>
  </w:style>
  <w:style w:type="character" w:customStyle="1" w:styleId="241">
    <w:name w:val="样式 宋体 黑色 加宽量  1 磅"/>
    <w:qFormat/>
    <w:uiPriority w:val="0"/>
    <w:rPr>
      <w:rFonts w:ascii="宋体" w:hAnsi="宋体"/>
      <w:color w:val="000000"/>
      <w:spacing w:val="0"/>
    </w:rPr>
  </w:style>
  <w:style w:type="character" w:customStyle="1" w:styleId="242">
    <w:name w:val="shengsi1"/>
    <w:qFormat/>
    <w:uiPriority w:val="0"/>
    <w:rPr>
      <w:rFonts w:hint="default"/>
      <w:sz w:val="18"/>
      <w:szCs w:val="18"/>
    </w:rPr>
  </w:style>
  <w:style w:type="character" w:customStyle="1" w:styleId="243">
    <w:name w:val="节标题 1.1 Char Char Char"/>
    <w:qFormat/>
    <w:uiPriority w:val="0"/>
    <w:rPr>
      <w:rFonts w:ascii="Arial" w:hAnsi="Arial" w:eastAsia="黑体"/>
      <w:b/>
      <w:bCs/>
      <w:kern w:val="2"/>
      <w:sz w:val="32"/>
      <w:szCs w:val="32"/>
      <w:lang w:val="en-US" w:eastAsia="zh-CN" w:bidi="ar-SA"/>
    </w:rPr>
  </w:style>
  <w:style w:type="character" w:customStyle="1" w:styleId="244">
    <w:name w:val="正文缩进 Char1 Char Char Char1"/>
    <w:qFormat/>
    <w:uiPriority w:val="0"/>
    <w:rPr>
      <w:rFonts w:hint="eastAsia" w:ascii="宋体" w:hAnsi="宋体" w:eastAsia="宋体"/>
      <w:lang w:val="en-US" w:eastAsia="zh-CN"/>
    </w:rPr>
  </w:style>
  <w:style w:type="character" w:customStyle="1" w:styleId="245">
    <w:name w:val="样式 正文缩进 + 五号 Char Char Char Char Char Char Char Char Char Char Char Char Char Char Char Char Char Char Char Char Char Char Char Char Char Char Char Char Char Char Char Char Char Char Char Char Char Char Char Char Char Char Char Char Char Char Char  Char"/>
    <w:link w:val="246"/>
    <w:qFormat/>
    <w:uiPriority w:val="0"/>
    <w:rPr>
      <w:rFonts w:eastAsia="宋体"/>
      <w:kern w:val="2"/>
      <w:sz w:val="24"/>
      <w:szCs w:val="24"/>
      <w:lang w:val="en-US" w:eastAsia="zh-CN" w:bidi="ar-SA"/>
    </w:rPr>
  </w:style>
  <w:style w:type="paragraph" w:customStyle="1" w:styleId="246">
    <w:name w:val="样式 正文缩进 + 五号 Char Char Char Char Char Char Char Char Char Char Char Char Char Char Char Char Char Char Char Char Char Char Char Char Char Char Char Char Char Char Char Char Char Char Char Char Char Char Char Char Char Char Char Char Char Char Char Char"/>
    <w:basedOn w:val="4"/>
    <w:link w:val="245"/>
    <w:uiPriority w:val="0"/>
    <w:pPr>
      <w:widowControl/>
      <w:overflowPunct w:val="0"/>
      <w:autoSpaceDE w:val="0"/>
      <w:autoSpaceDN w:val="0"/>
      <w:adjustRightInd w:val="0"/>
      <w:spacing w:line="240" w:lineRule="auto"/>
      <w:ind w:firstLine="420"/>
      <w:textAlignment w:val="baseline"/>
    </w:pPr>
    <w:rPr>
      <w:rFonts w:ascii="Times New Roman" w:hAnsi="Times New Roman" w:cs="Times New Roman"/>
      <w:spacing w:val="0"/>
      <w:szCs w:val="24"/>
    </w:rPr>
  </w:style>
  <w:style w:type="character" w:customStyle="1" w:styleId="247">
    <w:name w:val="正文文本缩进 字符1"/>
    <w:link w:val="34"/>
    <w:qFormat/>
    <w:uiPriority w:val="0"/>
    <w:rPr>
      <w:rFonts w:eastAsia="宋体"/>
      <w:kern w:val="2"/>
      <w:sz w:val="21"/>
      <w:lang w:val="en-US" w:eastAsia="zh-CN" w:bidi="ar-SA"/>
    </w:rPr>
  </w:style>
  <w:style w:type="character" w:customStyle="1" w:styleId="248">
    <w:name w:val="正文部分 Char"/>
    <w:link w:val="249"/>
    <w:qFormat/>
    <w:uiPriority w:val="0"/>
    <w:rPr>
      <w:rFonts w:ascii="宋体" w:hAnsi="宋体" w:cs="宋体"/>
      <w:bCs/>
      <w:sz w:val="28"/>
      <w:szCs w:val="32"/>
    </w:rPr>
  </w:style>
  <w:style w:type="paragraph" w:customStyle="1" w:styleId="249">
    <w:name w:val="正文部分"/>
    <w:basedOn w:val="1"/>
    <w:link w:val="248"/>
    <w:uiPriority w:val="0"/>
    <w:pPr>
      <w:spacing w:line="500" w:lineRule="exact"/>
      <w:ind w:firstLine="200" w:firstLineChars="200"/>
      <w:jc w:val="left"/>
    </w:pPr>
    <w:rPr>
      <w:rFonts w:ascii="宋体" w:hAnsi="宋体" w:eastAsia="宋体"/>
      <w:bCs/>
      <w:kern w:val="0"/>
      <w:szCs w:val="32"/>
      <w:lang w:val="zh-CN" w:eastAsia="zh-CN"/>
    </w:rPr>
  </w:style>
  <w:style w:type="character" w:customStyle="1" w:styleId="250">
    <w:name w:val="样式 正文文本缩进 + Arial 黑色 Char"/>
    <w:qFormat/>
    <w:uiPriority w:val="0"/>
    <w:rPr>
      <w:rFonts w:ascii="Arial" w:hAnsi="Arial" w:eastAsia="宋体"/>
      <w:color w:val="000000"/>
      <w:kern w:val="2"/>
      <w:sz w:val="24"/>
      <w:szCs w:val="24"/>
      <w:lang w:val="en-US" w:eastAsia="zh-CN" w:bidi="ar-SA"/>
    </w:rPr>
  </w:style>
  <w:style w:type="character" w:customStyle="1" w:styleId="251">
    <w:name w:val="称呼 字符"/>
    <w:link w:val="29"/>
    <w:qFormat/>
    <w:uiPriority w:val="0"/>
    <w:rPr>
      <w:rFonts w:eastAsia="楷体_GB2312"/>
      <w:kern w:val="2"/>
      <w:sz w:val="28"/>
    </w:rPr>
  </w:style>
  <w:style w:type="character" w:customStyle="1" w:styleId="252">
    <w:name w:val="unnamed4"/>
    <w:basedOn w:val="132"/>
    <w:qFormat/>
    <w:uiPriority w:val="0"/>
  </w:style>
  <w:style w:type="character" w:customStyle="1" w:styleId="253">
    <w:name w:val="blue141"/>
    <w:qFormat/>
    <w:uiPriority w:val="0"/>
    <w:rPr>
      <w:rFonts w:hint="default"/>
      <w:color w:val="000080"/>
      <w:sz w:val="21"/>
    </w:rPr>
  </w:style>
  <w:style w:type="character" w:customStyle="1" w:styleId="254">
    <w:name w:val="主体 Char"/>
    <w:link w:val="255"/>
    <w:qFormat/>
    <w:uiPriority w:val="0"/>
    <w:rPr>
      <w:rFonts w:eastAsia="仿宋_GB2312"/>
      <w:bCs/>
      <w:kern w:val="2"/>
      <w:sz w:val="24"/>
      <w:szCs w:val="24"/>
      <w:lang w:val="en-US" w:eastAsia="zh-CN" w:bidi="ar-SA"/>
    </w:rPr>
  </w:style>
  <w:style w:type="paragraph" w:customStyle="1" w:styleId="255">
    <w:name w:val="主体"/>
    <w:link w:val="254"/>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256">
    <w:name w:val="正文01 Char1"/>
    <w:qFormat/>
    <w:uiPriority w:val="0"/>
    <w:rPr>
      <w:rFonts w:eastAsia="宋体"/>
      <w:kern w:val="2"/>
      <w:sz w:val="24"/>
      <w:szCs w:val="24"/>
      <w:lang w:val="en-US" w:eastAsia="zh-CN" w:bidi="ar-SA"/>
    </w:rPr>
  </w:style>
  <w:style w:type="character" w:customStyle="1" w:styleId="257">
    <w:name w:val="三级标题 Char"/>
    <w:link w:val="258"/>
    <w:qFormat/>
    <w:uiPriority w:val="0"/>
    <w:rPr>
      <w:b/>
      <w:kern w:val="2"/>
      <w:sz w:val="24"/>
      <w:szCs w:val="24"/>
    </w:rPr>
  </w:style>
  <w:style w:type="paragraph" w:customStyle="1" w:styleId="258">
    <w:name w:val="三级标题"/>
    <w:basedOn w:val="1"/>
    <w:link w:val="257"/>
    <w:qFormat/>
    <w:uiPriority w:val="0"/>
    <w:pPr>
      <w:spacing w:before="300" w:line="460" w:lineRule="exact"/>
      <w:outlineLvl w:val="2"/>
    </w:pPr>
    <w:rPr>
      <w:rFonts w:eastAsia="宋体"/>
      <w:b/>
      <w:sz w:val="24"/>
      <w:szCs w:val="24"/>
      <w:lang w:val="zh-CN" w:eastAsia="zh-CN"/>
    </w:rPr>
  </w:style>
  <w:style w:type="character" w:customStyle="1" w:styleId="259">
    <w:name w:val="二级标题 Char"/>
    <w:link w:val="260"/>
    <w:qFormat/>
    <w:uiPriority w:val="0"/>
    <w:rPr>
      <w:b/>
      <w:kern w:val="2"/>
      <w:sz w:val="28"/>
      <w:szCs w:val="24"/>
    </w:rPr>
  </w:style>
  <w:style w:type="paragraph" w:customStyle="1" w:styleId="260">
    <w:name w:val="二级标题"/>
    <w:basedOn w:val="1"/>
    <w:link w:val="259"/>
    <w:qFormat/>
    <w:uiPriority w:val="0"/>
    <w:pPr>
      <w:spacing w:before="60" w:line="460" w:lineRule="exact"/>
      <w:outlineLvl w:val="1"/>
    </w:pPr>
    <w:rPr>
      <w:rFonts w:eastAsia="宋体"/>
      <w:b/>
      <w:szCs w:val="24"/>
      <w:lang w:val="zh-CN" w:eastAsia="zh-CN"/>
    </w:rPr>
  </w:style>
  <w:style w:type="character" w:customStyle="1" w:styleId="261">
    <w:name w:val="artiword1"/>
    <w:qFormat/>
    <w:uiPriority w:val="0"/>
    <w:rPr>
      <w:rFonts w:hint="default" w:ascii="??" w:hAnsi="??"/>
      <w:color w:val="333333"/>
      <w:sz w:val="21"/>
      <w:szCs w:val="21"/>
      <w:u w:val="none"/>
    </w:rPr>
  </w:style>
  <w:style w:type="character" w:customStyle="1" w:styleId="262">
    <w:name w:val="说明资料 Char"/>
    <w:link w:val="263"/>
    <w:qFormat/>
    <w:uiPriority w:val="0"/>
    <w:rPr>
      <w:rFonts w:eastAsia="楷体_GB2312" w:cs="宋体"/>
      <w:color w:val="0000FF"/>
      <w:kern w:val="24"/>
      <w:sz w:val="21"/>
      <w:szCs w:val="21"/>
    </w:rPr>
  </w:style>
  <w:style w:type="paragraph" w:customStyle="1" w:styleId="263">
    <w:name w:val="说明资料"/>
    <w:basedOn w:val="1"/>
    <w:link w:val="262"/>
    <w:uiPriority w:val="0"/>
    <w:pPr>
      <w:widowControl/>
      <w:ind w:firstLine="419" w:firstLineChars="200"/>
    </w:pPr>
    <w:rPr>
      <w:rFonts w:eastAsia="楷体_GB2312"/>
      <w:color w:val="0000FF"/>
      <w:kern w:val="24"/>
      <w:sz w:val="21"/>
      <w:szCs w:val="21"/>
      <w:lang w:val="zh-CN" w:eastAsia="zh-CN"/>
    </w:rPr>
  </w:style>
  <w:style w:type="character" w:customStyle="1" w:styleId="264">
    <w:name w:val="图文框 Char"/>
    <w:link w:val="265"/>
    <w:qFormat/>
    <w:uiPriority w:val="0"/>
    <w:rPr>
      <w:rFonts w:ascii="Arial" w:eastAsia="仿宋_GB2312"/>
      <w:kern w:val="24"/>
      <w:sz w:val="21"/>
      <w:szCs w:val="21"/>
      <w:lang w:val="en-US" w:eastAsia="zh-CN" w:bidi="ar-SA"/>
    </w:rPr>
  </w:style>
  <w:style w:type="paragraph" w:customStyle="1" w:styleId="265">
    <w:name w:val="图文框"/>
    <w:basedOn w:val="54"/>
    <w:link w:val="264"/>
    <w:uiPriority w:val="0"/>
    <w:pPr>
      <w:widowControl/>
      <w:jc w:val="center"/>
    </w:pPr>
    <w:rPr>
      <w:rFonts w:ascii="Arial"/>
      <w:kern w:val="24"/>
      <w:sz w:val="21"/>
      <w:szCs w:val="21"/>
    </w:rPr>
  </w:style>
  <w:style w:type="character" w:customStyle="1" w:styleId="266">
    <w:name w:val="表格 Char Char"/>
    <w:link w:val="267"/>
    <w:qFormat/>
    <w:uiPriority w:val="0"/>
    <w:rPr>
      <w:kern w:val="2"/>
      <w:sz w:val="24"/>
      <w:szCs w:val="24"/>
    </w:rPr>
  </w:style>
  <w:style w:type="paragraph" w:customStyle="1" w:styleId="267">
    <w:name w:val="表格 Char"/>
    <w:basedOn w:val="1"/>
    <w:link w:val="266"/>
    <w:uiPriority w:val="0"/>
    <w:pPr>
      <w:snapToGrid w:val="0"/>
      <w:spacing w:before="60" w:line="460" w:lineRule="atLeast"/>
      <w:ind w:firstLine="480" w:firstLineChars="200"/>
      <w:jc w:val="center"/>
    </w:pPr>
    <w:rPr>
      <w:rFonts w:eastAsia="宋体"/>
      <w:sz w:val="24"/>
      <w:szCs w:val="24"/>
      <w:lang w:val="zh-CN" w:eastAsia="zh-CN"/>
    </w:rPr>
  </w:style>
  <w:style w:type="character" w:customStyle="1" w:styleId="268">
    <w:name w:val="ltxt1"/>
    <w:qFormat/>
    <w:uiPriority w:val="0"/>
    <w:rPr>
      <w:rFonts w:hint="default" w:ascii="ˎ̥" w:hAnsi="ˎ̥"/>
      <w:color w:val="000000"/>
      <w:sz w:val="22"/>
      <w:szCs w:val="22"/>
      <w:u w:val="none"/>
    </w:rPr>
  </w:style>
  <w:style w:type="character" w:customStyle="1" w:styleId="269">
    <w:name w:val="wwwn1"/>
    <w:qFormat/>
    <w:uiPriority w:val="0"/>
    <w:rPr>
      <w:rFonts w:hint="eastAsia" w:ascii="宋体" w:hAnsi="宋体" w:eastAsia="宋体"/>
      <w:color w:val="666666"/>
      <w:sz w:val="18"/>
      <w:szCs w:val="18"/>
      <w:u w:val="none"/>
    </w:rPr>
  </w:style>
  <w:style w:type="character" w:customStyle="1" w:styleId="270">
    <w:name w:val="正文-1 Char"/>
    <w:link w:val="271"/>
    <w:qFormat/>
    <w:uiPriority w:val="0"/>
    <w:rPr>
      <w:spacing w:val="4"/>
      <w:kern w:val="18"/>
      <w:sz w:val="24"/>
      <w:szCs w:val="30"/>
    </w:rPr>
  </w:style>
  <w:style w:type="paragraph" w:customStyle="1" w:styleId="271">
    <w:name w:val="正文-1"/>
    <w:basedOn w:val="34"/>
    <w:link w:val="270"/>
    <w:uiPriority w:val="0"/>
    <w:pPr>
      <w:snapToGrid w:val="0"/>
      <w:spacing w:line="360" w:lineRule="auto"/>
      <w:ind w:firstLine="180" w:firstLineChars="180"/>
    </w:pPr>
    <w:rPr>
      <w:spacing w:val="4"/>
      <w:kern w:val="18"/>
      <w:sz w:val="24"/>
      <w:szCs w:val="30"/>
      <w:lang w:val="zh-CN" w:eastAsia="zh-CN"/>
    </w:rPr>
  </w:style>
  <w:style w:type="character" w:customStyle="1" w:styleId="272">
    <w:name w:val="content_11"/>
    <w:qFormat/>
    <w:uiPriority w:val="0"/>
    <w:rPr>
      <w:color w:val="333333"/>
      <w:spacing w:val="340"/>
      <w:sz w:val="18"/>
      <w:szCs w:val="18"/>
    </w:rPr>
  </w:style>
  <w:style w:type="character" w:customStyle="1" w:styleId="273">
    <w:name w:val="news1"/>
    <w:qFormat/>
    <w:uiPriority w:val="0"/>
    <w:rPr>
      <w:color w:val="000000"/>
      <w:spacing w:val="375"/>
      <w:sz w:val="21"/>
      <w:szCs w:val="21"/>
      <w:u w:val="none"/>
    </w:rPr>
  </w:style>
  <w:style w:type="character" w:customStyle="1" w:styleId="274">
    <w:name w:val="hightlighter1"/>
    <w:qFormat/>
    <w:uiPriority w:val="0"/>
    <w:rPr>
      <w:color w:val="FF6722"/>
      <w:w w:val="1"/>
    </w:rPr>
  </w:style>
  <w:style w:type="character" w:customStyle="1" w:styleId="275">
    <w:name w:val="main1"/>
    <w:qFormat/>
    <w:uiPriority w:val="0"/>
    <w:rPr>
      <w:color w:val="333333"/>
      <w:spacing w:val="31680"/>
      <w:sz w:val="20"/>
      <w:szCs w:val="20"/>
    </w:rPr>
  </w:style>
  <w:style w:type="character" w:customStyle="1" w:styleId="276">
    <w:name w:val="4级标题 Char"/>
    <w:qFormat/>
    <w:uiPriority w:val="0"/>
    <w:rPr>
      <w:rFonts w:hint="eastAsia" w:ascii="宋体" w:hAnsi="宋体" w:eastAsia="宋体"/>
      <w:kern w:val="2"/>
      <w:sz w:val="24"/>
      <w:szCs w:val="24"/>
      <w:lang w:val="en-US" w:eastAsia="zh-CN" w:bidi="ar-SA"/>
    </w:rPr>
  </w:style>
  <w:style w:type="character" w:customStyle="1" w:styleId="277">
    <w:name w:val="bold"/>
    <w:basedOn w:val="132"/>
    <w:qFormat/>
    <w:uiPriority w:val="0"/>
  </w:style>
  <w:style w:type="character" w:customStyle="1" w:styleId="278">
    <w:name w:val="font141"/>
    <w:qFormat/>
    <w:uiPriority w:val="0"/>
    <w:rPr>
      <w:rFonts w:hint="default"/>
      <w:color w:val="000000"/>
      <w:spacing w:val="390"/>
    </w:rPr>
  </w:style>
  <w:style w:type="character" w:customStyle="1" w:styleId="279">
    <w:name w:val="zhenwen141"/>
    <w:qFormat/>
    <w:uiPriority w:val="0"/>
    <w:rPr>
      <w:rFonts w:hint="default" w:ascii="ˎ̥" w:hAnsi="ˎ̥"/>
      <w:sz w:val="28"/>
      <w:szCs w:val="28"/>
    </w:rPr>
  </w:style>
  <w:style w:type="character" w:customStyle="1" w:styleId="280">
    <w:name w:val="日期 字符2"/>
    <w:link w:val="50"/>
    <w:qFormat/>
    <w:uiPriority w:val="0"/>
    <w:rPr>
      <w:kern w:val="2"/>
      <w:sz w:val="24"/>
    </w:rPr>
  </w:style>
  <w:style w:type="character" w:customStyle="1" w:styleId="281">
    <w:name w:val="正文001 Char"/>
    <w:qFormat/>
    <w:uiPriority w:val="0"/>
    <w:rPr>
      <w:rFonts w:ascii="Arial" w:hAnsi="Arial" w:eastAsia="宋体"/>
      <w:kern w:val="2"/>
      <w:sz w:val="24"/>
      <w:szCs w:val="24"/>
      <w:lang w:val="en-US" w:eastAsia="zh-CN" w:bidi="ar-SA"/>
    </w:rPr>
  </w:style>
  <w:style w:type="character" w:customStyle="1" w:styleId="282">
    <w:name w:val="正文01 Char Char"/>
    <w:qFormat/>
    <w:locked/>
    <w:uiPriority w:val="0"/>
    <w:rPr>
      <w:rFonts w:eastAsia="宋体"/>
      <w:kern w:val="2"/>
      <w:sz w:val="24"/>
      <w:szCs w:val="24"/>
      <w:lang w:val="en-US" w:eastAsia="zh-CN" w:bidi="ar-SA"/>
    </w:rPr>
  </w:style>
  <w:style w:type="character" w:customStyle="1" w:styleId="283">
    <w:name w:val="样式 正文001 + Times New Roman Char"/>
    <w:basedOn w:val="281"/>
    <w:link w:val="284"/>
    <w:qFormat/>
    <w:uiPriority w:val="0"/>
    <w:rPr>
      <w:rFonts w:ascii="Arial" w:hAnsi="Arial" w:eastAsia="宋体"/>
      <w:kern w:val="2"/>
      <w:sz w:val="24"/>
      <w:szCs w:val="24"/>
      <w:lang w:val="en-US" w:eastAsia="zh-CN" w:bidi="ar-SA"/>
    </w:rPr>
  </w:style>
  <w:style w:type="paragraph" w:customStyle="1" w:styleId="284">
    <w:name w:val="样式 正文001 + Times New Roman"/>
    <w:basedOn w:val="162"/>
    <w:link w:val="283"/>
    <w:uiPriority w:val="0"/>
    <w:pPr>
      <w:spacing w:line="460" w:lineRule="exact"/>
    </w:pPr>
  </w:style>
  <w:style w:type="character" w:customStyle="1" w:styleId="285">
    <w:name w:val="trans"/>
    <w:basedOn w:val="132"/>
    <w:qFormat/>
    <w:uiPriority w:val="0"/>
  </w:style>
  <w:style w:type="character" w:customStyle="1" w:styleId="286">
    <w:name w:val="首行缩进正文 Char"/>
    <w:link w:val="287"/>
    <w:qFormat/>
    <w:uiPriority w:val="0"/>
    <w:rPr>
      <w:kern w:val="2"/>
      <w:sz w:val="24"/>
      <w:szCs w:val="24"/>
    </w:rPr>
  </w:style>
  <w:style w:type="paragraph" w:customStyle="1" w:styleId="287">
    <w:name w:val="首行缩进正文"/>
    <w:basedOn w:val="1"/>
    <w:link w:val="286"/>
    <w:uiPriority w:val="0"/>
    <w:pPr>
      <w:adjustRightInd w:val="0"/>
      <w:snapToGrid w:val="0"/>
      <w:spacing w:before="50" w:beforeLines="50" w:line="360" w:lineRule="auto"/>
      <w:ind w:firstLine="200" w:firstLineChars="200"/>
    </w:pPr>
    <w:rPr>
      <w:rFonts w:eastAsia="宋体"/>
      <w:sz w:val="24"/>
      <w:szCs w:val="24"/>
      <w:lang w:val="zh-CN" w:eastAsia="zh-CN"/>
    </w:rPr>
  </w:style>
  <w:style w:type="character" w:customStyle="1" w:styleId="288">
    <w:name w:val="style3"/>
    <w:basedOn w:val="132"/>
    <w:qFormat/>
    <w:uiPriority w:val="0"/>
  </w:style>
  <w:style w:type="character" w:customStyle="1" w:styleId="289">
    <w:name w:val="3级标题 Char"/>
    <w:link w:val="290"/>
    <w:qFormat/>
    <w:uiPriority w:val="0"/>
    <w:rPr>
      <w:b/>
      <w:color w:val="000000"/>
      <w:kern w:val="2"/>
      <w:sz w:val="24"/>
      <w:szCs w:val="24"/>
    </w:rPr>
  </w:style>
  <w:style w:type="paragraph" w:customStyle="1" w:styleId="290">
    <w:name w:val="3级标题"/>
    <w:basedOn w:val="1"/>
    <w:link w:val="289"/>
    <w:qFormat/>
    <w:uiPriority w:val="0"/>
    <w:pPr>
      <w:spacing w:before="120" w:line="460" w:lineRule="exact"/>
      <w:outlineLvl w:val="2"/>
    </w:pPr>
    <w:rPr>
      <w:rFonts w:eastAsia="宋体"/>
      <w:b/>
      <w:color w:val="000000"/>
      <w:sz w:val="24"/>
      <w:szCs w:val="24"/>
      <w:lang w:val="zh-CN" w:eastAsia="zh-CN"/>
    </w:rPr>
  </w:style>
  <w:style w:type="character" w:customStyle="1" w:styleId="291">
    <w:name w:val="s"/>
    <w:basedOn w:val="132"/>
    <w:qFormat/>
    <w:uiPriority w:val="0"/>
  </w:style>
  <w:style w:type="character" w:customStyle="1" w:styleId="292">
    <w:name w:val="unnamed1"/>
    <w:basedOn w:val="132"/>
    <w:qFormat/>
    <w:uiPriority w:val="0"/>
  </w:style>
  <w:style w:type="character" w:customStyle="1" w:styleId="293">
    <w:name w:val="样式 正文001 + 首行缩进:  2 字符1 Char1"/>
    <w:basedOn w:val="161"/>
    <w:link w:val="294"/>
    <w:qFormat/>
    <w:uiPriority w:val="0"/>
    <w:rPr>
      <w:rFonts w:eastAsia="宋体"/>
      <w:kern w:val="2"/>
      <w:sz w:val="24"/>
      <w:lang w:val="en-US" w:eastAsia="zh-CN" w:bidi="ar-SA"/>
    </w:rPr>
  </w:style>
  <w:style w:type="paragraph" w:customStyle="1" w:styleId="294">
    <w:name w:val="样式 正文001 + 首行缩进:  2 字符1"/>
    <w:basedOn w:val="162"/>
    <w:link w:val="293"/>
    <w:qFormat/>
    <w:uiPriority w:val="0"/>
    <w:pPr>
      <w:spacing w:line="460" w:lineRule="atLeast"/>
      <w:ind w:firstLine="480" w:firstLineChars="200"/>
    </w:pPr>
  </w:style>
  <w:style w:type="character" w:customStyle="1" w:styleId="295">
    <w:name w:val="样式 正文001 + 首行缩进:  2 字符 行距: 固定值 22.5 磅 Char"/>
    <w:link w:val="296"/>
    <w:qFormat/>
    <w:uiPriority w:val="0"/>
    <w:rPr>
      <w:rFonts w:eastAsia="宋体" w:cs="宋体"/>
      <w:kern w:val="2"/>
      <w:sz w:val="24"/>
      <w:lang w:val="en-US" w:eastAsia="zh-CN" w:bidi="ar-SA"/>
    </w:rPr>
  </w:style>
  <w:style w:type="paragraph" w:customStyle="1" w:styleId="296">
    <w:name w:val="样式 正文001 + 首行缩进:  2 字符 行距: 固定值 22.5 磅"/>
    <w:basedOn w:val="162"/>
    <w:link w:val="295"/>
    <w:qFormat/>
    <w:uiPriority w:val="0"/>
    <w:pPr>
      <w:spacing w:line="450" w:lineRule="exact"/>
      <w:ind w:firstLine="480" w:firstLineChars="200"/>
    </w:pPr>
    <w:rPr>
      <w:rFonts w:cs="宋体"/>
    </w:rPr>
  </w:style>
  <w:style w:type="character" w:customStyle="1" w:styleId="297">
    <w:name w:val="篇 Char"/>
    <w:qFormat/>
    <w:uiPriority w:val="0"/>
    <w:rPr>
      <w:rFonts w:eastAsia="宋体"/>
      <w:b/>
      <w:bCs/>
      <w:kern w:val="44"/>
      <w:sz w:val="44"/>
      <w:szCs w:val="44"/>
      <w:lang w:val="en-US" w:eastAsia="zh-CN" w:bidi="ar-SA"/>
    </w:rPr>
  </w:style>
  <w:style w:type="character" w:customStyle="1" w:styleId="298">
    <w:name w:val="d-j Char"/>
    <w:link w:val="299"/>
    <w:qFormat/>
    <w:uiPriority w:val="0"/>
    <w:rPr>
      <w:kern w:val="2"/>
      <w:sz w:val="28"/>
    </w:rPr>
  </w:style>
  <w:style w:type="paragraph" w:customStyle="1" w:styleId="299">
    <w:name w:val="d-j"/>
    <w:basedOn w:val="1"/>
    <w:link w:val="298"/>
    <w:qFormat/>
    <w:uiPriority w:val="0"/>
    <w:pPr>
      <w:spacing w:before="60" w:line="460" w:lineRule="exact"/>
      <w:ind w:firstLine="480" w:firstLineChars="200"/>
    </w:pPr>
    <w:rPr>
      <w:rFonts w:eastAsia="宋体"/>
      <w:lang w:val="zh-CN" w:eastAsia="zh-CN"/>
    </w:rPr>
  </w:style>
  <w:style w:type="character" w:customStyle="1" w:styleId="300">
    <w:name w:val="da1"/>
    <w:qFormat/>
    <w:uiPriority w:val="0"/>
    <w:rPr>
      <w:rFonts w:hint="default" w:eastAsia="宋体"/>
      <w:color w:val="000000"/>
      <w:kern w:val="2"/>
      <w:sz w:val="21"/>
      <w:szCs w:val="21"/>
      <w:u w:val="none"/>
      <w:lang w:val="en-US" w:eastAsia="zh-CN" w:bidi="ar-SA"/>
    </w:rPr>
  </w:style>
  <w:style w:type="character" w:customStyle="1" w:styleId="301">
    <w:name w:val="正文000000000000000 宋体 小四 黑色 首行缩进:  0.85 厘米 行距: 固定值 22 磅 Char"/>
    <w:link w:val="302"/>
    <w:qFormat/>
    <w:uiPriority w:val="0"/>
    <w:rPr>
      <w:rFonts w:cs="宋体"/>
      <w:color w:val="000000"/>
      <w:kern w:val="2"/>
      <w:sz w:val="24"/>
      <w:szCs w:val="24"/>
    </w:rPr>
  </w:style>
  <w:style w:type="paragraph" w:customStyle="1" w:styleId="302">
    <w:name w:val="正文000000000000000 宋体 小四 黑色 首行缩进:  0.85 厘米 行距: 固定值 22 磅"/>
    <w:basedOn w:val="1"/>
    <w:link w:val="301"/>
    <w:uiPriority w:val="0"/>
    <w:pPr>
      <w:spacing w:line="460" w:lineRule="exact"/>
      <w:ind w:firstLine="200" w:firstLineChars="200"/>
    </w:pPr>
    <w:rPr>
      <w:rFonts w:eastAsia="宋体"/>
      <w:color w:val="000000"/>
      <w:sz w:val="24"/>
      <w:szCs w:val="24"/>
      <w:lang w:val="zh-CN" w:eastAsia="zh-CN"/>
    </w:rPr>
  </w:style>
  <w:style w:type="character" w:customStyle="1" w:styleId="303">
    <w:name w:val="Normal Indent Char"/>
    <w:qFormat/>
    <w:locked/>
    <w:uiPriority w:val="0"/>
    <w:rPr>
      <w:rFonts w:ascii="宋体" w:eastAsia="宋体"/>
      <w:kern w:val="2"/>
      <w:sz w:val="28"/>
      <w:lang w:val="en-US" w:eastAsia="zh-CN"/>
    </w:rPr>
  </w:style>
  <w:style w:type="character" w:customStyle="1" w:styleId="304">
    <w:name w:val="正文文本的样式 Char"/>
    <w:link w:val="305"/>
    <w:qFormat/>
    <w:uiPriority w:val="0"/>
    <w:rPr>
      <w:rFonts w:ascii="Arial" w:hAnsi="Arial" w:eastAsia="宋体" w:cs="Arial"/>
      <w:sz w:val="24"/>
      <w:szCs w:val="22"/>
      <w:lang w:val="en-US" w:eastAsia="zh-CN" w:bidi="en-US"/>
    </w:rPr>
  </w:style>
  <w:style w:type="paragraph" w:customStyle="1" w:styleId="305">
    <w:name w:val="正文文本的样式"/>
    <w:basedOn w:val="1"/>
    <w:link w:val="304"/>
    <w:qFormat/>
    <w:uiPriority w:val="0"/>
    <w:pPr>
      <w:widowControl/>
      <w:spacing w:line="360" w:lineRule="auto"/>
      <w:ind w:firstLine="200" w:firstLineChars="200"/>
      <w:jc w:val="left"/>
    </w:pPr>
    <w:rPr>
      <w:rFonts w:ascii="Arial" w:hAnsi="Arial" w:eastAsia="宋体" w:cs="Arial"/>
      <w:kern w:val="0"/>
      <w:sz w:val="24"/>
      <w:szCs w:val="22"/>
      <w:lang w:bidi="en-US"/>
    </w:rPr>
  </w:style>
  <w:style w:type="character" w:customStyle="1" w:styleId="306">
    <w:name w:val="表格标题啊 Char"/>
    <w:link w:val="307"/>
    <w:qFormat/>
    <w:uiPriority w:val="0"/>
    <w:rPr>
      <w:rFonts w:ascii="Arial" w:hAnsi="Arial" w:eastAsia="宋体" w:cs="Arial"/>
      <w:bCs/>
      <w:i/>
      <w:sz w:val="21"/>
      <w:szCs w:val="21"/>
      <w:lang w:val="en-US" w:eastAsia="zh-CN" w:bidi="en-US"/>
    </w:rPr>
  </w:style>
  <w:style w:type="paragraph" w:customStyle="1" w:styleId="307">
    <w:name w:val="表格标题啊"/>
    <w:basedOn w:val="6"/>
    <w:next w:val="1"/>
    <w:link w:val="306"/>
    <w:qFormat/>
    <w:uiPriority w:val="0"/>
    <w:pPr>
      <w:widowControl/>
      <w:numPr>
        <w:numId w:val="0"/>
      </w:numPr>
      <w:tabs>
        <w:tab w:val="left" w:pos="3908"/>
      </w:tabs>
      <w:spacing w:before="0" w:line="360" w:lineRule="auto"/>
    </w:pPr>
    <w:rPr>
      <w:rFonts w:eastAsia="宋体" w:cs="Arial"/>
      <w:b w:val="0"/>
      <w:bCs/>
      <w:i/>
      <w:kern w:val="0"/>
      <w:sz w:val="21"/>
      <w:szCs w:val="21"/>
      <w:lang w:bidi="en-US"/>
    </w:rPr>
  </w:style>
  <w:style w:type="character" w:customStyle="1" w:styleId="308">
    <w:name w:val="首行缩进两字 Char3"/>
    <w:qFormat/>
    <w:uiPriority w:val="0"/>
    <w:rPr>
      <w:rFonts w:ascii="Arial" w:hAnsi="Arial" w:cs="Arial"/>
      <w:spacing w:val="10"/>
      <w:kern w:val="2"/>
      <w:sz w:val="24"/>
    </w:rPr>
  </w:style>
  <w:style w:type="character" w:customStyle="1" w:styleId="309">
    <w:name w:val="headline-content2"/>
    <w:basedOn w:val="132"/>
    <w:qFormat/>
    <w:uiPriority w:val="0"/>
  </w:style>
  <w:style w:type="character" w:customStyle="1" w:styleId="310">
    <w:name w:val="正文首行缩进2个字 Char Char"/>
    <w:link w:val="311"/>
    <w:qFormat/>
    <w:uiPriority w:val="0"/>
    <w:rPr>
      <w:rFonts w:eastAsia="楷体"/>
      <w:kern w:val="2"/>
      <w:sz w:val="24"/>
      <w:szCs w:val="24"/>
    </w:rPr>
  </w:style>
  <w:style w:type="paragraph" w:customStyle="1" w:styleId="311">
    <w:name w:val="正文首行缩进2个字 Char"/>
    <w:basedOn w:val="1"/>
    <w:link w:val="310"/>
    <w:uiPriority w:val="0"/>
    <w:pPr>
      <w:ind w:firstLine="480" w:firstLineChars="200"/>
    </w:pPr>
    <w:rPr>
      <w:rFonts w:eastAsia="楷体"/>
      <w:sz w:val="24"/>
      <w:szCs w:val="24"/>
      <w:lang w:val="zh-CN" w:eastAsia="zh-CN"/>
    </w:rPr>
  </w:style>
  <w:style w:type="character" w:customStyle="1" w:styleId="312">
    <w:name w:val="样式15 Char"/>
    <w:basedOn w:val="185"/>
    <w:link w:val="313"/>
    <w:qFormat/>
    <w:uiPriority w:val="0"/>
    <w:rPr>
      <w:rFonts w:ascii="Arial" w:hAnsi="Arial" w:eastAsia="仿宋_GB2312"/>
      <w:kern w:val="2"/>
      <w:sz w:val="24"/>
      <w:lang w:val="zh-CN" w:eastAsia="zh-CN"/>
    </w:rPr>
  </w:style>
  <w:style w:type="paragraph" w:customStyle="1" w:styleId="313">
    <w:name w:val="样式15"/>
    <w:basedOn w:val="6"/>
    <w:link w:val="312"/>
    <w:qFormat/>
    <w:uiPriority w:val="0"/>
    <w:pPr>
      <w:tabs>
        <w:tab w:val="left" w:pos="3908"/>
      </w:tabs>
      <w:jc w:val="center"/>
    </w:pPr>
  </w:style>
  <w:style w:type="paragraph" w:customStyle="1" w:styleId="314">
    <w:name w:val="五级条标题"/>
    <w:basedOn w:val="315"/>
    <w:next w:val="5"/>
    <w:qFormat/>
    <w:uiPriority w:val="0"/>
    <w:pPr>
      <w:tabs>
        <w:tab w:val="left" w:pos="1080"/>
      </w:tabs>
      <w:outlineLvl w:val="6"/>
    </w:pPr>
  </w:style>
  <w:style w:type="paragraph" w:customStyle="1" w:styleId="315">
    <w:name w:val="四级条标题"/>
    <w:basedOn w:val="316"/>
    <w:next w:val="5"/>
    <w:uiPriority w:val="0"/>
    <w:pPr>
      <w:tabs>
        <w:tab w:val="left" w:pos="1080"/>
      </w:tabs>
      <w:outlineLvl w:val="5"/>
    </w:pPr>
  </w:style>
  <w:style w:type="paragraph" w:customStyle="1" w:styleId="316">
    <w:name w:val="三级条标题"/>
    <w:basedOn w:val="317"/>
    <w:next w:val="5"/>
    <w:uiPriority w:val="0"/>
    <w:pPr>
      <w:tabs>
        <w:tab w:val="left" w:pos="1080"/>
      </w:tabs>
      <w:outlineLvl w:val="4"/>
    </w:pPr>
  </w:style>
  <w:style w:type="paragraph" w:customStyle="1" w:styleId="317">
    <w:name w:val="二级条标题"/>
    <w:basedOn w:val="318"/>
    <w:next w:val="5"/>
    <w:qFormat/>
    <w:uiPriority w:val="0"/>
    <w:pPr>
      <w:tabs>
        <w:tab w:val="left" w:pos="1080"/>
      </w:tabs>
      <w:outlineLvl w:val="3"/>
    </w:pPr>
  </w:style>
  <w:style w:type="paragraph" w:customStyle="1" w:styleId="318">
    <w:name w:val="一级条标题"/>
    <w:basedOn w:val="2"/>
    <w:next w:val="5"/>
    <w:uiPriority w:val="0"/>
    <w:pPr>
      <w:keepNext w:val="0"/>
      <w:keepLines w:val="0"/>
      <w:pageBreakBefore w:val="0"/>
      <w:widowControl/>
      <w:spacing w:before="0" w:after="0" w:line="240" w:lineRule="auto"/>
      <w:ind w:left="0" w:firstLine="0"/>
      <w:jc w:val="both"/>
      <w:outlineLvl w:val="2"/>
    </w:pPr>
    <w:rPr>
      <w:rFonts w:ascii="黑体" w:eastAsia="黑体"/>
      <w:b w:val="0"/>
      <w:kern w:val="0"/>
      <w:sz w:val="21"/>
    </w:rPr>
  </w:style>
  <w:style w:type="paragraph" w:customStyle="1" w:styleId="319">
    <w:name w:val="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20">
    <w:name w:val="表1"/>
    <w:next w:val="1"/>
    <w:link w:val="888"/>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321">
    <w:name w:val="表中文字"/>
    <w:basedOn w:val="1"/>
    <w:qFormat/>
    <w:uiPriority w:val="0"/>
    <w:pPr>
      <w:shd w:val="clear" w:color="auto" w:fill="FFFFFF"/>
      <w:tabs>
        <w:tab w:val="left" w:pos="3286"/>
        <w:tab w:val="left" w:pos="8362"/>
      </w:tabs>
      <w:snapToGrid w:val="0"/>
      <w:spacing w:line="400" w:lineRule="atLeast"/>
    </w:pPr>
    <w:rPr>
      <w:rFonts w:hint="eastAsia" w:ascii="宋体" w:hAnsi="宋体" w:eastAsia="宋体"/>
      <w:sz w:val="21"/>
      <w:szCs w:val="21"/>
    </w:rPr>
  </w:style>
  <w:style w:type="paragraph" w:customStyle="1" w:styleId="322">
    <w:name w:val="正文样式1"/>
    <w:basedOn w:val="1"/>
    <w:qFormat/>
    <w:uiPriority w:val="0"/>
    <w:pPr>
      <w:adjustRightInd w:val="0"/>
      <w:spacing w:line="480" w:lineRule="atLeast"/>
      <w:ind w:firstLine="567" w:firstLineChars="200"/>
      <w:jc w:val="left"/>
      <w:textAlignment w:val="baseline"/>
    </w:pPr>
    <w:rPr>
      <w:kern w:val="0"/>
    </w:rPr>
  </w:style>
  <w:style w:type="paragraph" w:customStyle="1" w:styleId="323">
    <w:name w:val="图注"/>
    <w:basedOn w:val="1"/>
    <w:next w:val="1"/>
    <w:qFormat/>
    <w:uiPriority w:val="0"/>
    <w:pPr>
      <w:spacing w:line="320" w:lineRule="atLeast"/>
      <w:jc w:val="center"/>
    </w:pPr>
    <w:rPr>
      <w:rFonts w:eastAsia="宋体"/>
      <w:bCs/>
      <w:sz w:val="20"/>
      <w:szCs w:val="24"/>
    </w:rPr>
  </w:style>
  <w:style w:type="paragraph" w:customStyle="1" w:styleId="324">
    <w:name w:val="4级标题"/>
    <w:basedOn w:val="164"/>
    <w:qFormat/>
    <w:uiPriority w:val="0"/>
    <w:pPr>
      <w:spacing w:line="460" w:lineRule="atLeast"/>
      <w:ind w:firstLine="0" w:firstLineChars="0"/>
    </w:pPr>
    <w:rPr>
      <w:bCs/>
      <w:szCs w:val="24"/>
    </w:rPr>
  </w:style>
  <w:style w:type="paragraph" w:customStyle="1" w:styleId="325">
    <w:name w:val="Char Char1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26">
    <w:name w:val="Table Text"/>
    <w:basedOn w:val="1"/>
    <w:qFormat/>
    <w:uiPriority w:val="0"/>
    <w:pPr>
      <w:spacing w:before="30" w:after="30"/>
    </w:pPr>
    <w:rPr>
      <w:rFonts w:ascii="Arial" w:hAnsi="Arial" w:eastAsia="宋体"/>
      <w:snapToGrid w:val="0"/>
      <w:kern w:val="0"/>
      <w:sz w:val="16"/>
      <w:lang w:val="en-GB" w:eastAsia="en-US"/>
    </w:rPr>
  </w:style>
  <w:style w:type="paragraph" w:customStyle="1" w:styleId="327">
    <w:name w:val="样式 xl26 + Arial 段前: 自动 段后: 自动 底端: (无框线) 左侧: (无框线) 右侧: (无框线)..."/>
    <w:basedOn w:val="328"/>
    <w:qFormat/>
    <w:uiPriority w:val="0"/>
    <w:pPr>
      <w:pBdr>
        <w:left w:val="none" w:color="auto" w:sz="0" w:space="0"/>
        <w:bottom w:val="none" w:color="auto" w:sz="0" w:space="0"/>
        <w:right w:val="none" w:color="auto" w:sz="0" w:space="0"/>
      </w:pBdr>
      <w:spacing w:before="0" w:after="0" w:line="0" w:lineRule="atLeast"/>
    </w:pPr>
    <w:rPr>
      <w:rFonts w:ascii="Arial" w:hAnsi="Arial" w:cs="宋体"/>
      <w:kern w:val="2"/>
      <w:szCs w:val="20"/>
    </w:rPr>
  </w:style>
  <w:style w:type="paragraph" w:customStyle="1" w:styleId="328">
    <w:name w:val="xl26"/>
    <w:basedOn w:val="1"/>
    <w:link w:val="757"/>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1"/>
      <w:szCs w:val="21"/>
      <w:lang w:val="zh-CN" w:eastAsia="zh-CN"/>
    </w:rPr>
  </w:style>
  <w:style w:type="paragraph" w:customStyle="1" w:styleId="329">
    <w:name w:val="xl10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30">
    <w:name w:val="xl9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FF0000"/>
      <w:kern w:val="0"/>
      <w:sz w:val="22"/>
      <w:szCs w:val="22"/>
    </w:rPr>
  </w:style>
  <w:style w:type="paragraph" w:customStyle="1" w:styleId="331">
    <w:name w:val="xl100"/>
    <w:basedOn w:val="1"/>
    <w:qFormat/>
    <w:uiPriority w:val="0"/>
    <w:pPr>
      <w:widowControl/>
      <w:pBdr>
        <w:top w:val="single" w:color="auto" w:sz="8" w:space="0"/>
        <w:left w:val="single" w:color="auto" w:sz="8"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32">
    <w:name w:val="xl101"/>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33">
    <w:name w:val="xl9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2"/>
      <w:szCs w:val="22"/>
    </w:rPr>
  </w:style>
  <w:style w:type="paragraph" w:customStyle="1" w:styleId="334">
    <w:name w:val="xl91"/>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35">
    <w:name w:val="xl10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36">
    <w:name w:val="xl64"/>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337">
    <w:name w:val="报告书标题3"/>
    <w:basedOn w:val="1"/>
    <w:next w:val="1"/>
    <w:qFormat/>
    <w:uiPriority w:val="0"/>
    <w:pPr>
      <w:spacing w:line="360" w:lineRule="auto"/>
      <w:jc w:val="left"/>
    </w:pPr>
    <w:rPr>
      <w:rFonts w:ascii="Arial" w:hAnsi="Arial" w:eastAsia="宋体"/>
      <w:b/>
      <w:sz w:val="24"/>
      <w:szCs w:val="24"/>
    </w:rPr>
  </w:style>
  <w:style w:type="paragraph" w:customStyle="1" w:styleId="338">
    <w:name w:val="xl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339">
    <w:name w:val="Body Text First Indent3"/>
    <w:basedOn w:val="33"/>
    <w:qFormat/>
    <w:uiPriority w:val="0"/>
    <w:pPr>
      <w:tabs>
        <w:tab w:val="left" w:pos="7840"/>
      </w:tabs>
      <w:adjustRightInd w:val="0"/>
      <w:spacing w:before="120" w:line="360" w:lineRule="auto"/>
      <w:ind w:firstLine="567"/>
      <w:textAlignment w:val="baseline"/>
    </w:pPr>
    <w:rPr>
      <w:rFonts w:eastAsia="宋体"/>
      <w:kern w:val="28"/>
    </w:rPr>
  </w:style>
  <w:style w:type="paragraph" w:customStyle="1" w:styleId="340">
    <w:name w:val="xl5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341">
    <w:name w:val="xl86"/>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342">
    <w:name w:val="标1"/>
    <w:basedOn w:val="1"/>
    <w:qFormat/>
    <w:uiPriority w:val="0"/>
    <w:pPr>
      <w:spacing w:before="60" w:line="460" w:lineRule="exact"/>
      <w:outlineLvl w:val="0"/>
    </w:pPr>
    <w:rPr>
      <w:rFonts w:eastAsia="宋体"/>
      <w:b/>
      <w:sz w:val="32"/>
    </w:rPr>
  </w:style>
  <w:style w:type="paragraph" w:customStyle="1" w:styleId="343">
    <w:name w:val="xl8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344">
    <w:name w:val="xl81"/>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345">
    <w:name w:val="xl72"/>
    <w:basedOn w:val="1"/>
    <w:qFormat/>
    <w:uiPriority w:val="0"/>
    <w:pPr>
      <w:widowControl/>
      <w:pBdr>
        <w:top w:val="single" w:color="auto" w:sz="4" w:space="0"/>
        <w:lef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346">
    <w:name w:val="Normal1"/>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347">
    <w:name w:val="样式 样式 样式 正文首行缩进 2 + 首行缩进:  2 字符 + 首行缩进:  2 字符 + 首行缩进:  2 字符"/>
    <w:basedOn w:val="1"/>
    <w:uiPriority w:val="0"/>
    <w:pPr>
      <w:spacing w:line="440" w:lineRule="exact"/>
      <w:ind w:firstLine="200" w:firstLineChars="200"/>
    </w:pPr>
    <w:rPr>
      <w:rFonts w:eastAsia="宋体" w:cs="宋体"/>
      <w:sz w:val="24"/>
    </w:rPr>
  </w:style>
  <w:style w:type="paragraph" w:customStyle="1" w:styleId="348">
    <w:name w:val="样式 xl26 + Arial 段前: 自动 段后: 自动 底端: (无框线) 左侧: (无框线) 右侧: (无框线)"/>
    <w:basedOn w:val="328"/>
    <w:uiPriority w:val="0"/>
    <w:pPr>
      <w:pBdr>
        <w:left w:val="none" w:color="auto" w:sz="0" w:space="0"/>
        <w:bottom w:val="none" w:color="auto" w:sz="0" w:space="0"/>
        <w:right w:val="none" w:color="auto" w:sz="0" w:space="0"/>
      </w:pBdr>
      <w:spacing w:before="0" w:after="0"/>
    </w:pPr>
    <w:rPr>
      <w:rFonts w:ascii="Arial" w:hAnsi="Arial" w:cs="宋体"/>
      <w:kern w:val="2"/>
      <w:szCs w:val="20"/>
    </w:rPr>
  </w:style>
  <w:style w:type="paragraph" w:customStyle="1" w:styleId="349">
    <w:name w:val="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350">
    <w:name w:val="刘正文"/>
    <w:basedOn w:val="1"/>
    <w:uiPriority w:val="0"/>
    <w:pPr>
      <w:spacing w:line="500" w:lineRule="exact"/>
      <w:ind w:firstLine="567"/>
    </w:pPr>
    <w:rPr>
      <w:color w:val="000000"/>
    </w:rPr>
  </w:style>
  <w:style w:type="paragraph" w:customStyle="1" w:styleId="351">
    <w:name w:val="样式 正文1 + 段前: 0.1 行"/>
    <w:basedOn w:val="1"/>
    <w:uiPriority w:val="0"/>
    <w:pPr>
      <w:snapToGrid w:val="0"/>
      <w:spacing w:beforeLines="10" w:line="440" w:lineRule="atLeast"/>
      <w:ind w:firstLine="567"/>
    </w:pPr>
    <w:rPr>
      <w:rFonts w:eastAsia="宋体" w:cs="宋体"/>
      <w:sz w:val="24"/>
    </w:rPr>
  </w:style>
  <w:style w:type="paragraph" w:customStyle="1" w:styleId="352">
    <w:name w:val="样式 表格内容 + 非加粗"/>
    <w:basedOn w:val="353"/>
    <w:uiPriority w:val="0"/>
    <w:pPr>
      <w:spacing w:line="240" w:lineRule="auto"/>
      <w:jc w:val="both"/>
    </w:pPr>
    <w:rPr>
      <w:kern w:val="2"/>
      <w:szCs w:val="24"/>
    </w:rPr>
  </w:style>
  <w:style w:type="paragraph" w:customStyle="1" w:styleId="353">
    <w:name w:val="表格内容"/>
    <w:basedOn w:val="1"/>
    <w:link w:val="875"/>
    <w:qFormat/>
    <w:uiPriority w:val="0"/>
    <w:pPr>
      <w:spacing w:line="360" w:lineRule="auto"/>
      <w:jc w:val="center"/>
    </w:pPr>
    <w:rPr>
      <w:rFonts w:eastAsia="宋体"/>
      <w:kern w:val="0"/>
      <w:sz w:val="21"/>
      <w:szCs w:val="16"/>
      <w:lang w:val="zh-CN" w:eastAsia="zh-CN"/>
    </w:rPr>
  </w:style>
  <w:style w:type="paragraph" w:customStyle="1" w:styleId="354">
    <w:name w:val="样式 样式 xl26 + Arial 段前: 自动 段后: 自动 底端: (无框线) 左侧: (无框线) 右侧: (无框线) +..."/>
    <w:basedOn w:val="348"/>
    <w:uiPriority w:val="0"/>
    <w:pPr>
      <w:spacing w:before="100" w:after="100"/>
    </w:pPr>
  </w:style>
  <w:style w:type="paragraph" w:customStyle="1" w:styleId="355">
    <w:name w:val="1文章"/>
    <w:basedOn w:val="1"/>
    <w:uiPriority w:val="0"/>
    <w:pPr>
      <w:snapToGrid w:val="0"/>
      <w:spacing w:line="360" w:lineRule="auto"/>
      <w:ind w:firstLine="573"/>
    </w:pPr>
  </w:style>
  <w:style w:type="paragraph" w:customStyle="1" w:styleId="356">
    <w:name w:val="c"/>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57">
    <w:name w:val="表格样式2"/>
    <w:basedOn w:val="1"/>
    <w:uiPriority w:val="0"/>
    <w:pPr>
      <w:spacing w:line="320" w:lineRule="exact"/>
      <w:jc w:val="center"/>
    </w:pPr>
    <w:rPr>
      <w:rFonts w:eastAsia="宋体"/>
      <w:color w:val="000000"/>
      <w:sz w:val="21"/>
      <w:szCs w:val="21"/>
    </w:rPr>
  </w:style>
  <w:style w:type="paragraph" w:customStyle="1" w:styleId="358">
    <w:name w:val="Table Title"/>
    <w:basedOn w:val="45"/>
    <w:uiPriority w:val="0"/>
    <w:pPr>
      <w:keepNext/>
      <w:widowControl/>
      <w:tabs>
        <w:tab w:val="left" w:pos="567"/>
      </w:tabs>
      <w:spacing w:before="120" w:after="120"/>
      <w:ind w:left="2160" w:hanging="1440"/>
    </w:pPr>
    <w:rPr>
      <w:rFonts w:ascii="Univers" w:hAnsi="Univers" w:eastAsia="Times New Roman"/>
      <w:b/>
      <w:kern w:val="0"/>
      <w:sz w:val="22"/>
      <w:szCs w:val="24"/>
      <w:lang w:val="en-GB"/>
    </w:rPr>
  </w:style>
  <w:style w:type="paragraph" w:customStyle="1" w:styleId="359">
    <w:name w:val="页面标题1"/>
    <w:basedOn w:val="1"/>
    <w:qFormat/>
    <w:uiPriority w:val="0"/>
    <w:pPr>
      <w:overflowPunct w:val="0"/>
      <w:topLinePunct/>
      <w:adjustRightInd w:val="0"/>
      <w:spacing w:line="360" w:lineRule="auto"/>
      <w:ind w:left="200" w:leftChars="200" w:firstLine="480" w:firstLineChars="200"/>
      <w:jc w:val="center"/>
      <w:textAlignment w:val="baseline"/>
    </w:pPr>
    <w:rPr>
      <w:rFonts w:ascii="黑体" w:hAnsi="宋体" w:eastAsia="黑体"/>
      <w:b/>
      <w:kern w:val="24"/>
      <w:sz w:val="52"/>
    </w:rPr>
  </w:style>
  <w:style w:type="paragraph" w:customStyle="1" w:styleId="360">
    <w:name w:val="图表名"/>
    <w:basedOn w:val="1"/>
    <w:qFormat/>
    <w:uiPriority w:val="0"/>
    <w:pPr>
      <w:spacing w:after="120"/>
      <w:jc w:val="center"/>
    </w:pPr>
    <w:rPr>
      <w:rFonts w:eastAsia="宋体"/>
      <w:b/>
      <w:szCs w:val="24"/>
    </w:rPr>
  </w:style>
  <w:style w:type="paragraph" w:customStyle="1" w:styleId="361">
    <w:name w:val="样式 表头 + 行距: 固定值 25 磅"/>
    <w:basedOn w:val="362"/>
    <w:qFormat/>
    <w:uiPriority w:val="0"/>
    <w:pPr>
      <w:widowControl/>
      <w:snapToGrid w:val="0"/>
      <w:spacing w:line="240" w:lineRule="auto"/>
      <w:ind w:left="539"/>
    </w:pPr>
    <w:rPr>
      <w:rFonts w:ascii="Times New Roman" w:hAnsi="Times New Roman" w:eastAsia="宋体" w:cs="宋体"/>
      <w:b w:val="0"/>
      <w:bCs/>
      <w:kern w:val="0"/>
      <w:sz w:val="24"/>
      <w:szCs w:val="20"/>
    </w:rPr>
  </w:style>
  <w:style w:type="paragraph" w:customStyle="1" w:styleId="362">
    <w:name w:val="表头"/>
    <w:basedOn w:val="1"/>
    <w:qFormat/>
    <w:uiPriority w:val="0"/>
    <w:pPr>
      <w:spacing w:line="360" w:lineRule="auto"/>
      <w:jc w:val="center"/>
    </w:pPr>
    <w:rPr>
      <w:rFonts w:ascii="Arial" w:hAnsi="Arial" w:eastAsia="黑体"/>
      <w:b/>
      <w:sz w:val="21"/>
      <w:szCs w:val="21"/>
    </w:rPr>
  </w:style>
  <w:style w:type="paragraph" w:customStyle="1" w:styleId="363">
    <w:name w:val="样式 标题 3条标题1.1.13h33rd levelH3l3CT头小标题 + 段后: 3 磅 行距: 1...."/>
    <w:basedOn w:val="5"/>
    <w:qFormat/>
    <w:uiPriority w:val="0"/>
    <w:pPr>
      <w:numPr>
        <w:numId w:val="0"/>
      </w:numPr>
      <w:tabs>
        <w:tab w:val="left" w:pos="1"/>
      </w:tabs>
      <w:spacing w:before="260" w:after="60" w:line="360" w:lineRule="auto"/>
      <w:ind w:left="1"/>
      <w:jc w:val="left"/>
    </w:pPr>
    <w:rPr>
      <w:rFonts w:ascii="Times New Roman" w:eastAsia="宋体" w:cs="宋体"/>
    </w:rPr>
  </w:style>
  <w:style w:type="paragraph" w:customStyle="1" w:styleId="364">
    <w:name w:val="+标题2"/>
    <w:basedOn w:val="3"/>
    <w:qFormat/>
    <w:uiPriority w:val="0"/>
    <w:pPr>
      <w:numPr>
        <w:numId w:val="0"/>
      </w:numPr>
      <w:spacing w:before="0" w:after="0" w:line="360" w:lineRule="auto"/>
    </w:pPr>
    <w:rPr>
      <w:rFonts w:hAnsi="宋体"/>
      <w:b/>
      <w:bCs/>
      <w:szCs w:val="28"/>
    </w:rPr>
  </w:style>
  <w:style w:type="paragraph" w:customStyle="1" w:styleId="365">
    <w:name w:val="样式 标题 1标题章标题 1 Char标题章 Char Char Char Char标题 1 Char Char章标题..."/>
    <w:basedOn w:val="2"/>
    <w:qFormat/>
    <w:uiPriority w:val="0"/>
    <w:pPr>
      <w:spacing w:before="240" w:line="360" w:lineRule="auto"/>
    </w:pPr>
    <w:rPr>
      <w:rFonts w:cs="宋体"/>
      <w:bCs/>
    </w:rPr>
  </w:style>
  <w:style w:type="paragraph" w:customStyle="1" w:styleId="366">
    <w:name w:val="msoacetate"/>
    <w:basedOn w:val="1"/>
    <w:qFormat/>
    <w:uiPriority w:val="0"/>
    <w:pPr>
      <w:widowControl/>
      <w:ind w:firstLine="200" w:firstLineChars="200"/>
    </w:pPr>
    <w:rPr>
      <w:rFonts w:eastAsia="宋体"/>
      <w:kern w:val="24"/>
      <w:sz w:val="18"/>
      <w:szCs w:val="18"/>
    </w:rPr>
  </w:style>
  <w:style w:type="paragraph" w:customStyle="1" w:styleId="367">
    <w:name w:val="cs10 additive Default Pa"/>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368">
    <w:name w:val="样式 宋体 加宽量  1 磅 首行缩进:  6 字符"/>
    <w:basedOn w:val="1"/>
    <w:qFormat/>
    <w:uiPriority w:val="0"/>
    <w:pPr>
      <w:spacing w:line="360" w:lineRule="auto"/>
      <w:ind w:firstLine="1680" w:firstLineChars="600"/>
    </w:pPr>
    <w:rPr>
      <w:rFonts w:ascii="宋体" w:hAnsi="宋体" w:eastAsia="宋体" w:cs="宋体"/>
      <w:kern w:val="0"/>
      <w:sz w:val="24"/>
      <w:szCs w:val="24"/>
    </w:rPr>
  </w:style>
  <w:style w:type="paragraph" w:customStyle="1" w:styleId="369">
    <w:name w:val="样式 LNG－标题1 + 居中 段前: 0.5 行 段后: 0.5 行1"/>
    <w:qFormat/>
    <w:uiPriority w:val="0"/>
    <w:pPr>
      <w:tabs>
        <w:tab w:val="left" w:pos="1080"/>
      </w:tabs>
      <w:spacing w:before="156" w:after="156"/>
      <w:ind w:left="425" w:hanging="425"/>
      <w:jc w:val="center"/>
    </w:pPr>
    <w:rPr>
      <w:rFonts w:ascii="Times New Roman" w:hAnsi="Times New Roman" w:eastAsia="宋体" w:cs="宋体"/>
      <w:b/>
      <w:bCs/>
      <w:sz w:val="32"/>
      <w:lang w:val="en-US" w:eastAsia="zh-CN" w:bidi="ar-SA"/>
    </w:rPr>
  </w:style>
  <w:style w:type="paragraph" w:customStyle="1" w:styleId="370">
    <w:name w:val="8"/>
    <w:basedOn w:val="1"/>
    <w:next w:val="51"/>
    <w:qFormat/>
    <w:uiPriority w:val="0"/>
    <w:pPr>
      <w:spacing w:line="348" w:lineRule="auto"/>
      <w:ind w:firstLine="480" w:firstLineChars="200"/>
    </w:pPr>
    <w:rPr>
      <w:rFonts w:eastAsia="宋体"/>
      <w:sz w:val="24"/>
      <w:szCs w:val="21"/>
    </w:rPr>
  </w:style>
  <w:style w:type="paragraph" w:customStyle="1" w:styleId="371">
    <w:name w:val="首页脚注"/>
    <w:basedOn w:val="55"/>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rFonts w:eastAsia="宋体"/>
      <w:kern w:val="0"/>
      <w:sz w:val="28"/>
      <w:szCs w:val="28"/>
    </w:rPr>
  </w:style>
  <w:style w:type="paragraph" w:customStyle="1" w:styleId="372">
    <w:name w:val="xl4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373">
    <w:name w:val="样式 标题 3条标题1.1.13h33rd levelH3l3CT头小标题小节标题头 Char标题 31..."/>
    <w:basedOn w:val="5"/>
    <w:qFormat/>
    <w:uiPriority w:val="0"/>
    <w:pPr>
      <w:keepNext w:val="0"/>
      <w:keepLines w:val="0"/>
      <w:numPr>
        <w:numId w:val="0"/>
      </w:numPr>
      <w:tabs>
        <w:tab w:val="left" w:pos="720"/>
      </w:tabs>
      <w:spacing w:line="360" w:lineRule="auto"/>
      <w:ind w:left="720" w:hanging="720"/>
    </w:pPr>
    <w:rPr>
      <w:rFonts w:ascii="Times New Roman" w:eastAsia="黑体" w:cs="宋体"/>
    </w:rPr>
  </w:style>
  <w:style w:type="paragraph" w:customStyle="1" w:styleId="374">
    <w:name w:val="三级无标题条"/>
    <w:basedOn w:val="1"/>
    <w:qFormat/>
    <w:uiPriority w:val="0"/>
    <w:pPr>
      <w:tabs>
        <w:tab w:val="left" w:pos="720"/>
      </w:tabs>
    </w:pPr>
    <w:rPr>
      <w:rFonts w:eastAsia="宋体"/>
      <w:sz w:val="21"/>
      <w:szCs w:val="24"/>
    </w:rPr>
  </w:style>
  <w:style w:type="paragraph" w:customStyle="1" w:styleId="375">
    <w:name w:val="样式 标题 2 + 四号"/>
    <w:basedOn w:val="1"/>
    <w:qFormat/>
    <w:uiPriority w:val="0"/>
    <w:pPr>
      <w:spacing w:line="360" w:lineRule="auto"/>
    </w:pPr>
    <w:rPr>
      <w:rFonts w:eastAsia="宋体"/>
      <w:sz w:val="24"/>
      <w:szCs w:val="24"/>
    </w:rPr>
  </w:style>
  <w:style w:type="paragraph" w:customStyle="1" w:styleId="376">
    <w:name w:val="样式 标题 1 + 黑体 小三"/>
    <w:basedOn w:val="2"/>
    <w:qFormat/>
    <w:uiPriority w:val="0"/>
    <w:pPr>
      <w:pageBreakBefore w:val="0"/>
      <w:tabs>
        <w:tab w:val="left" w:pos="840"/>
        <w:tab w:val="clear" w:pos="1080"/>
      </w:tabs>
      <w:spacing w:before="100" w:beforeAutospacing="1" w:after="100" w:afterAutospacing="1" w:line="576" w:lineRule="auto"/>
      <w:ind w:left="840" w:hanging="360"/>
      <w:jc w:val="both"/>
    </w:pPr>
    <w:rPr>
      <w:rFonts w:ascii="黑体" w:hAnsi="黑体" w:eastAsia="黑体"/>
      <w:bCs/>
      <w:sz w:val="30"/>
      <w:szCs w:val="44"/>
    </w:rPr>
  </w:style>
  <w:style w:type="paragraph" w:customStyle="1" w:styleId="377">
    <w:name w:val="样式 样式 正文首行缩进 + 首行缩进:  2 字符 + 首行缩进:  2 字符"/>
    <w:basedOn w:val="1"/>
    <w:qFormat/>
    <w:uiPriority w:val="0"/>
    <w:pPr>
      <w:topLinePunct/>
      <w:adjustRightInd w:val="0"/>
      <w:snapToGrid w:val="0"/>
      <w:spacing w:line="360" w:lineRule="auto"/>
      <w:ind w:firstLine="480" w:firstLineChars="200"/>
      <w:textAlignment w:val="baseline"/>
    </w:pPr>
    <w:rPr>
      <w:rFonts w:hAnsi="宋体" w:eastAsia="Times New Roman"/>
      <w:kern w:val="0"/>
      <w:sz w:val="24"/>
      <w:szCs w:val="24"/>
    </w:rPr>
  </w:style>
  <w:style w:type="paragraph" w:customStyle="1" w:styleId="378">
    <w:name w:val="－正文"/>
    <w:basedOn w:val="1"/>
    <w:qFormat/>
    <w:uiPriority w:val="0"/>
    <w:pPr>
      <w:spacing w:line="540" w:lineRule="atLeast"/>
      <w:ind w:firstLine="200" w:firstLineChars="200"/>
      <w:jc w:val="left"/>
    </w:pPr>
    <w:rPr>
      <w:rFonts w:eastAsia="宋体"/>
      <w:spacing w:val="8"/>
      <w:szCs w:val="28"/>
    </w:rPr>
  </w:style>
  <w:style w:type="paragraph" w:customStyle="1" w:styleId="379">
    <w:name w:val="shu 表题"/>
    <w:basedOn w:val="1"/>
    <w:qFormat/>
    <w:uiPriority w:val="0"/>
    <w:pPr>
      <w:autoSpaceDE w:val="0"/>
      <w:autoSpaceDN w:val="0"/>
      <w:adjustRightInd w:val="0"/>
      <w:jc w:val="center"/>
    </w:pPr>
    <w:rPr>
      <w:rFonts w:ascii="Times" w:hAnsi="Times" w:eastAsia="宋体"/>
      <w:b/>
      <w:spacing w:val="20"/>
      <w:kern w:val="0"/>
      <w:sz w:val="24"/>
      <w:szCs w:val="23"/>
    </w:rPr>
  </w:style>
  <w:style w:type="paragraph" w:customStyle="1" w:styleId="380">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381">
    <w:name w:val="图片"/>
    <w:basedOn w:val="1"/>
    <w:next w:val="21"/>
    <w:qFormat/>
    <w:uiPriority w:val="0"/>
    <w:pPr>
      <w:overflowPunct w:val="0"/>
      <w:adjustRightInd w:val="0"/>
      <w:snapToGrid w:val="0"/>
      <w:spacing w:line="500" w:lineRule="exact"/>
    </w:pPr>
    <w:rPr>
      <w:rFonts w:ascii="宋体" w:hAnsi="Arial" w:eastAsia="宋体"/>
      <w:snapToGrid w:val="0"/>
      <w:color w:val="000000"/>
      <w:kern w:val="0"/>
    </w:rPr>
  </w:style>
  <w:style w:type="paragraph" w:customStyle="1" w:styleId="382">
    <w:name w:val="样式 标题 2Chapter Title节标题 1.1 + 首行缩进:  2 字符"/>
    <w:basedOn w:val="3"/>
    <w:qFormat/>
    <w:uiPriority w:val="0"/>
    <w:pPr>
      <w:keepNext w:val="0"/>
      <w:keepLines w:val="0"/>
      <w:numPr>
        <w:numId w:val="0"/>
      </w:numPr>
      <w:tabs>
        <w:tab w:val="left" w:pos="1080"/>
      </w:tabs>
      <w:adjustRightInd w:val="0"/>
      <w:spacing w:before="150" w:beforeLines="150" w:after="150" w:afterLines="150" w:line="360" w:lineRule="auto"/>
      <w:ind w:left="425" w:hanging="425"/>
      <w:jc w:val="left"/>
    </w:pPr>
    <w:rPr>
      <w:rFonts w:ascii="宋体" w:hAnsi="Univers" w:eastAsia="宋体" w:cs="宋体"/>
      <w:b/>
      <w:color w:val="000000"/>
      <w:kern w:val="28"/>
      <w:szCs w:val="28"/>
    </w:rPr>
  </w:style>
  <w:style w:type="paragraph" w:customStyle="1" w:styleId="383">
    <w:name w:val="样式 标题 2节标题 1.1 + 加粗 行距: 1.5 倍行距"/>
    <w:basedOn w:val="3"/>
    <w:qFormat/>
    <w:uiPriority w:val="0"/>
    <w:pPr>
      <w:numPr>
        <w:numId w:val="0"/>
      </w:numPr>
      <w:tabs>
        <w:tab w:val="left" w:pos="0"/>
      </w:tabs>
      <w:spacing w:before="260" w:after="260" w:line="360" w:lineRule="auto"/>
      <w:jc w:val="left"/>
    </w:pPr>
    <w:rPr>
      <w:rFonts w:ascii="Times New Roman" w:hAnsi="Times New Roman" w:cs="宋体"/>
      <w:b/>
      <w:bCs/>
      <w:sz w:val="30"/>
    </w:rPr>
  </w:style>
  <w:style w:type="paragraph" w:customStyle="1" w:styleId="384">
    <w:name w:val="LNG－正文"/>
    <w:basedOn w:val="1"/>
    <w:qFormat/>
    <w:uiPriority w:val="0"/>
    <w:pPr>
      <w:spacing w:line="360" w:lineRule="auto"/>
    </w:pPr>
    <w:rPr>
      <w:rFonts w:eastAsia="宋体"/>
      <w:sz w:val="24"/>
      <w:szCs w:val="24"/>
    </w:rPr>
  </w:style>
  <w:style w:type="paragraph" w:customStyle="1" w:styleId="385">
    <w:name w:val="样式 标题 2节标题 1.1节标题节SeMajor HeadingIBM Subhead 2h2标题 2 Cha..."/>
    <w:basedOn w:val="3"/>
    <w:qFormat/>
    <w:uiPriority w:val="0"/>
    <w:pPr>
      <w:keepNext w:val="0"/>
      <w:keepLines w:val="0"/>
      <w:numPr>
        <w:numId w:val="0"/>
      </w:numPr>
      <w:tabs>
        <w:tab w:val="left" w:pos="576"/>
      </w:tabs>
      <w:snapToGrid w:val="0"/>
      <w:spacing w:after="120" w:line="360" w:lineRule="auto"/>
      <w:ind w:left="578" w:hanging="578"/>
    </w:pPr>
    <w:rPr>
      <w:rFonts w:ascii="Arial" w:cs="宋体"/>
      <w:b/>
      <w:bCs/>
      <w:sz w:val="30"/>
    </w:rPr>
  </w:style>
  <w:style w:type="paragraph" w:customStyle="1" w:styleId="386">
    <w:name w:val="报告正文 Char Char"/>
    <w:basedOn w:val="1"/>
    <w:qFormat/>
    <w:uiPriority w:val="0"/>
    <w:pPr>
      <w:adjustRightInd w:val="0"/>
      <w:spacing w:before="25" w:beforeLines="25" w:line="360" w:lineRule="auto"/>
      <w:ind w:firstLine="482"/>
      <w:textAlignment w:val="baseline"/>
    </w:pPr>
    <w:rPr>
      <w:rFonts w:eastAsia="宋体" w:cs="宋体"/>
      <w:snapToGrid w:val="0"/>
      <w:kern w:val="24"/>
      <w:sz w:val="24"/>
    </w:rPr>
  </w:style>
  <w:style w:type="paragraph" w:customStyle="1" w:styleId="387">
    <w:name w:val="正文(首行缩进)"/>
    <w:basedOn w:val="1"/>
    <w:link w:val="1569"/>
    <w:qFormat/>
    <w:uiPriority w:val="0"/>
    <w:pPr>
      <w:spacing w:line="336" w:lineRule="auto"/>
      <w:ind w:firstLine="540" w:firstLineChars="225"/>
    </w:pPr>
    <w:rPr>
      <w:rFonts w:eastAsia="宋体"/>
      <w:sz w:val="24"/>
      <w:szCs w:val="24"/>
    </w:rPr>
  </w:style>
  <w:style w:type="paragraph" w:customStyle="1" w:styleId="388">
    <w:name w:val="样式 宋体 加粗 黑色 居中 首行缩进:  2 字符"/>
    <w:basedOn w:val="1"/>
    <w:qFormat/>
    <w:uiPriority w:val="0"/>
    <w:pPr>
      <w:spacing w:line="360" w:lineRule="auto"/>
      <w:jc w:val="center"/>
    </w:pPr>
    <w:rPr>
      <w:rFonts w:ascii="宋体" w:hAnsi="宋体" w:eastAsia="宋体" w:cs="宋体"/>
      <w:b/>
      <w:bCs/>
      <w:color w:val="000000"/>
      <w:sz w:val="24"/>
    </w:rPr>
  </w:style>
  <w:style w:type="paragraph" w:customStyle="1" w:styleId="389">
    <w:name w:val="xl5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390">
    <w:name w:val="样式 LNG－标题1 + 居中 段前: 0.5 行 段后: 0.5 行2"/>
    <w:basedOn w:val="391"/>
    <w:qFormat/>
    <w:uiPriority w:val="0"/>
    <w:pPr>
      <w:tabs>
        <w:tab w:val="left" w:pos="1080"/>
      </w:tabs>
      <w:spacing w:before="156" w:after="156"/>
      <w:ind w:left="425" w:hanging="425"/>
      <w:jc w:val="center"/>
    </w:pPr>
    <w:rPr>
      <w:rFonts w:cs="宋体"/>
      <w:bCs/>
      <w:szCs w:val="20"/>
    </w:rPr>
  </w:style>
  <w:style w:type="paragraph" w:customStyle="1" w:styleId="391">
    <w:name w:val="LNG－标题1"/>
    <w:basedOn w:val="1"/>
    <w:qFormat/>
    <w:uiPriority w:val="0"/>
    <w:pPr>
      <w:spacing w:before="50" w:beforeLines="50" w:after="50" w:afterLines="50" w:line="360" w:lineRule="auto"/>
      <w:textAlignment w:val="center"/>
    </w:pPr>
    <w:rPr>
      <w:rFonts w:eastAsia="宋体"/>
      <w:b/>
      <w:kern w:val="0"/>
      <w:sz w:val="32"/>
      <w:szCs w:val="32"/>
    </w:rPr>
  </w:style>
  <w:style w:type="paragraph" w:customStyle="1" w:styleId="392">
    <w:name w:val="xl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393">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394">
    <w:name w:val="基准标题"/>
    <w:basedOn w:val="33"/>
    <w:next w:val="33"/>
    <w:qFormat/>
    <w:uiPriority w:val="0"/>
    <w:pPr>
      <w:spacing w:after="0"/>
    </w:pPr>
    <w:rPr>
      <w:rFonts w:hint="eastAsia" w:ascii="宋体" w:eastAsia="宋体"/>
      <w:sz w:val="21"/>
    </w:rPr>
  </w:style>
  <w:style w:type="paragraph" w:customStyle="1" w:styleId="395">
    <w:name w:val="报告正文"/>
    <w:basedOn w:val="1"/>
    <w:link w:val="2076"/>
    <w:qFormat/>
    <w:uiPriority w:val="0"/>
    <w:pPr>
      <w:spacing w:line="360" w:lineRule="auto"/>
      <w:ind w:firstLine="482"/>
    </w:pPr>
    <w:rPr>
      <w:rFonts w:eastAsia="宋体"/>
      <w:sz w:val="24"/>
      <w:szCs w:val="21"/>
    </w:rPr>
  </w:style>
  <w:style w:type="paragraph" w:customStyle="1" w:styleId="396">
    <w:name w:val="+标题3"/>
    <w:basedOn w:val="5"/>
    <w:qFormat/>
    <w:uiPriority w:val="0"/>
    <w:pPr>
      <w:keepNext w:val="0"/>
      <w:numPr>
        <w:numId w:val="0"/>
      </w:numPr>
      <w:tabs>
        <w:tab w:val="left" w:pos="709"/>
      </w:tabs>
      <w:spacing w:before="0" w:after="0" w:line="360" w:lineRule="auto"/>
    </w:pPr>
    <w:rPr>
      <w:rFonts w:ascii="黑体" w:hAnsi="宋体" w:eastAsia="黑体"/>
      <w:szCs w:val="28"/>
    </w:rPr>
  </w:style>
  <w:style w:type="paragraph" w:customStyle="1" w:styleId="397">
    <w:name w:val="样式 目录 2 + 左侧:  2 字符"/>
    <w:basedOn w:val="74"/>
    <w:qFormat/>
    <w:uiPriority w:val="0"/>
    <w:pPr>
      <w:tabs>
        <w:tab w:val="left" w:pos="1200"/>
        <w:tab w:val="right" w:leader="dot" w:pos="8302"/>
        <w:tab w:val="clear" w:pos="1120"/>
        <w:tab w:val="clear" w:pos="8767"/>
      </w:tabs>
      <w:spacing w:line="360" w:lineRule="auto"/>
      <w:ind w:left="480" w:leftChars="200"/>
      <w:jc w:val="both"/>
    </w:pPr>
    <w:rPr>
      <w:rFonts w:ascii="Times New Roman" w:hAnsi="Times New Roman" w:cs="宋体"/>
      <w:b/>
      <w:bCs/>
      <w:sz w:val="24"/>
      <w:szCs w:val="20"/>
    </w:rPr>
  </w:style>
  <w:style w:type="paragraph" w:customStyle="1" w:styleId="398">
    <w:name w:val="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99">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400">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401">
    <w:name w:val="编号正文"/>
    <w:basedOn w:val="1"/>
    <w:qFormat/>
    <w:uiPriority w:val="0"/>
    <w:pPr>
      <w:tabs>
        <w:tab w:val="left" w:pos="425"/>
      </w:tabs>
      <w:ind w:left="425" w:hanging="425"/>
    </w:pPr>
  </w:style>
  <w:style w:type="paragraph" w:customStyle="1" w:styleId="402">
    <w:name w:val="样式1"/>
    <w:basedOn w:val="5"/>
    <w:next w:val="40"/>
    <w:link w:val="882"/>
    <w:qFormat/>
    <w:uiPriority w:val="0"/>
  </w:style>
  <w:style w:type="paragraph" w:customStyle="1" w:styleId="403">
    <w:name w:val="标题3"/>
    <w:basedOn w:val="5"/>
    <w:next w:val="4"/>
    <w:link w:val="1855"/>
    <w:qFormat/>
    <w:uiPriority w:val="0"/>
    <w:pPr>
      <w:numPr>
        <w:numId w:val="0"/>
      </w:numPr>
      <w:spacing w:before="0" w:after="0" w:line="360" w:lineRule="auto"/>
      <w:ind w:left="709" w:hanging="709"/>
    </w:pPr>
    <w:rPr>
      <w:rFonts w:ascii="Times New Roman" w:eastAsia="宋体"/>
      <w:b w:val="0"/>
      <w:bCs w:val="0"/>
      <w:szCs w:val="32"/>
    </w:rPr>
  </w:style>
  <w:style w:type="paragraph" w:customStyle="1" w:styleId="404">
    <w:name w:val="标题2"/>
    <w:basedOn w:val="3"/>
    <w:next w:val="4"/>
    <w:link w:val="1851"/>
    <w:qFormat/>
    <w:uiPriority w:val="0"/>
    <w:pPr>
      <w:numPr>
        <w:numId w:val="0"/>
      </w:numPr>
      <w:tabs>
        <w:tab w:val="left" w:pos="576"/>
      </w:tabs>
      <w:spacing w:before="0" w:after="0" w:line="360" w:lineRule="auto"/>
      <w:ind w:left="576" w:hanging="576"/>
    </w:pPr>
    <w:rPr>
      <w:rFonts w:ascii="Arial" w:eastAsia="宋体"/>
      <w:b/>
      <w:bCs/>
      <w:sz w:val="24"/>
      <w:szCs w:val="32"/>
    </w:rPr>
  </w:style>
  <w:style w:type="paragraph" w:customStyle="1" w:styleId="405">
    <w:name w:val="样式4"/>
    <w:basedOn w:val="6"/>
    <w:next w:val="4"/>
    <w:link w:val="1528"/>
    <w:qFormat/>
    <w:uiPriority w:val="0"/>
    <w:pPr>
      <w:numPr>
        <w:numId w:val="0"/>
      </w:numPr>
      <w:tabs>
        <w:tab w:val="left" w:pos="576"/>
        <w:tab w:val="left" w:pos="720"/>
      </w:tabs>
      <w:spacing w:after="156" w:afterLines="50" w:line="360" w:lineRule="auto"/>
      <w:ind w:left="576" w:hanging="576"/>
    </w:pPr>
    <w:rPr>
      <w:rFonts w:ascii="Times New Roman" w:hAnsi="Times New Roman"/>
      <w:bCs/>
      <w:szCs w:val="28"/>
    </w:rPr>
  </w:style>
  <w:style w:type="paragraph" w:customStyle="1" w:styleId="406">
    <w:name w:val="标题11"/>
    <w:basedOn w:val="2"/>
    <w:next w:val="4"/>
    <w:qFormat/>
    <w:uiPriority w:val="0"/>
    <w:pPr>
      <w:spacing w:before="156" w:beforeLines="50" w:after="312" w:afterLines="100" w:line="360" w:lineRule="auto"/>
      <w:ind w:left="432" w:hanging="432"/>
    </w:pPr>
    <w:rPr>
      <w:bCs/>
      <w:sz w:val="32"/>
      <w:szCs w:val="44"/>
    </w:rPr>
  </w:style>
  <w:style w:type="paragraph" w:customStyle="1" w:styleId="407">
    <w:name w:val="环评样式"/>
    <w:basedOn w:val="2"/>
    <w:next w:val="2"/>
    <w:qFormat/>
    <w:uiPriority w:val="0"/>
    <w:pPr>
      <w:pageBreakBefore w:val="0"/>
      <w:tabs>
        <w:tab w:val="left" w:pos="896"/>
        <w:tab w:val="clear" w:pos="1080"/>
      </w:tabs>
      <w:spacing w:before="120" w:after="120" w:line="0" w:lineRule="atLeast"/>
      <w:ind w:left="896" w:hanging="420"/>
      <w:jc w:val="both"/>
      <w:outlineLvl w:val="2"/>
    </w:pPr>
    <w:rPr>
      <w:rFonts w:eastAsia="黑体"/>
      <w:b w:val="0"/>
    </w:rPr>
  </w:style>
  <w:style w:type="paragraph" w:customStyle="1" w:styleId="408">
    <w:name w:val="样式2"/>
    <w:basedOn w:val="4"/>
    <w:next w:val="4"/>
    <w:qFormat/>
    <w:uiPriority w:val="0"/>
    <w:pPr>
      <w:spacing w:line="360" w:lineRule="auto"/>
      <w:ind w:firstLine="200"/>
    </w:pPr>
    <w:rPr>
      <w:rFonts w:eastAsia="仿宋_GB2312"/>
      <w:szCs w:val="32"/>
    </w:rPr>
  </w:style>
  <w:style w:type="paragraph" w:customStyle="1" w:styleId="409">
    <w:name w:val="样式3"/>
    <w:basedOn w:val="4"/>
    <w:next w:val="1"/>
    <w:link w:val="1805"/>
    <w:qFormat/>
    <w:uiPriority w:val="0"/>
    <w:pPr>
      <w:spacing w:line="360" w:lineRule="auto"/>
      <w:ind w:firstLine="480"/>
    </w:pPr>
    <w:rPr>
      <w:szCs w:val="32"/>
    </w:rPr>
  </w:style>
  <w:style w:type="paragraph" w:customStyle="1" w:styleId="410">
    <w:name w:val="样式 标题 1 + Times New Roman"/>
    <w:basedOn w:val="2"/>
    <w:next w:val="51"/>
    <w:qFormat/>
    <w:uiPriority w:val="0"/>
    <w:pPr>
      <w:pageBreakBefore w:val="0"/>
      <w:spacing w:before="0" w:after="0" w:line="312" w:lineRule="auto"/>
      <w:ind w:left="0" w:firstLine="0"/>
      <w:jc w:val="both"/>
    </w:pPr>
    <w:rPr>
      <w:bCs/>
      <w:sz w:val="32"/>
      <w:szCs w:val="21"/>
    </w:rPr>
  </w:style>
  <w:style w:type="paragraph" w:customStyle="1" w:styleId="411">
    <w:name w:val="Header Base"/>
    <w:basedOn w:val="33"/>
    <w:qFormat/>
    <w:uiPriority w:val="0"/>
    <w:pPr>
      <w:keepLines/>
      <w:tabs>
        <w:tab w:val="center" w:pos="4320"/>
        <w:tab w:val="right" w:pos="8640"/>
      </w:tabs>
      <w:spacing w:after="0" w:line="180" w:lineRule="atLeast"/>
    </w:pPr>
    <w:rPr>
      <w:sz w:val="24"/>
    </w:rPr>
  </w:style>
  <w:style w:type="paragraph" w:customStyle="1" w:styleId="412">
    <w:name w:val="表"/>
    <w:basedOn w:val="5"/>
    <w:link w:val="2070"/>
    <w:qFormat/>
    <w:uiPriority w:val="0"/>
    <w:pPr>
      <w:numPr>
        <w:numId w:val="0"/>
      </w:numPr>
      <w:spacing w:before="260" w:after="260" w:line="416" w:lineRule="auto"/>
    </w:pPr>
    <w:rPr>
      <w:rFonts w:ascii="Times New Roman" w:eastAsia="宋体"/>
      <w:sz w:val="28"/>
      <w:szCs w:val="32"/>
    </w:rPr>
  </w:style>
  <w:style w:type="paragraph" w:customStyle="1" w:styleId="413">
    <w:name w:val="样式5"/>
    <w:basedOn w:val="404"/>
    <w:qFormat/>
    <w:uiPriority w:val="0"/>
    <w:pPr>
      <w:tabs>
        <w:tab w:val="clear" w:pos="576"/>
      </w:tabs>
      <w:ind w:left="567" w:hanging="567"/>
    </w:pPr>
    <w:rPr>
      <w:sz w:val="28"/>
    </w:rPr>
  </w:style>
  <w:style w:type="paragraph" w:customStyle="1" w:styleId="414">
    <w:name w:val="xl74"/>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415">
    <w:name w:val="样式6"/>
    <w:basedOn w:val="4"/>
    <w:link w:val="1639"/>
    <w:qFormat/>
    <w:uiPriority w:val="0"/>
    <w:pPr>
      <w:tabs>
        <w:tab w:val="left" w:pos="1080"/>
      </w:tabs>
      <w:ind w:left="425" w:hanging="425"/>
    </w:pPr>
  </w:style>
  <w:style w:type="paragraph" w:customStyle="1" w:styleId="416">
    <w:name w:val="表格样式"/>
    <w:basedOn w:val="1"/>
    <w:qFormat/>
    <w:uiPriority w:val="0"/>
    <w:pPr>
      <w:adjustRightInd w:val="0"/>
      <w:snapToGrid w:val="0"/>
      <w:jc w:val="center"/>
      <w:textAlignment w:val="baseline"/>
    </w:pPr>
    <w:rPr>
      <w:rFonts w:ascii="宋体" w:eastAsia="宋体"/>
      <w:snapToGrid w:val="0"/>
      <w:color w:val="000000"/>
      <w:kern w:val="0"/>
      <w:sz w:val="24"/>
    </w:rPr>
  </w:style>
  <w:style w:type="paragraph" w:customStyle="1" w:styleId="417">
    <w:name w:val="xl24"/>
    <w:basedOn w:val="1"/>
    <w:qFormat/>
    <w:uiPriority w:val="0"/>
    <w:pPr>
      <w:widowControl/>
      <w:spacing w:before="100" w:beforeAutospacing="1" w:after="100" w:afterAutospacing="1"/>
      <w:jc w:val="center"/>
    </w:pPr>
    <w:rPr>
      <w:rFonts w:eastAsia="Arial Unicode MS"/>
      <w:kern w:val="0"/>
      <w:sz w:val="21"/>
      <w:szCs w:val="21"/>
    </w:rPr>
  </w:style>
  <w:style w:type="paragraph" w:customStyle="1" w:styleId="418">
    <w:name w:val="样式 段前: 7.8 磅"/>
    <w:basedOn w:val="1"/>
    <w:qFormat/>
    <w:uiPriority w:val="0"/>
    <w:pPr>
      <w:spacing w:before="156" w:line="360" w:lineRule="auto"/>
      <w:ind w:firstLine="480" w:firstLineChars="200"/>
    </w:pPr>
    <w:rPr>
      <w:rFonts w:ascii="Arial" w:hAnsi="Arial" w:eastAsia="宋体"/>
      <w:sz w:val="24"/>
    </w:rPr>
  </w:style>
  <w:style w:type="paragraph" w:customStyle="1" w:styleId="419">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420">
    <w:name w:val="正文2"/>
    <w:basedOn w:val="1"/>
    <w:qFormat/>
    <w:uiPriority w:val="0"/>
    <w:pPr>
      <w:snapToGrid w:val="0"/>
      <w:spacing w:line="500" w:lineRule="atLeast"/>
      <w:ind w:firstLine="567"/>
    </w:pPr>
    <w:rPr>
      <w:rFonts w:eastAsia="宋体"/>
      <w:sz w:val="24"/>
    </w:rPr>
  </w:style>
  <w:style w:type="paragraph" w:customStyle="1" w:styleId="421">
    <w:name w:val="样式 正文缩进正文（首行缩进两字） + 首行缩进:  2 字符"/>
    <w:basedOn w:val="4"/>
    <w:qFormat/>
    <w:uiPriority w:val="0"/>
    <w:pPr>
      <w:tabs>
        <w:tab w:val="left" w:pos="2835"/>
      </w:tabs>
      <w:spacing w:line="360" w:lineRule="auto"/>
      <w:ind w:firstLine="560" w:firstLineChars="200"/>
    </w:pPr>
    <w:rPr>
      <w:rFonts w:ascii="Times New Roman" w:hAnsi="Times New Roman" w:eastAsia="仿宋_GB2312" w:cs="Times New Roman"/>
      <w:bCs/>
      <w:spacing w:val="0"/>
      <w:sz w:val="28"/>
      <w:szCs w:val="22"/>
    </w:rPr>
  </w:style>
  <w:style w:type="paragraph" w:customStyle="1" w:styleId="422">
    <w:name w:val="图"/>
    <w:basedOn w:val="4"/>
    <w:qFormat/>
    <w:uiPriority w:val="0"/>
    <w:pPr>
      <w:autoSpaceDE w:val="0"/>
      <w:autoSpaceDN w:val="0"/>
      <w:adjustRightInd w:val="0"/>
      <w:spacing w:line="360" w:lineRule="auto"/>
      <w:ind w:left="67" w:leftChars="67" w:firstLine="723" w:firstLineChars="300"/>
      <w:jc w:val="center"/>
    </w:pPr>
    <w:rPr>
      <w:rFonts w:ascii="Times New Roman" w:hAnsi="Times New Roman"/>
      <w:b/>
      <w:bCs/>
      <w:spacing w:val="0"/>
      <w:kern w:val="0"/>
      <w:szCs w:val="18"/>
    </w:rPr>
  </w:style>
  <w:style w:type="paragraph" w:customStyle="1" w:styleId="423">
    <w:name w:val="5"/>
    <w:basedOn w:val="1"/>
    <w:next w:val="51"/>
    <w:qFormat/>
    <w:uiPriority w:val="0"/>
    <w:pPr>
      <w:spacing w:after="120" w:afterLines="50" w:line="348" w:lineRule="auto"/>
      <w:ind w:firstLine="480" w:firstLineChars="200"/>
    </w:pPr>
    <w:rPr>
      <w:rFonts w:eastAsia="宋体"/>
      <w:sz w:val="24"/>
      <w:szCs w:val="21"/>
    </w:rPr>
  </w:style>
  <w:style w:type="paragraph" w:customStyle="1" w:styleId="424">
    <w:name w:val="7"/>
    <w:basedOn w:val="1"/>
    <w:next w:val="51"/>
    <w:qFormat/>
    <w:uiPriority w:val="0"/>
    <w:pPr>
      <w:spacing w:line="360" w:lineRule="auto"/>
      <w:ind w:firstLine="480" w:firstLineChars="200"/>
    </w:pPr>
    <w:rPr>
      <w:rFonts w:eastAsia="宋体"/>
      <w:color w:val="000000"/>
      <w:sz w:val="24"/>
      <w:szCs w:val="24"/>
    </w:rPr>
  </w:style>
  <w:style w:type="paragraph" w:customStyle="1" w:styleId="425">
    <w:name w:val="xl2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eastAsia="Arial Unicode MS"/>
      <w:kern w:val="0"/>
      <w:sz w:val="24"/>
      <w:szCs w:val="24"/>
    </w:rPr>
  </w:style>
  <w:style w:type="paragraph" w:customStyle="1" w:styleId="426">
    <w:name w:val="样式 正文文本缩进 2 + 首行缩进:  2 字符 段前: 0.5 行 段后: 0.5 行"/>
    <w:basedOn w:val="51"/>
    <w:qFormat/>
    <w:uiPriority w:val="0"/>
    <w:pPr>
      <w:spacing w:line="348" w:lineRule="auto"/>
      <w:ind w:firstLine="200" w:firstLineChars="200"/>
    </w:pPr>
    <w:rPr>
      <w:rFonts w:ascii="Times New Roman" w:hAnsi="Times New Roman"/>
    </w:rPr>
  </w:style>
  <w:style w:type="paragraph" w:customStyle="1" w:styleId="427">
    <w:name w:val="xl6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28">
    <w:name w:val="表格下方正文"/>
    <w:basedOn w:val="4"/>
    <w:link w:val="873"/>
    <w:qFormat/>
    <w:uiPriority w:val="0"/>
    <w:pPr>
      <w:spacing w:before="400" w:line="460" w:lineRule="exact"/>
      <w:ind w:firstLine="200" w:firstLineChars="200"/>
    </w:pPr>
    <w:rPr>
      <w:rFonts w:ascii="Times New Roman" w:hAnsi="Times New Roman" w:cs="Times New Roman"/>
      <w:spacing w:val="0"/>
      <w:szCs w:val="24"/>
      <w:lang w:val="zh-CN" w:eastAsia="zh-CN"/>
    </w:rPr>
  </w:style>
  <w:style w:type="paragraph" w:customStyle="1" w:styleId="429">
    <w:name w:val="居中正文"/>
    <w:basedOn w:val="40"/>
    <w:link w:val="769"/>
    <w:qFormat/>
    <w:uiPriority w:val="0"/>
    <w:pPr>
      <w:adjustRightInd w:val="0"/>
      <w:spacing w:before="120" w:after="0" w:line="360" w:lineRule="auto"/>
      <w:ind w:firstLine="0" w:firstLineChars="0"/>
      <w:jc w:val="center"/>
    </w:pPr>
    <w:rPr>
      <w:rFonts w:ascii="宋体" w:eastAsia="宋体"/>
      <w:kern w:val="28"/>
      <w:sz w:val="24"/>
    </w:rPr>
  </w:style>
  <w:style w:type="paragraph" w:customStyle="1" w:styleId="430">
    <w:name w:val="2级标题"/>
    <w:basedOn w:val="1"/>
    <w:link w:val="878"/>
    <w:qFormat/>
    <w:uiPriority w:val="0"/>
    <w:pPr>
      <w:spacing w:before="60" w:line="460" w:lineRule="exact"/>
      <w:outlineLvl w:val="1"/>
    </w:pPr>
    <w:rPr>
      <w:rFonts w:ascii="Arial" w:hAnsi="Arial" w:eastAsia="宋体"/>
      <w:b/>
      <w:lang w:val="zh-CN" w:eastAsia="zh-CN"/>
    </w:rPr>
  </w:style>
  <w:style w:type="paragraph" w:customStyle="1" w:styleId="431">
    <w:name w:val="Char Char Char1 Char"/>
    <w:basedOn w:val="1"/>
    <w:qFormat/>
    <w:uiPriority w:val="0"/>
    <w:rPr>
      <w:rFonts w:eastAsia="宋体"/>
      <w:sz w:val="21"/>
      <w:szCs w:val="24"/>
    </w:rPr>
  </w:style>
  <w:style w:type="paragraph" w:customStyle="1" w:styleId="432">
    <w:name w:val="样式13"/>
    <w:basedOn w:val="408"/>
    <w:link w:val="1809"/>
    <w:qFormat/>
    <w:uiPriority w:val="0"/>
    <w:pPr>
      <w:ind w:firstLine="480" w:firstLineChars="200"/>
    </w:pPr>
    <w:rPr>
      <w:rFonts w:eastAsia="宋体"/>
      <w:spacing w:val="0"/>
      <w:szCs w:val="24"/>
    </w:rPr>
  </w:style>
  <w:style w:type="paragraph" w:customStyle="1" w:styleId="433">
    <w:name w:val="新正文"/>
    <w:basedOn w:val="1"/>
    <w:qFormat/>
    <w:uiPriority w:val="0"/>
    <w:pPr>
      <w:spacing w:before="60" w:line="460" w:lineRule="exact"/>
      <w:ind w:firstLine="200" w:firstLineChars="200"/>
    </w:pPr>
    <w:rPr>
      <w:rFonts w:eastAsia="宋体"/>
      <w:sz w:val="24"/>
    </w:rPr>
  </w:style>
  <w:style w:type="paragraph" w:customStyle="1" w:styleId="434">
    <w:name w:val="font6"/>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435">
    <w:name w:val="表名"/>
    <w:basedOn w:val="1"/>
    <w:next w:val="1"/>
    <w:link w:val="2085"/>
    <w:qFormat/>
    <w:uiPriority w:val="0"/>
    <w:pPr>
      <w:spacing w:line="360" w:lineRule="auto"/>
      <w:jc w:val="center"/>
    </w:pPr>
    <w:rPr>
      <w:rFonts w:eastAsia="黑体"/>
      <w:caps/>
      <w:sz w:val="24"/>
    </w:rPr>
  </w:style>
  <w:style w:type="paragraph" w:customStyle="1" w:styleId="436">
    <w:name w:val="表格001"/>
    <w:basedOn w:val="1"/>
    <w:qFormat/>
    <w:uiPriority w:val="0"/>
    <w:pPr>
      <w:jc w:val="center"/>
    </w:pPr>
    <w:rPr>
      <w:rFonts w:eastAsia="宋体"/>
      <w:sz w:val="24"/>
    </w:rPr>
  </w:style>
  <w:style w:type="paragraph" w:customStyle="1" w:styleId="437">
    <w:name w:val="样式 标题 3条标题1.1.13h33rd levelH3l3CT头小标题 + 段前: 3 磅 段后: 3 ..."/>
    <w:basedOn w:val="5"/>
    <w:qFormat/>
    <w:uiPriority w:val="0"/>
    <w:pPr>
      <w:numPr>
        <w:ilvl w:val="0"/>
        <w:numId w:val="0"/>
      </w:numPr>
      <w:tabs>
        <w:tab w:val="left" w:pos="0"/>
      </w:tabs>
      <w:spacing w:before="60" w:after="60" w:line="360" w:lineRule="auto"/>
      <w:jc w:val="left"/>
    </w:pPr>
    <w:rPr>
      <w:rFonts w:ascii="Times New Roman" w:eastAsia="宋体" w:cs="宋体"/>
    </w:rPr>
  </w:style>
  <w:style w:type="paragraph" w:customStyle="1" w:styleId="438">
    <w:name w:val="表格"/>
    <w:basedOn w:val="1"/>
    <w:link w:val="865"/>
    <w:qFormat/>
    <w:uiPriority w:val="0"/>
    <w:pPr>
      <w:overflowPunct w:val="0"/>
      <w:spacing w:line="240" w:lineRule="exact"/>
      <w:jc w:val="center"/>
      <w:textAlignment w:val="bottom"/>
    </w:pPr>
    <w:rPr>
      <w:rFonts w:ascii="Arial" w:hAnsi="Arial" w:eastAsia="宋体"/>
      <w:color w:val="000000"/>
      <w:sz w:val="21"/>
      <w:szCs w:val="21"/>
      <w:lang w:val="zh-CN" w:eastAsia="zh-CN"/>
    </w:rPr>
  </w:style>
  <w:style w:type="paragraph" w:customStyle="1" w:styleId="439">
    <w:name w:val="标准"/>
    <w:basedOn w:val="1"/>
    <w:qFormat/>
    <w:uiPriority w:val="0"/>
    <w:pPr>
      <w:adjustRightInd w:val="0"/>
      <w:spacing w:line="480" w:lineRule="exact"/>
      <w:jc w:val="center"/>
      <w:textAlignment w:val="baseline"/>
    </w:pPr>
    <w:rPr>
      <w:rFonts w:ascii="Arial Rounded MT Bold" w:eastAsia="宋体"/>
      <w:kern w:val="0"/>
      <w:sz w:val="21"/>
    </w:rPr>
  </w:style>
  <w:style w:type="paragraph" w:customStyle="1" w:styleId="440">
    <w:name w:val="样式 标题 1报告书标题 1 + 居中"/>
    <w:basedOn w:val="2"/>
    <w:qFormat/>
    <w:uiPriority w:val="0"/>
    <w:pPr>
      <w:pageBreakBefore w:val="0"/>
      <w:spacing w:before="400" w:after="400" w:line="360" w:lineRule="auto"/>
      <w:ind w:left="0" w:firstLine="0"/>
    </w:pPr>
    <w:rPr>
      <w:rFonts w:ascii="Arial" w:hAnsi="Arial" w:eastAsia="黑体"/>
      <w:bCs/>
      <w:sz w:val="44"/>
      <w:szCs w:val="44"/>
    </w:rPr>
  </w:style>
  <w:style w:type="paragraph" w:customStyle="1" w:styleId="441">
    <w:name w:val="2"/>
    <w:basedOn w:val="1"/>
    <w:next w:val="45"/>
    <w:qFormat/>
    <w:uiPriority w:val="0"/>
    <w:rPr>
      <w:rFonts w:ascii="宋体" w:hAnsi="Courier New" w:eastAsia="宋体"/>
      <w:sz w:val="21"/>
    </w:rPr>
  </w:style>
  <w:style w:type="paragraph" w:customStyle="1" w:styleId="442">
    <w:name w:val="样式12"/>
    <w:basedOn w:val="1"/>
    <w:qFormat/>
    <w:uiPriority w:val="0"/>
    <w:pPr>
      <w:spacing w:line="360" w:lineRule="auto"/>
    </w:pPr>
    <w:rPr>
      <w:rFonts w:ascii="Arial" w:hAnsi="Arial" w:eastAsia="宋体" w:cs="Arial"/>
      <w:b/>
      <w:bCs/>
      <w:sz w:val="24"/>
      <w:szCs w:val="24"/>
    </w:rPr>
  </w:style>
  <w:style w:type="paragraph" w:customStyle="1" w:styleId="443">
    <w:name w:val="样式 首行缩进:  0.77 厘米"/>
    <w:basedOn w:val="1"/>
    <w:qFormat/>
    <w:uiPriority w:val="0"/>
    <w:pPr>
      <w:spacing w:line="360" w:lineRule="auto"/>
      <w:ind w:firstLine="435"/>
    </w:pPr>
    <w:rPr>
      <w:rFonts w:ascii="Arial" w:hAnsi="Arial" w:eastAsia="宋体"/>
      <w:sz w:val="24"/>
    </w:rPr>
  </w:style>
  <w:style w:type="paragraph" w:customStyle="1" w:styleId="444">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445">
    <w:name w:val="样式 首行缩进:  2 字符1"/>
    <w:basedOn w:val="1"/>
    <w:qFormat/>
    <w:uiPriority w:val="0"/>
    <w:pPr>
      <w:spacing w:line="360" w:lineRule="auto"/>
      <w:ind w:firstLine="480" w:firstLineChars="200"/>
    </w:pPr>
    <w:rPr>
      <w:rFonts w:ascii="Arial" w:hAnsi="Arial" w:eastAsia="宋体"/>
      <w:kern w:val="0"/>
      <w:sz w:val="24"/>
    </w:rPr>
  </w:style>
  <w:style w:type="paragraph" w:customStyle="1" w:styleId="446">
    <w:name w:val="正文缩"/>
    <w:basedOn w:val="1"/>
    <w:next w:val="1"/>
    <w:qFormat/>
    <w:uiPriority w:val="0"/>
    <w:pPr>
      <w:adjustRightInd w:val="0"/>
      <w:snapToGrid w:val="0"/>
      <w:spacing w:line="480" w:lineRule="atLeast"/>
      <w:ind w:firstLine="567"/>
      <w:textAlignment w:val="baseline"/>
    </w:pPr>
    <w:rPr>
      <w:rFonts w:ascii="宋体" w:eastAsia="宋体"/>
      <w:snapToGrid w:val="0"/>
      <w:spacing w:val="6"/>
      <w:kern w:val="0"/>
    </w:rPr>
  </w:style>
  <w:style w:type="paragraph" w:customStyle="1" w:styleId="447">
    <w:name w:val="xl29"/>
    <w:basedOn w:val="1"/>
    <w:qFormat/>
    <w:uiPriority w:val="0"/>
    <w:pPr>
      <w:widowControl/>
      <w:pBdr>
        <w:bottom w:val="single" w:color="auto" w:sz="4" w:space="0"/>
        <w:right w:val="single" w:color="auto" w:sz="4" w:space="0"/>
      </w:pBdr>
      <w:spacing w:before="100" w:beforeAutospacing="1" w:after="100" w:afterAutospacing="1"/>
      <w:jc w:val="center"/>
    </w:pPr>
    <w:rPr>
      <w:rFonts w:eastAsia="宋体"/>
      <w:kern w:val="0"/>
      <w:sz w:val="21"/>
      <w:szCs w:val="21"/>
    </w:rPr>
  </w:style>
  <w:style w:type="paragraph" w:customStyle="1" w:styleId="448">
    <w:name w:val="font0"/>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449">
    <w:name w:val="样式 正文缩进首行缩进两字标题4正文不缩进s4正文（首行缩进两字） Char Char Char Char Char ..."/>
    <w:basedOn w:val="4"/>
    <w:qFormat/>
    <w:uiPriority w:val="0"/>
    <w:rPr>
      <w:color w:val="000000"/>
    </w:rPr>
  </w:style>
  <w:style w:type="paragraph" w:customStyle="1" w:styleId="450">
    <w:name w:val="图文"/>
    <w:basedOn w:val="438"/>
    <w:qFormat/>
    <w:uiPriority w:val="0"/>
    <w:pPr>
      <w:spacing w:line="160" w:lineRule="atLeast"/>
    </w:pPr>
    <w:rPr>
      <w:iCs/>
      <w:szCs w:val="24"/>
    </w:rPr>
  </w:style>
  <w:style w:type="paragraph" w:customStyle="1" w:styleId="451">
    <w:name w:val="页面标题2"/>
    <w:basedOn w:val="1"/>
    <w:qFormat/>
    <w:uiPriority w:val="0"/>
    <w:pPr>
      <w:overflowPunct w:val="0"/>
      <w:topLinePunct/>
      <w:adjustRightInd w:val="0"/>
      <w:spacing w:line="360" w:lineRule="auto"/>
      <w:ind w:firstLine="480" w:firstLineChars="200"/>
      <w:jc w:val="center"/>
      <w:textAlignment w:val="baseline"/>
    </w:pPr>
    <w:rPr>
      <w:rFonts w:ascii="黑体" w:hAnsi="宋体" w:eastAsia="黑体"/>
      <w:b/>
      <w:kern w:val="24"/>
      <w:sz w:val="44"/>
    </w:rPr>
  </w:style>
  <w:style w:type="paragraph" w:customStyle="1" w:styleId="452">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eastAsia="宋体"/>
      <w:sz w:val="24"/>
      <w:szCs w:val="24"/>
    </w:rPr>
  </w:style>
  <w:style w:type="paragraph" w:customStyle="1" w:styleId="453">
    <w:name w:val="样式 标题 1章标题章ChChapter HeadingIBM Section Head标题 1 Char Char..."/>
    <w:basedOn w:val="2"/>
    <w:qFormat/>
    <w:uiPriority w:val="0"/>
    <w:pPr>
      <w:pageBreakBefore w:val="0"/>
      <w:tabs>
        <w:tab w:val="left" w:pos="532"/>
        <w:tab w:val="clear" w:pos="1080"/>
      </w:tabs>
      <w:spacing w:before="240" w:beforeLines="100" w:after="0" w:line="360" w:lineRule="auto"/>
      <w:ind w:left="532" w:hanging="432"/>
      <w:jc w:val="both"/>
    </w:pPr>
    <w:rPr>
      <w:rFonts w:ascii="宋体" w:hAnsi="宋体" w:eastAsia="黑体" w:cs="宋体"/>
      <w:bCs/>
      <w:sz w:val="44"/>
    </w:rPr>
  </w:style>
  <w:style w:type="paragraph" w:customStyle="1" w:styleId="454">
    <w:name w:val="表格2"/>
    <w:basedOn w:val="1"/>
    <w:qFormat/>
    <w:uiPriority w:val="0"/>
    <w:pPr>
      <w:spacing w:line="360" w:lineRule="atLeast"/>
      <w:jc w:val="center"/>
    </w:pPr>
    <w:rPr>
      <w:rFonts w:eastAsia="宋体"/>
      <w:sz w:val="21"/>
      <w:szCs w:val="21"/>
    </w:rPr>
  </w:style>
  <w:style w:type="paragraph" w:customStyle="1" w:styleId="455">
    <w:name w:val="zhengwen"/>
    <w:basedOn w:val="1"/>
    <w:qFormat/>
    <w:uiPriority w:val="0"/>
    <w:pPr>
      <w:spacing w:line="360" w:lineRule="auto"/>
      <w:ind w:firstLine="200" w:firstLineChars="200"/>
      <w:jc w:val="left"/>
    </w:pPr>
    <w:rPr>
      <w:rFonts w:ascii="Times" w:hAnsi="Times" w:eastAsia="宋体"/>
      <w:spacing w:val="8"/>
      <w:sz w:val="24"/>
      <w:szCs w:val="24"/>
    </w:rPr>
  </w:style>
  <w:style w:type="paragraph" w:customStyle="1" w:styleId="456">
    <w:name w:val="正文3"/>
    <w:basedOn w:val="1"/>
    <w:qFormat/>
    <w:uiPriority w:val="0"/>
    <w:pPr>
      <w:keepNext/>
      <w:adjustRightInd w:val="0"/>
      <w:jc w:val="center"/>
      <w:textAlignment w:val="baseline"/>
    </w:pPr>
    <w:rPr>
      <w:rFonts w:eastAsia="宋体"/>
      <w:kern w:val="0"/>
    </w:rPr>
  </w:style>
  <w:style w:type="paragraph" w:customStyle="1" w:styleId="457">
    <w:name w:val="样式 LNG－标题1 + 段前: 0.5 行 段后: 0.5 行"/>
    <w:basedOn w:val="391"/>
    <w:qFormat/>
    <w:uiPriority w:val="0"/>
    <w:pPr>
      <w:adjustRightInd w:val="0"/>
      <w:jc w:val="center"/>
      <w:outlineLvl w:val="0"/>
    </w:pPr>
    <w:rPr>
      <w:rFonts w:cs="宋体"/>
      <w:bCs/>
    </w:rPr>
  </w:style>
  <w:style w:type="paragraph" w:customStyle="1" w:styleId="458">
    <w:name w:val="样式 表格2 + 行距: 固定值 20 磅"/>
    <w:basedOn w:val="454"/>
    <w:qFormat/>
    <w:uiPriority w:val="0"/>
    <w:pPr>
      <w:spacing w:line="400" w:lineRule="exact"/>
    </w:pPr>
    <w:rPr>
      <w:rFonts w:cs="宋体"/>
      <w:szCs w:val="20"/>
    </w:rPr>
  </w:style>
  <w:style w:type="paragraph" w:customStyle="1" w:styleId="459">
    <w:name w:val="样式7"/>
    <w:basedOn w:val="4"/>
    <w:qFormat/>
    <w:uiPriority w:val="0"/>
    <w:pPr>
      <w:spacing w:line="440" w:lineRule="exact"/>
    </w:pPr>
  </w:style>
  <w:style w:type="paragraph" w:customStyle="1" w:styleId="460">
    <w:name w:val="Char Char Char1 Char1"/>
    <w:basedOn w:val="1"/>
    <w:qFormat/>
    <w:uiPriority w:val="0"/>
    <w:rPr>
      <w:rFonts w:eastAsia="宋体"/>
      <w:sz w:val="21"/>
      <w:szCs w:val="24"/>
    </w:rPr>
  </w:style>
  <w:style w:type="paragraph" w:customStyle="1" w:styleId="461">
    <w:name w:val="Char 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462">
    <w:name w:val="简单回函地址"/>
    <w:basedOn w:val="1"/>
    <w:link w:val="1077"/>
    <w:qFormat/>
    <w:uiPriority w:val="0"/>
    <w:rPr>
      <w:rFonts w:eastAsia="宋体"/>
      <w:sz w:val="21"/>
    </w:rPr>
  </w:style>
  <w:style w:type="paragraph" w:customStyle="1" w:styleId="463">
    <w:name w:val="xl63"/>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64">
    <w:name w:val="样式 首行缩进:  0.85 厘米 段前: 7.8 磅"/>
    <w:basedOn w:val="1"/>
    <w:qFormat/>
    <w:uiPriority w:val="0"/>
    <w:pPr>
      <w:spacing w:before="156" w:line="360" w:lineRule="auto"/>
      <w:ind w:firstLine="482"/>
    </w:pPr>
    <w:rPr>
      <w:rFonts w:ascii="Arial" w:hAnsi="Arial" w:eastAsia="宋体"/>
      <w:sz w:val="24"/>
    </w:rPr>
  </w:style>
  <w:style w:type="paragraph" w:customStyle="1" w:styleId="465">
    <w:name w:val="字元 字元"/>
    <w:basedOn w:val="1"/>
    <w:qFormat/>
    <w:uiPriority w:val="0"/>
    <w:pPr>
      <w:spacing w:line="360" w:lineRule="auto"/>
      <w:ind w:firstLine="200" w:firstLineChars="200"/>
    </w:pPr>
    <w:rPr>
      <w:rFonts w:ascii="宋体" w:hAnsi="宋体" w:eastAsia="宋体" w:cs="宋体"/>
      <w:sz w:val="24"/>
      <w:szCs w:val="24"/>
    </w:rPr>
  </w:style>
  <w:style w:type="paragraph" w:styleId="466">
    <w:name w:val="List Paragraph"/>
    <w:basedOn w:val="1"/>
    <w:link w:val="1032"/>
    <w:qFormat/>
    <w:uiPriority w:val="0"/>
    <w:pPr>
      <w:ind w:firstLine="420" w:firstLineChars="200"/>
    </w:pPr>
    <w:rPr>
      <w:rFonts w:ascii="Calibri" w:hAnsi="Calibri" w:eastAsia="宋体"/>
      <w:sz w:val="21"/>
      <w:szCs w:val="22"/>
      <w:lang w:val="zh-CN" w:eastAsia="zh-CN"/>
    </w:rPr>
  </w:style>
  <w:style w:type="paragraph" w:customStyle="1" w:styleId="467">
    <w:name w:val="xl85"/>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2"/>
      <w:szCs w:val="22"/>
    </w:rPr>
  </w:style>
  <w:style w:type="paragraph" w:customStyle="1" w:styleId="468">
    <w:name w:val="xl7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469">
    <w:name w:val="样式 黑色 首行缩进:  0.8 厘米"/>
    <w:basedOn w:val="1"/>
    <w:qFormat/>
    <w:uiPriority w:val="0"/>
    <w:pPr>
      <w:spacing w:line="360" w:lineRule="auto"/>
      <w:ind w:firstLine="454"/>
    </w:pPr>
    <w:rPr>
      <w:rFonts w:ascii="Arial" w:hAnsi="Arial" w:eastAsia="宋体"/>
      <w:color w:val="000000"/>
      <w:sz w:val="24"/>
    </w:rPr>
  </w:style>
  <w:style w:type="paragraph" w:customStyle="1" w:styleId="470">
    <w:name w:val="敏感表"/>
    <w:basedOn w:val="1"/>
    <w:next w:val="1"/>
    <w:qFormat/>
    <w:uiPriority w:val="0"/>
    <w:pPr>
      <w:topLinePunct/>
      <w:adjustRightInd w:val="0"/>
      <w:spacing w:line="240" w:lineRule="atLeast"/>
      <w:jc w:val="center"/>
      <w:textAlignment w:val="bottom"/>
    </w:pPr>
    <w:rPr>
      <w:rFonts w:eastAsia="宋体"/>
      <w:kern w:val="0"/>
      <w:sz w:val="21"/>
    </w:rPr>
  </w:style>
  <w:style w:type="paragraph" w:customStyle="1" w:styleId="471">
    <w:name w:val="1"/>
    <w:basedOn w:val="1"/>
    <w:next w:val="34"/>
    <w:qFormat/>
    <w:uiPriority w:val="0"/>
    <w:pPr>
      <w:spacing w:line="360" w:lineRule="auto"/>
      <w:ind w:firstLine="480" w:firstLineChars="200"/>
    </w:pPr>
    <w:rPr>
      <w:rFonts w:ascii="仿宋_GB2312"/>
      <w:sz w:val="24"/>
      <w:szCs w:val="24"/>
    </w:rPr>
  </w:style>
  <w:style w:type="paragraph" w:customStyle="1" w:styleId="472">
    <w:name w:val="item1.1.1"/>
    <w:basedOn w:val="1"/>
    <w:qFormat/>
    <w:uiPriority w:val="0"/>
    <w:pPr>
      <w:spacing w:before="100" w:after="100"/>
      <w:textAlignment w:val="top"/>
    </w:pPr>
    <w:rPr>
      <w:rFonts w:eastAsia="宋体"/>
      <w:sz w:val="24"/>
      <w:szCs w:val="24"/>
    </w:rPr>
  </w:style>
  <w:style w:type="paragraph" w:customStyle="1" w:styleId="473">
    <w:name w:val="样式 左"/>
    <w:basedOn w:val="1"/>
    <w:qFormat/>
    <w:uiPriority w:val="0"/>
    <w:pPr>
      <w:spacing w:line="360" w:lineRule="auto"/>
      <w:ind w:firstLine="480" w:firstLineChars="200"/>
      <w:jc w:val="left"/>
    </w:pPr>
    <w:rPr>
      <w:rFonts w:ascii="Arial" w:hAnsi="Arial" w:eastAsia="宋体" w:cs="宋体"/>
      <w:sz w:val="24"/>
    </w:rPr>
  </w:style>
  <w:style w:type="paragraph" w:customStyle="1" w:styleId="474">
    <w:name w:val="xl5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75">
    <w:name w:val="xl44"/>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476">
    <w:name w:val="样式 黑色"/>
    <w:basedOn w:val="1"/>
    <w:qFormat/>
    <w:uiPriority w:val="0"/>
    <w:pPr>
      <w:spacing w:line="360" w:lineRule="auto"/>
      <w:ind w:firstLine="480" w:firstLineChars="200"/>
    </w:pPr>
    <w:rPr>
      <w:rFonts w:ascii="Arial" w:hAnsi="Arial" w:eastAsia="宋体"/>
      <w:color w:val="000000"/>
      <w:sz w:val="24"/>
    </w:rPr>
  </w:style>
  <w:style w:type="paragraph" w:customStyle="1" w:styleId="477">
    <w:name w:val="图件头"/>
    <w:basedOn w:val="1"/>
    <w:qFormat/>
    <w:uiPriority w:val="0"/>
    <w:pPr>
      <w:spacing w:line="360" w:lineRule="auto"/>
    </w:pPr>
    <w:rPr>
      <w:rFonts w:eastAsia="宋体"/>
      <w:b/>
      <w:bCs/>
      <w:sz w:val="24"/>
      <w:szCs w:val="24"/>
    </w:rPr>
  </w:style>
  <w:style w:type="paragraph" w:customStyle="1" w:styleId="478">
    <w:name w:val="字元 字元1"/>
    <w:basedOn w:val="1"/>
    <w:qFormat/>
    <w:uiPriority w:val="0"/>
    <w:pPr>
      <w:spacing w:line="360" w:lineRule="auto"/>
      <w:ind w:firstLine="200" w:firstLineChars="200"/>
    </w:pPr>
    <w:rPr>
      <w:rFonts w:ascii="宋体" w:hAnsi="宋体" w:eastAsia="宋体" w:cs="宋体"/>
      <w:sz w:val="24"/>
      <w:szCs w:val="24"/>
    </w:rPr>
  </w:style>
  <w:style w:type="paragraph" w:customStyle="1" w:styleId="479">
    <w:name w:val="css"/>
    <w:basedOn w:val="1"/>
    <w:qFormat/>
    <w:uiPriority w:val="0"/>
    <w:pPr>
      <w:widowControl/>
      <w:spacing w:before="100" w:beforeAutospacing="1" w:after="100" w:afterAutospacing="1" w:line="272" w:lineRule="atLeast"/>
      <w:jc w:val="left"/>
    </w:pPr>
    <w:rPr>
      <w:rFonts w:ascii="ˎ̥" w:hAnsi="ˎ̥" w:eastAsia="宋体" w:cs="宋体"/>
      <w:color w:val="000000"/>
      <w:kern w:val="0"/>
      <w:sz w:val="16"/>
      <w:szCs w:val="16"/>
    </w:rPr>
  </w:style>
  <w:style w:type="paragraph" w:customStyle="1" w:styleId="480">
    <w:name w:val="样式 题注 + (中文) 黑体 加粗"/>
    <w:basedOn w:val="21"/>
    <w:qFormat/>
    <w:uiPriority w:val="0"/>
    <w:pPr>
      <w:spacing w:before="100" w:beforeAutospacing="1" w:after="0"/>
      <w:jc w:val="center"/>
    </w:pPr>
    <w:rPr>
      <w:rFonts w:eastAsia="宋体"/>
      <w:b/>
      <w:bCs/>
      <w:sz w:val="24"/>
    </w:rPr>
  </w:style>
  <w:style w:type="paragraph" w:customStyle="1" w:styleId="481">
    <w:name w:val="样式 标题 2 + 段后: 0.5 行"/>
    <w:basedOn w:val="3"/>
    <w:next w:val="86"/>
    <w:qFormat/>
    <w:uiPriority w:val="0"/>
    <w:pPr>
      <w:numPr>
        <w:numId w:val="0"/>
      </w:numPr>
      <w:tabs>
        <w:tab w:val="left" w:pos="1200"/>
      </w:tabs>
      <w:spacing w:before="50" w:beforeLines="50" w:after="50" w:afterLines="50" w:line="360" w:lineRule="auto"/>
      <w:ind w:left="1200" w:hanging="720"/>
    </w:pPr>
    <w:rPr>
      <w:rFonts w:ascii="Times New Roman" w:hAnsi="Times New Roman" w:eastAsia="宋体"/>
      <w:b/>
      <w:bCs/>
      <w:smallCaps/>
    </w:rPr>
  </w:style>
  <w:style w:type="paragraph" w:customStyle="1" w:styleId="482">
    <w:name w:val="表格新"/>
    <w:basedOn w:val="1"/>
    <w:qFormat/>
    <w:uiPriority w:val="0"/>
    <w:pPr>
      <w:widowControl/>
      <w:snapToGrid w:val="0"/>
      <w:spacing w:line="360" w:lineRule="auto"/>
    </w:pPr>
    <w:rPr>
      <w:rFonts w:eastAsia="宋体"/>
      <w:kern w:val="0"/>
      <w:sz w:val="21"/>
      <w:szCs w:val="21"/>
    </w:rPr>
  </w:style>
  <w:style w:type="paragraph" w:customStyle="1" w:styleId="483">
    <w:name w:val="T正文"/>
    <w:basedOn w:val="1"/>
    <w:next w:val="1"/>
    <w:qFormat/>
    <w:uiPriority w:val="0"/>
    <w:pPr>
      <w:autoSpaceDE w:val="0"/>
      <w:autoSpaceDN w:val="0"/>
      <w:adjustRightInd w:val="0"/>
      <w:jc w:val="left"/>
    </w:pPr>
    <w:rPr>
      <w:rFonts w:ascii="宋体" w:eastAsia="宋体"/>
      <w:kern w:val="0"/>
      <w:sz w:val="24"/>
      <w:szCs w:val="24"/>
    </w:rPr>
  </w:style>
  <w:style w:type="paragraph" w:customStyle="1" w:styleId="484">
    <w:name w:val="样式8"/>
    <w:basedOn w:val="402"/>
    <w:qFormat/>
    <w:uiPriority w:val="0"/>
    <w:pPr>
      <w:numPr>
        <w:ilvl w:val="0"/>
        <w:numId w:val="0"/>
      </w:numPr>
      <w:tabs>
        <w:tab w:val="left" w:pos="720"/>
      </w:tabs>
      <w:ind w:left="720" w:hanging="720"/>
    </w:pPr>
  </w:style>
  <w:style w:type="paragraph" w:customStyle="1" w:styleId="485">
    <w:name w:val="xl6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86">
    <w:name w:val="表头编号"/>
    <w:basedOn w:val="1"/>
    <w:qFormat/>
    <w:uiPriority w:val="0"/>
    <w:pPr>
      <w:spacing w:line="360" w:lineRule="auto"/>
      <w:ind w:left="420" w:leftChars="200" w:right="840" w:rightChars="400" w:firstLine="1050" w:firstLineChars="500"/>
      <w:jc w:val="left"/>
    </w:pPr>
    <w:rPr>
      <w:rFonts w:eastAsia="宋体"/>
      <w:sz w:val="21"/>
      <w:szCs w:val="24"/>
    </w:rPr>
  </w:style>
  <w:style w:type="paragraph" w:customStyle="1" w:styleId="487">
    <w:name w:val="xl87"/>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488">
    <w:name w:val="xl80"/>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489">
    <w:name w:val="xl6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490">
    <w:name w:val="表格文字"/>
    <w:basedOn w:val="1"/>
    <w:qFormat/>
    <w:uiPriority w:val="0"/>
    <w:rPr>
      <w:rFonts w:eastAsia="宋体"/>
      <w:sz w:val="21"/>
      <w:szCs w:val="24"/>
    </w:rPr>
  </w:style>
  <w:style w:type="paragraph" w:customStyle="1" w:styleId="491">
    <w:name w:val="样式 样式 标题 3 + 段前: 0.5 行 段后: 0.5 行 + 段前: 0.5 行 段后: 0.5 行"/>
    <w:basedOn w:val="1"/>
    <w:qFormat/>
    <w:uiPriority w:val="0"/>
    <w:rPr>
      <w:rFonts w:eastAsia="宋体"/>
      <w:sz w:val="21"/>
      <w:szCs w:val="21"/>
    </w:rPr>
  </w:style>
  <w:style w:type="paragraph" w:customStyle="1" w:styleId="492">
    <w:name w:val="正文表格"/>
    <w:basedOn w:val="1"/>
    <w:qFormat/>
    <w:uiPriority w:val="0"/>
    <w:pPr>
      <w:spacing w:before="60" w:after="60"/>
    </w:pPr>
    <w:rPr>
      <w:rFonts w:ascii="Arial" w:hAnsi="Arial" w:eastAsia="宋体"/>
      <w:sz w:val="21"/>
    </w:rPr>
  </w:style>
  <w:style w:type="paragraph" w:customStyle="1" w:styleId="493">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494">
    <w:name w:val="一级无标题条"/>
    <w:basedOn w:val="1"/>
    <w:qFormat/>
    <w:uiPriority w:val="0"/>
    <w:rPr>
      <w:rFonts w:eastAsia="宋体"/>
      <w:sz w:val="21"/>
      <w:szCs w:val="24"/>
    </w:rPr>
  </w:style>
  <w:style w:type="paragraph" w:customStyle="1" w:styleId="495">
    <w:name w:val="xl76"/>
    <w:basedOn w:val="1"/>
    <w:qFormat/>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496">
    <w:name w:val="样式 首行缩进:  2 字符"/>
    <w:basedOn w:val="1"/>
    <w:qFormat/>
    <w:uiPriority w:val="0"/>
    <w:pPr>
      <w:spacing w:line="360" w:lineRule="auto"/>
      <w:ind w:firstLine="480" w:firstLineChars="200"/>
    </w:pPr>
    <w:rPr>
      <w:rFonts w:eastAsia="宋体" w:cs="宋体"/>
      <w:sz w:val="24"/>
    </w:rPr>
  </w:style>
  <w:style w:type="paragraph" w:customStyle="1" w:styleId="497">
    <w:name w:val="表头文字"/>
    <w:basedOn w:val="1"/>
    <w:qFormat/>
    <w:uiPriority w:val="0"/>
    <w:pPr>
      <w:widowControl/>
      <w:adjustRightInd w:val="0"/>
      <w:snapToGrid w:val="0"/>
      <w:spacing w:line="400" w:lineRule="exact"/>
      <w:jc w:val="center"/>
      <w:textAlignment w:val="baseline"/>
    </w:pPr>
    <w:rPr>
      <w:rFonts w:eastAsia="宋体"/>
      <w:b/>
      <w:kern w:val="0"/>
      <w:sz w:val="21"/>
    </w:rPr>
  </w:style>
  <w:style w:type="paragraph" w:customStyle="1" w:styleId="498">
    <w:name w:val="密级编号"/>
    <w:basedOn w:val="1"/>
    <w:qFormat/>
    <w:uiPriority w:val="0"/>
    <w:pPr>
      <w:adjustRightInd w:val="0"/>
      <w:jc w:val="center"/>
      <w:textAlignment w:val="baseline"/>
    </w:pPr>
    <w:rPr>
      <w:rFonts w:ascii="仿宋_GB2312"/>
      <w:kern w:val="0"/>
      <w:sz w:val="24"/>
    </w:rPr>
  </w:style>
  <w:style w:type="paragraph" w:customStyle="1" w:styleId="499">
    <w:name w:val="样式3 (1)"/>
    <w:basedOn w:val="1"/>
    <w:qFormat/>
    <w:uiPriority w:val="0"/>
    <w:pPr>
      <w:widowControl/>
      <w:tabs>
        <w:tab w:val="left" w:pos="510"/>
      </w:tabs>
      <w:adjustRightInd w:val="0"/>
      <w:spacing w:line="360" w:lineRule="auto"/>
    </w:pPr>
    <w:rPr>
      <w:rFonts w:eastAsia="宋体"/>
      <w:kern w:val="0"/>
      <w:sz w:val="24"/>
    </w:rPr>
  </w:style>
  <w:style w:type="paragraph" w:customStyle="1" w:styleId="500">
    <w:name w:val="xl43"/>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0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02">
    <w:name w:val="Char2"/>
    <w:basedOn w:val="1"/>
    <w:qFormat/>
    <w:uiPriority w:val="0"/>
    <w:pPr>
      <w:spacing w:line="360" w:lineRule="auto"/>
      <w:ind w:firstLine="200" w:firstLineChars="200"/>
    </w:pPr>
    <w:rPr>
      <w:rFonts w:eastAsia="黑体" w:cs="宋体"/>
      <w:sz w:val="24"/>
      <w:szCs w:val="24"/>
    </w:rPr>
  </w:style>
  <w:style w:type="paragraph" w:customStyle="1" w:styleId="503">
    <w:name w:val="xl77"/>
    <w:basedOn w:val="1"/>
    <w:qFormat/>
    <w:uiPriority w:val="0"/>
    <w:pPr>
      <w:widowControl/>
      <w:pBdr>
        <w:top w:val="single" w:color="auto" w:sz="4" w:space="0"/>
        <w:left w:val="single" w:color="auto" w:sz="8"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04">
    <w:name w:val="xl75"/>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05">
    <w:name w:val="Char3"/>
    <w:basedOn w:val="1"/>
    <w:qFormat/>
    <w:uiPriority w:val="0"/>
    <w:pPr>
      <w:spacing w:line="360" w:lineRule="auto"/>
      <w:ind w:firstLine="200" w:firstLineChars="200"/>
    </w:pPr>
    <w:rPr>
      <w:rFonts w:ascii="宋体" w:hAnsi="宋体" w:eastAsia="宋体" w:cs="宋体"/>
      <w:sz w:val="24"/>
      <w:szCs w:val="24"/>
    </w:rPr>
  </w:style>
  <w:style w:type="paragraph" w:customStyle="1" w:styleId="506">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507">
    <w:name w:val="页面标题3"/>
    <w:basedOn w:val="451"/>
    <w:qFormat/>
    <w:uiPriority w:val="0"/>
    <w:pPr>
      <w:ind w:left="200" w:leftChars="200"/>
    </w:pPr>
    <w:rPr>
      <w:sz w:val="32"/>
    </w:rPr>
  </w:style>
  <w:style w:type="paragraph" w:customStyle="1" w:styleId="508">
    <w:name w:val="xl5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509">
    <w:name w:val="论文正文"/>
    <w:basedOn w:val="4"/>
    <w:qFormat/>
    <w:uiPriority w:val="0"/>
    <w:pPr>
      <w:spacing w:line="240" w:lineRule="auto"/>
      <w:ind w:firstLine="480" w:firstLineChars="200"/>
    </w:pPr>
    <w:rPr>
      <w:rFonts w:ascii="宋体" w:hAnsi="宋体" w:cs="Times New Roman"/>
      <w:spacing w:val="0"/>
      <w:sz w:val="28"/>
      <w:szCs w:val="24"/>
    </w:rPr>
  </w:style>
  <w:style w:type="paragraph" w:customStyle="1" w:styleId="510">
    <w:name w:val="样式 左1"/>
    <w:basedOn w:val="1"/>
    <w:qFormat/>
    <w:uiPriority w:val="0"/>
    <w:pPr>
      <w:spacing w:line="360" w:lineRule="auto"/>
      <w:ind w:firstLine="480" w:firstLineChars="200"/>
      <w:jc w:val="left"/>
    </w:pPr>
    <w:rPr>
      <w:rFonts w:ascii="Arial" w:hAnsi="Arial" w:eastAsia="宋体"/>
      <w:sz w:val="24"/>
    </w:rPr>
  </w:style>
  <w:style w:type="paragraph" w:customStyle="1" w:styleId="511">
    <w:name w:val="xl84"/>
    <w:basedOn w:val="1"/>
    <w:qFormat/>
    <w:uiPriority w:val="0"/>
    <w:pPr>
      <w:widowControl/>
      <w:pBdr>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12">
    <w:name w:val="样式 首行缩进:  0.85 厘米"/>
    <w:basedOn w:val="1"/>
    <w:qFormat/>
    <w:uiPriority w:val="0"/>
    <w:pPr>
      <w:spacing w:line="360" w:lineRule="auto"/>
      <w:ind w:firstLine="480"/>
    </w:pPr>
    <w:rPr>
      <w:rFonts w:ascii="Arial" w:hAnsi="Arial" w:eastAsia="宋体"/>
      <w:sz w:val="24"/>
    </w:rPr>
  </w:style>
  <w:style w:type="paragraph" w:customStyle="1" w:styleId="513">
    <w:name w:val="样式 标题 1 + 居中"/>
    <w:basedOn w:val="2"/>
    <w:qFormat/>
    <w:uiPriority w:val="0"/>
    <w:pPr>
      <w:pageBreakBefore w:val="0"/>
      <w:spacing w:before="120" w:after="100" w:afterAutospacing="1" w:line="360" w:lineRule="auto"/>
      <w:ind w:left="0" w:firstLine="0"/>
    </w:pPr>
    <w:rPr>
      <w:rFonts w:ascii="Arial" w:hAnsi="Arial"/>
      <w:bCs/>
      <w:sz w:val="32"/>
    </w:rPr>
  </w:style>
  <w:style w:type="paragraph" w:customStyle="1" w:styleId="514">
    <w:name w:val="xl83"/>
    <w:basedOn w:val="1"/>
    <w:qFormat/>
    <w:uiPriority w:val="0"/>
    <w:pPr>
      <w:widowControl/>
      <w:pBdr>
        <w:top w:val="single" w:color="auto" w:sz="4" w:space="0"/>
        <w:left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515">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16">
    <w:name w:val="xl33"/>
    <w:basedOn w:val="1"/>
    <w:qFormat/>
    <w:uiPriority w:val="0"/>
    <w:pPr>
      <w:widowControl/>
      <w:pBdr>
        <w:top w:val="single" w:color="auto" w:sz="8" w:space="0"/>
        <w:left w:val="single" w:color="auto" w:sz="8"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51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518">
    <w:name w:val="Char Char Char Char Char 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19">
    <w:name w:val="xl5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20">
    <w:name w:val="Char Char Char Char Char Char Char"/>
    <w:basedOn w:val="1"/>
    <w:qFormat/>
    <w:uiPriority w:val="0"/>
    <w:rPr>
      <w:rFonts w:eastAsia="宋体"/>
      <w:sz w:val="21"/>
      <w:szCs w:val="24"/>
    </w:rPr>
  </w:style>
  <w:style w:type="paragraph" w:customStyle="1" w:styleId="521">
    <w:name w:val="xl41"/>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2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23">
    <w:name w:val="文3"/>
    <w:basedOn w:val="1"/>
    <w:qFormat/>
    <w:uiPriority w:val="0"/>
    <w:pPr>
      <w:tabs>
        <w:tab w:val="left" w:pos="1080"/>
      </w:tabs>
      <w:adjustRightInd w:val="0"/>
      <w:spacing w:line="500" w:lineRule="atLeast"/>
      <w:ind w:left="709" w:hanging="709"/>
      <w:textAlignment w:val="baseline"/>
    </w:pPr>
    <w:rPr>
      <w:rFonts w:eastAsia="宋体"/>
      <w:kern w:val="0"/>
    </w:rPr>
  </w:style>
  <w:style w:type="paragraph" w:customStyle="1" w:styleId="524">
    <w:name w:val="样式10"/>
    <w:basedOn w:val="6"/>
    <w:qFormat/>
    <w:uiPriority w:val="0"/>
    <w:pPr>
      <w:numPr>
        <w:numId w:val="0"/>
      </w:numPr>
      <w:tabs>
        <w:tab w:val="left" w:pos="864"/>
      </w:tabs>
      <w:ind w:left="864" w:hanging="851"/>
    </w:pPr>
  </w:style>
  <w:style w:type="paragraph" w:customStyle="1" w:styleId="525">
    <w:name w:val="注释"/>
    <w:basedOn w:val="1"/>
    <w:qFormat/>
    <w:uiPriority w:val="0"/>
    <w:pPr>
      <w:spacing w:before="60" w:line="360" w:lineRule="exact"/>
      <w:ind w:firstLine="200" w:firstLineChars="200"/>
    </w:pPr>
    <w:rPr>
      <w:rFonts w:eastAsia="宋体"/>
      <w:sz w:val="21"/>
      <w:szCs w:val="24"/>
    </w:rPr>
  </w:style>
  <w:style w:type="paragraph" w:customStyle="1" w:styleId="526">
    <w:name w:val="样式 标题 2 + 段后: 6 磅"/>
    <w:basedOn w:val="3"/>
    <w:next w:val="86"/>
    <w:qFormat/>
    <w:uiPriority w:val="0"/>
    <w:pPr>
      <w:numPr>
        <w:numId w:val="0"/>
      </w:numPr>
      <w:spacing w:before="100" w:beforeAutospacing="1" w:after="120" w:afterLines="50" w:line="360" w:lineRule="auto"/>
    </w:pPr>
    <w:rPr>
      <w:rFonts w:ascii="Times New Roman" w:hAnsi="Times New Roman" w:eastAsia="宋体"/>
      <w:b/>
      <w:bCs/>
      <w:smallCaps/>
    </w:rPr>
  </w:style>
  <w:style w:type="paragraph" w:customStyle="1" w:styleId="527">
    <w:name w:val="9"/>
    <w:basedOn w:val="1"/>
    <w:next w:val="51"/>
    <w:qFormat/>
    <w:uiPriority w:val="0"/>
    <w:pPr>
      <w:spacing w:line="348" w:lineRule="auto"/>
      <w:ind w:firstLine="480" w:firstLineChars="200"/>
    </w:pPr>
    <w:rPr>
      <w:rFonts w:eastAsia="宋体"/>
      <w:sz w:val="24"/>
      <w:szCs w:val="21"/>
    </w:rPr>
  </w:style>
  <w:style w:type="paragraph" w:customStyle="1" w:styleId="528">
    <w:name w:val="样式 标题 1标题章标题 1 Char标题章 Char Char Char Char标题 1 Char Char + 段..."/>
    <w:basedOn w:val="2"/>
    <w:qFormat/>
    <w:uiPriority w:val="0"/>
    <w:pPr>
      <w:spacing w:before="240" w:line="360" w:lineRule="auto"/>
      <w:ind w:left="432" w:hanging="432"/>
    </w:pPr>
    <w:rPr>
      <w:rFonts w:cs="宋体"/>
      <w:bCs/>
    </w:rPr>
  </w:style>
  <w:style w:type="paragraph" w:customStyle="1" w:styleId="529">
    <w:name w:val="样式 正文文字缩进 + 行距: 1.5 倍行距 首行缩进:  4.37 字符"/>
    <w:basedOn w:val="34"/>
    <w:qFormat/>
    <w:uiPriority w:val="0"/>
    <w:pPr>
      <w:spacing w:line="360" w:lineRule="auto"/>
      <w:ind w:firstLine="1224" w:firstLineChars="437"/>
    </w:pPr>
    <w:rPr>
      <w:sz w:val="24"/>
    </w:rPr>
  </w:style>
  <w:style w:type="paragraph" w:customStyle="1" w:styleId="530">
    <w:name w:val="4"/>
    <w:basedOn w:val="1"/>
    <w:next w:val="70"/>
    <w:qFormat/>
    <w:uiPriority w:val="0"/>
    <w:pPr>
      <w:snapToGrid w:val="0"/>
      <w:spacing w:line="360" w:lineRule="auto"/>
      <w:ind w:firstLine="567"/>
    </w:pPr>
    <w:rPr>
      <w:rFonts w:eastAsia="宋体"/>
      <w:bCs/>
      <w:sz w:val="24"/>
      <w:szCs w:val="24"/>
    </w:rPr>
  </w:style>
  <w:style w:type="paragraph" w:customStyle="1" w:styleId="531">
    <w:name w:val="样式 样式 正文文字缩进 + 行距: 1.5 倍行距 首行缩进:  2.18 字符 + 首行缩进:  2.18 字符"/>
    <w:basedOn w:val="1"/>
    <w:qFormat/>
    <w:uiPriority w:val="0"/>
    <w:pPr>
      <w:spacing w:line="360" w:lineRule="auto"/>
      <w:ind w:firstLine="523" w:firstLineChars="218"/>
    </w:pPr>
    <w:rPr>
      <w:rFonts w:eastAsia="宋体"/>
      <w:sz w:val="24"/>
    </w:rPr>
  </w:style>
  <w:style w:type="paragraph" w:customStyle="1" w:styleId="532">
    <w:name w:val="font5"/>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533">
    <w:name w:val="xl12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hint="eastAsia" w:ascii="宋体" w:hAnsi="宋体" w:eastAsia="宋体" w:cs="Arial Unicode MS"/>
      <w:kern w:val="0"/>
      <w:sz w:val="20"/>
    </w:rPr>
  </w:style>
  <w:style w:type="paragraph" w:customStyle="1" w:styleId="534">
    <w:name w:val="font7"/>
    <w:basedOn w:val="1"/>
    <w:qFormat/>
    <w:uiPriority w:val="0"/>
    <w:pPr>
      <w:widowControl/>
      <w:spacing w:before="100" w:beforeAutospacing="1" w:after="100" w:afterAutospacing="1"/>
      <w:jc w:val="left"/>
    </w:pPr>
    <w:rPr>
      <w:rFonts w:eastAsia="Arial Unicode MS"/>
      <w:kern w:val="0"/>
      <w:sz w:val="24"/>
      <w:szCs w:val="24"/>
    </w:rPr>
  </w:style>
  <w:style w:type="paragraph" w:customStyle="1" w:styleId="535">
    <w:name w:val="xl27"/>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eastAsia="Arial Unicode MS"/>
      <w:kern w:val="0"/>
      <w:sz w:val="24"/>
      <w:szCs w:val="24"/>
    </w:rPr>
  </w:style>
  <w:style w:type="paragraph" w:customStyle="1" w:styleId="536">
    <w:name w:val="样式 正文文字缩进 + 紧缩量  0.5 磅 行距: 1.5 倍行距"/>
    <w:basedOn w:val="34"/>
    <w:qFormat/>
    <w:uiPriority w:val="0"/>
    <w:pPr>
      <w:spacing w:line="360" w:lineRule="auto"/>
      <w:ind w:firstLine="567" w:firstLineChars="218"/>
    </w:pPr>
    <w:rPr>
      <w:spacing w:val="-10"/>
      <w:sz w:val="24"/>
    </w:rPr>
  </w:style>
  <w:style w:type="paragraph" w:customStyle="1" w:styleId="537">
    <w:name w:val="列表项目"/>
    <w:basedOn w:val="23"/>
    <w:qFormat/>
    <w:uiPriority w:val="0"/>
    <w:pPr>
      <w:spacing w:before="120"/>
      <w:ind w:firstLine="210"/>
    </w:pPr>
    <w:rPr>
      <w:b/>
      <w:smallCaps w:val="0"/>
      <w:sz w:val="30"/>
      <w:szCs w:val="20"/>
      <w:lang w:val="en-US"/>
    </w:rPr>
  </w:style>
  <w:style w:type="paragraph" w:customStyle="1" w:styleId="538">
    <w:name w:val="xl30"/>
    <w:basedOn w:val="1"/>
    <w:qFormat/>
    <w:uiPriority w:val="0"/>
    <w:pPr>
      <w:widowControl/>
      <w:pBdr>
        <w:right w:val="single" w:color="000000" w:sz="4" w:space="0"/>
      </w:pBdr>
      <w:spacing w:before="100" w:beforeAutospacing="1" w:after="100" w:afterAutospacing="1"/>
      <w:jc w:val="left"/>
    </w:pPr>
    <w:rPr>
      <w:rFonts w:eastAsia="Arial Unicode MS"/>
      <w:kern w:val="0"/>
      <w:sz w:val="24"/>
      <w:szCs w:val="24"/>
    </w:rPr>
  </w:style>
  <w:style w:type="paragraph" w:customStyle="1" w:styleId="539">
    <w:name w:val="xl31"/>
    <w:basedOn w:val="1"/>
    <w:qFormat/>
    <w:uiPriority w:val="0"/>
    <w:pPr>
      <w:widowControl/>
      <w:shd w:val="clear" w:color="auto" w:fill="FFFFFF"/>
      <w:spacing w:before="100" w:beforeAutospacing="1" w:after="100" w:afterAutospacing="1"/>
      <w:jc w:val="left"/>
      <w:textAlignment w:val="top"/>
    </w:pPr>
    <w:rPr>
      <w:rFonts w:eastAsia="Arial Unicode MS"/>
      <w:color w:val="000000"/>
      <w:kern w:val="0"/>
      <w:sz w:val="22"/>
      <w:szCs w:val="22"/>
    </w:rPr>
  </w:style>
  <w:style w:type="paragraph" w:customStyle="1" w:styleId="540">
    <w:name w:val="正文1"/>
    <w:basedOn w:val="1"/>
    <w:link w:val="1313"/>
    <w:qFormat/>
    <w:uiPriority w:val="0"/>
    <w:pPr>
      <w:adjustRightInd w:val="0"/>
      <w:spacing w:line="360" w:lineRule="atLeast"/>
      <w:jc w:val="left"/>
      <w:textAlignment w:val="baseline"/>
    </w:pPr>
    <w:rPr>
      <w:rFonts w:ascii="宋体" w:eastAsia="宋体"/>
      <w:kern w:val="0"/>
      <w:sz w:val="24"/>
    </w:rPr>
  </w:style>
  <w:style w:type="paragraph" w:customStyle="1" w:styleId="541">
    <w:name w:val="xl34"/>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42">
    <w:name w:val="xl3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43">
    <w:name w:val="LNG－标题2"/>
    <w:basedOn w:val="1"/>
    <w:qFormat/>
    <w:uiPriority w:val="0"/>
    <w:pPr>
      <w:tabs>
        <w:tab w:val="left" w:pos="747"/>
      </w:tabs>
      <w:spacing w:line="360" w:lineRule="auto"/>
      <w:ind w:left="747" w:hanging="567"/>
    </w:pPr>
    <w:rPr>
      <w:rFonts w:eastAsia="宋体"/>
      <w:b/>
      <w:kern w:val="0"/>
      <w:szCs w:val="28"/>
    </w:rPr>
  </w:style>
  <w:style w:type="paragraph" w:customStyle="1" w:styleId="544">
    <w:name w:val="xl42"/>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45">
    <w:name w:val="xl35"/>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2"/>
      <w:szCs w:val="22"/>
    </w:rPr>
  </w:style>
  <w:style w:type="paragraph" w:customStyle="1" w:styleId="546">
    <w:name w:val="xl4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47">
    <w:name w:val="xl38"/>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48">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549">
    <w:name w:val="样式 两端对齐 首行缩进:  0.74 厘米 段后: 1 行"/>
    <w:basedOn w:val="1"/>
    <w:qFormat/>
    <w:uiPriority w:val="0"/>
    <w:pPr>
      <w:widowControl/>
      <w:spacing w:line="360" w:lineRule="auto"/>
      <w:ind w:firstLine="420"/>
    </w:pPr>
    <w:rPr>
      <w:rFonts w:ascii="Arial" w:hAnsi="Arial" w:eastAsia="宋体"/>
      <w:kern w:val="0"/>
      <w:sz w:val="24"/>
      <w:lang w:val="zh-CN"/>
    </w:rPr>
  </w:style>
  <w:style w:type="paragraph" w:customStyle="1" w:styleId="55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51">
    <w:name w:val="首行缩进:  2 字符"/>
    <w:basedOn w:val="1"/>
    <w:qFormat/>
    <w:uiPriority w:val="0"/>
    <w:pPr>
      <w:spacing w:line="300" w:lineRule="auto"/>
      <w:ind w:firstLine="480" w:firstLineChars="200"/>
    </w:pPr>
    <w:rPr>
      <w:rFonts w:eastAsia="宋体"/>
      <w:sz w:val="24"/>
    </w:rPr>
  </w:style>
  <w:style w:type="paragraph" w:customStyle="1" w:styleId="552">
    <w:name w:val="样式 宋体 加粗 黑色 居中 首行缩进:  2 字符1"/>
    <w:basedOn w:val="1"/>
    <w:qFormat/>
    <w:uiPriority w:val="0"/>
    <w:pPr>
      <w:spacing w:line="360" w:lineRule="auto"/>
      <w:jc w:val="center"/>
    </w:pPr>
    <w:rPr>
      <w:rFonts w:ascii="宋体" w:hAnsi="宋体" w:eastAsia="宋体" w:cs="宋体"/>
      <w:bCs/>
      <w:color w:val="000000"/>
      <w:sz w:val="21"/>
      <w:szCs w:val="21"/>
    </w:rPr>
  </w:style>
  <w:style w:type="paragraph" w:customStyle="1" w:styleId="553">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54">
    <w:name w:val="xl52"/>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55">
    <w:name w:val="xl53"/>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56">
    <w:name w:val="xl5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57">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58">
    <w:name w:val="xl66"/>
    <w:basedOn w:val="1"/>
    <w:qFormat/>
    <w:uiPriority w:val="0"/>
    <w:pPr>
      <w:widowControl/>
      <w:pBdr>
        <w:top w:val="single" w:color="auto" w:sz="4" w:space="0"/>
        <w:lef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59">
    <w:name w:val="xl6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60">
    <w:name w:val="xl68"/>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61">
    <w:name w:val="xl69"/>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62">
    <w:name w:val="xl7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FF"/>
      <w:kern w:val="0"/>
      <w:sz w:val="22"/>
      <w:szCs w:val="22"/>
    </w:rPr>
  </w:style>
  <w:style w:type="paragraph" w:customStyle="1" w:styleId="563">
    <w:name w:val="xl73"/>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64">
    <w:name w:val="流程图"/>
    <w:basedOn w:val="1"/>
    <w:qFormat/>
    <w:uiPriority w:val="0"/>
    <w:pPr>
      <w:tabs>
        <w:tab w:val="left" w:pos="0"/>
      </w:tabs>
      <w:autoSpaceDE w:val="0"/>
      <w:autoSpaceDN w:val="0"/>
      <w:adjustRightInd w:val="0"/>
      <w:spacing w:line="240" w:lineRule="atLeast"/>
      <w:jc w:val="center"/>
      <w:textAlignment w:val="bottom"/>
    </w:pPr>
    <w:rPr>
      <w:rFonts w:ascii="宋体" w:eastAsia="宋体"/>
      <w:bCs/>
      <w:iCs/>
      <w:sz w:val="21"/>
    </w:rPr>
  </w:style>
  <w:style w:type="paragraph" w:customStyle="1" w:styleId="565">
    <w:name w:val="xl10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66">
    <w:name w:val="xl89"/>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67">
    <w:name w:val="xl90"/>
    <w:basedOn w:val="1"/>
    <w:qFormat/>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68">
    <w:name w:val="新表格"/>
    <w:basedOn w:val="1"/>
    <w:qFormat/>
    <w:uiPriority w:val="0"/>
    <w:pPr>
      <w:ind w:left="420"/>
      <w:jc w:val="center"/>
    </w:pPr>
    <w:rPr>
      <w:rFonts w:eastAsia="宋体"/>
      <w:b/>
      <w:bCs/>
      <w:sz w:val="24"/>
      <w:szCs w:val="24"/>
    </w:rPr>
  </w:style>
  <w:style w:type="paragraph" w:customStyle="1" w:styleId="569">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4"/>
    <w:qFormat/>
    <w:uiPriority w:val="0"/>
    <w:pPr>
      <w:widowControl/>
      <w:overflowPunct w:val="0"/>
      <w:autoSpaceDE w:val="0"/>
      <w:autoSpaceDN w:val="0"/>
      <w:adjustRightInd w:val="0"/>
      <w:spacing w:line="240" w:lineRule="auto"/>
      <w:ind w:firstLine="491" w:firstLineChars="200"/>
      <w:textAlignment w:val="baseline"/>
    </w:pPr>
    <w:rPr>
      <w:rFonts w:ascii="Times New Roman" w:hAnsi="Times New Roman" w:cs="Times New Roman"/>
      <w:spacing w:val="0"/>
      <w:kern w:val="0"/>
    </w:rPr>
  </w:style>
  <w:style w:type="paragraph" w:customStyle="1" w:styleId="570">
    <w:name w:val="文2"/>
    <w:basedOn w:val="1"/>
    <w:qFormat/>
    <w:uiPriority w:val="0"/>
    <w:pPr>
      <w:tabs>
        <w:tab w:val="left" w:pos="567"/>
      </w:tabs>
      <w:adjustRightInd w:val="0"/>
      <w:spacing w:line="500" w:lineRule="atLeast"/>
      <w:ind w:left="567" w:hanging="567"/>
      <w:textAlignment w:val="baseline"/>
    </w:pPr>
    <w:rPr>
      <w:rFonts w:eastAsia="宋体"/>
      <w:kern w:val="0"/>
    </w:rPr>
  </w:style>
  <w:style w:type="paragraph" w:customStyle="1" w:styleId="571">
    <w:name w:val="xl102"/>
    <w:basedOn w:val="1"/>
    <w:qFormat/>
    <w:uiPriority w:val="0"/>
    <w:pPr>
      <w:widowControl/>
      <w:pBdr>
        <w:top w:val="single" w:color="auto" w:sz="8"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72">
    <w:name w:val="xl93"/>
    <w:basedOn w:val="1"/>
    <w:qFormat/>
    <w:uiPriority w:val="0"/>
    <w:pPr>
      <w:widowControl/>
      <w:pBdr>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73">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574">
    <w:name w:val="表格文字1"/>
    <w:basedOn w:val="1"/>
    <w:link w:val="1281"/>
    <w:qFormat/>
    <w:uiPriority w:val="0"/>
    <w:pPr>
      <w:tabs>
        <w:tab w:val="left" w:pos="0"/>
      </w:tabs>
      <w:autoSpaceDE w:val="0"/>
      <w:autoSpaceDN w:val="0"/>
      <w:adjustRightInd w:val="0"/>
      <w:ind w:left="57" w:right="57"/>
      <w:jc w:val="center"/>
      <w:textAlignment w:val="baseline"/>
    </w:pPr>
    <w:rPr>
      <w:rFonts w:ascii="宋体" w:eastAsia="宋体"/>
      <w:sz w:val="21"/>
    </w:rPr>
  </w:style>
  <w:style w:type="paragraph" w:customStyle="1" w:styleId="575">
    <w:name w:val="xl114"/>
    <w:basedOn w:val="1"/>
    <w:qFormat/>
    <w:uiPriority w:val="0"/>
    <w:pPr>
      <w:widowControl/>
      <w:pBdr>
        <w:top w:val="single" w:color="auto" w:sz="4" w:space="0"/>
        <w:left w:val="single" w:color="auto" w:sz="8" w:space="0"/>
        <w:bottom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76">
    <w:name w:val="xl103"/>
    <w:basedOn w:val="1"/>
    <w:qFormat/>
    <w:uiPriority w:val="0"/>
    <w:pPr>
      <w:widowControl/>
      <w:pBdr>
        <w:top w:val="single" w:color="auto" w:sz="8"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77">
    <w:name w:val="xl94"/>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78">
    <w:name w:val="表前文字"/>
    <w:basedOn w:val="1"/>
    <w:qFormat/>
    <w:uiPriority w:val="0"/>
    <w:pPr>
      <w:ind w:firstLine="210"/>
      <w:jc w:val="center"/>
    </w:pPr>
    <w:rPr>
      <w:rFonts w:ascii="宋体" w:hAnsi="宋体" w:eastAsia="宋体" w:cs="宋体"/>
      <w:b/>
      <w:bCs/>
      <w:kern w:val="0"/>
      <w:sz w:val="24"/>
      <w:szCs w:val="24"/>
    </w:rPr>
  </w:style>
  <w:style w:type="paragraph" w:customStyle="1" w:styleId="579">
    <w:name w:val="xl95"/>
    <w:basedOn w:val="1"/>
    <w:qFormat/>
    <w:uiPriority w:val="0"/>
    <w:pPr>
      <w:widowControl/>
      <w:pBdr>
        <w:left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80">
    <w:name w:val="xl119"/>
    <w:basedOn w:val="1"/>
    <w:qFormat/>
    <w:uiPriority w:val="0"/>
    <w:pPr>
      <w:widowControl/>
      <w:pBdr>
        <w:top w:val="single" w:color="auto" w:sz="4" w:space="0"/>
        <w:left w:val="single" w:color="auto" w:sz="4" w:space="0"/>
        <w:bottom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81">
    <w:name w:val="xl107"/>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82">
    <w:name w:val="xl98"/>
    <w:basedOn w:val="1"/>
    <w:qFormat/>
    <w:uiPriority w:val="0"/>
    <w:pPr>
      <w:widowControl/>
      <w:pBdr>
        <w:top w:val="single" w:color="auto" w:sz="4" w:space="0"/>
        <w:left w:val="single" w:color="auto" w:sz="8" w:space="0"/>
      </w:pBdr>
      <w:spacing w:before="100" w:beforeAutospacing="1" w:after="100" w:afterAutospacing="1"/>
      <w:jc w:val="center"/>
    </w:pPr>
    <w:rPr>
      <w:rFonts w:ascii="Arial Unicode MS" w:hAnsi="Arial Unicode MS" w:eastAsia="Arial Unicode MS" w:cs="Arial Unicode MS"/>
      <w:kern w:val="0"/>
      <w:sz w:val="22"/>
      <w:szCs w:val="22"/>
    </w:rPr>
  </w:style>
  <w:style w:type="paragraph" w:customStyle="1" w:styleId="583">
    <w:name w:val="xl9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2"/>
      <w:szCs w:val="22"/>
    </w:rPr>
  </w:style>
  <w:style w:type="paragraph" w:customStyle="1" w:styleId="584">
    <w:name w:val="样式 LNG－标题1 + 居中 段前: 0.5 行 段后: 0.5 行"/>
    <w:basedOn w:val="391"/>
    <w:qFormat/>
    <w:uiPriority w:val="0"/>
    <w:pPr>
      <w:tabs>
        <w:tab w:val="left" w:pos="425"/>
      </w:tabs>
      <w:spacing w:before="156" w:after="156"/>
      <w:ind w:left="425" w:hanging="425"/>
      <w:jc w:val="center"/>
    </w:pPr>
    <w:rPr>
      <w:rFonts w:cs="宋体"/>
      <w:bCs/>
      <w:szCs w:val="20"/>
    </w:rPr>
  </w:style>
  <w:style w:type="paragraph" w:customStyle="1" w:styleId="585">
    <w:name w:val="方程式"/>
    <w:basedOn w:val="1"/>
    <w:qFormat/>
    <w:uiPriority w:val="0"/>
    <w:pPr>
      <w:overflowPunct w:val="0"/>
      <w:autoSpaceDE w:val="0"/>
      <w:autoSpaceDN w:val="0"/>
      <w:adjustRightInd w:val="0"/>
      <w:spacing w:before="60" w:after="60"/>
      <w:jc w:val="left"/>
      <w:textAlignment w:val="bottom"/>
    </w:pPr>
    <w:rPr>
      <w:rFonts w:ascii="宋体" w:eastAsia="宋体"/>
      <w:spacing w:val="24"/>
      <w:kern w:val="0"/>
      <w:sz w:val="24"/>
    </w:rPr>
  </w:style>
  <w:style w:type="paragraph" w:customStyle="1" w:styleId="586">
    <w:name w:val="xl117"/>
    <w:basedOn w:val="1"/>
    <w:qFormat/>
    <w:uiPriority w:val="0"/>
    <w:pPr>
      <w:widowControl/>
      <w:pBdr>
        <w:top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87">
    <w:name w:val="xl108"/>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88">
    <w:name w:val="xl99"/>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00"/>
      <w:kern w:val="0"/>
      <w:sz w:val="22"/>
      <w:szCs w:val="22"/>
    </w:rPr>
  </w:style>
  <w:style w:type="paragraph" w:customStyle="1" w:styleId="589">
    <w:name w:val="xl104"/>
    <w:basedOn w:val="1"/>
    <w:qFormat/>
    <w:uiPriority w:val="0"/>
    <w:pPr>
      <w:widowControl/>
      <w:pBdr>
        <w:top w:val="single" w:color="auto" w:sz="8" w:space="0"/>
        <w:left w:val="single" w:color="auto" w:sz="4"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90">
    <w:name w:val="xl11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91">
    <w:name w:val="xl111"/>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2"/>
      <w:szCs w:val="22"/>
    </w:rPr>
  </w:style>
  <w:style w:type="paragraph" w:customStyle="1" w:styleId="592">
    <w:name w:val="xl112"/>
    <w:basedOn w:val="1"/>
    <w:qFormat/>
    <w:uiPriority w:val="0"/>
    <w:pPr>
      <w:widowControl/>
      <w:pBdr>
        <w:top w:val="single" w:color="auto" w:sz="4" w:space="0"/>
        <w:left w:val="single" w:color="auto" w:sz="8" w:space="0"/>
        <w:bottom w:val="single" w:color="auto" w:sz="4" w:space="0"/>
        <w:right w:val="single" w:color="auto" w:sz="8" w:space="0"/>
      </w:pBdr>
      <w:shd w:val="clear" w:color="auto" w:fill="00FF00"/>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93">
    <w:name w:val="流程图文字"/>
    <w:basedOn w:val="1"/>
    <w:qFormat/>
    <w:uiPriority w:val="0"/>
    <w:pPr>
      <w:spacing w:before="100" w:after="40"/>
      <w:jc w:val="center"/>
    </w:pPr>
    <w:rPr>
      <w:rFonts w:eastAsia="宋体"/>
      <w:sz w:val="21"/>
    </w:rPr>
  </w:style>
  <w:style w:type="paragraph" w:customStyle="1" w:styleId="594">
    <w:name w:val="xl113"/>
    <w:basedOn w:val="1"/>
    <w:qFormat/>
    <w:uiPriority w:val="0"/>
    <w:pPr>
      <w:widowControl/>
      <w:pBdr>
        <w:top w:val="single" w:color="auto" w:sz="4" w:space="0"/>
        <w:left w:val="single" w:color="auto" w:sz="8" w:space="0"/>
        <w:bottom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95">
    <w:name w:val="xl115"/>
    <w:basedOn w:val="1"/>
    <w:qFormat/>
    <w:uiPriority w:val="0"/>
    <w:pPr>
      <w:widowControl/>
      <w:pBdr>
        <w:top w:val="single" w:color="auto" w:sz="4" w:space="0"/>
        <w:left w:val="single" w:color="auto" w:sz="8"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96">
    <w:name w:val="样式3 Char Char"/>
    <w:basedOn w:val="4"/>
    <w:qFormat/>
    <w:uiPriority w:val="0"/>
    <w:pPr>
      <w:widowControl/>
      <w:overflowPunct w:val="0"/>
      <w:autoSpaceDE w:val="0"/>
      <w:autoSpaceDN w:val="0"/>
      <w:adjustRightInd w:val="0"/>
      <w:spacing w:line="360" w:lineRule="auto"/>
      <w:ind w:firstLine="491" w:firstLineChars="200"/>
      <w:textAlignment w:val="baseline"/>
    </w:pPr>
    <w:rPr>
      <w:rFonts w:ascii="Times New Roman" w:hAnsi="Times New Roman" w:cs="Times New Roman"/>
      <w:spacing w:val="0"/>
      <w:kern w:val="0"/>
      <w:szCs w:val="24"/>
    </w:rPr>
  </w:style>
  <w:style w:type="paragraph" w:customStyle="1" w:styleId="597">
    <w:name w:val="xl116"/>
    <w:basedOn w:val="1"/>
    <w:qFormat/>
    <w:uiPriority w:val="0"/>
    <w:pPr>
      <w:widowControl/>
      <w:pBdr>
        <w:top w:val="single" w:color="auto" w:sz="4" w:space="0"/>
        <w:left w:val="single" w:color="auto" w:sz="4" w:space="0"/>
        <w:bottom w:val="single" w:color="auto" w:sz="4" w:space="0"/>
        <w:right w:val="single" w:color="auto" w:sz="8"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98">
    <w:name w:val="xl11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599">
    <w:name w:val="文"/>
    <w:basedOn w:val="1"/>
    <w:qFormat/>
    <w:uiPriority w:val="0"/>
    <w:pPr>
      <w:adjustRightInd w:val="0"/>
      <w:spacing w:line="500" w:lineRule="atLeast"/>
      <w:ind w:firstLine="540"/>
      <w:textAlignment w:val="baseline"/>
    </w:pPr>
    <w:rPr>
      <w:rFonts w:eastAsia="宋体"/>
      <w:kern w:val="0"/>
    </w:rPr>
  </w:style>
  <w:style w:type="paragraph" w:customStyle="1" w:styleId="600">
    <w:name w:val="下标"/>
    <w:basedOn w:val="40"/>
    <w:qFormat/>
    <w:uiPriority w:val="0"/>
    <w:pPr>
      <w:tabs>
        <w:tab w:val="left" w:pos="0"/>
      </w:tabs>
      <w:autoSpaceDE w:val="0"/>
      <w:autoSpaceDN w:val="0"/>
      <w:spacing w:before="60" w:after="60" w:line="360" w:lineRule="auto"/>
      <w:ind w:firstLine="567" w:firstLineChars="0"/>
    </w:pPr>
    <w:rPr>
      <w:rFonts w:ascii="宋体" w:eastAsia="宋体"/>
      <w:spacing w:val="20"/>
      <w:sz w:val="24"/>
      <w:szCs w:val="24"/>
      <w:vertAlign w:val="subscript"/>
    </w:rPr>
  </w:style>
  <w:style w:type="paragraph" w:customStyle="1" w:styleId="601">
    <w:name w:val="样式 正文缩进 + 五号"/>
    <w:basedOn w:val="4"/>
    <w:qFormat/>
    <w:uiPriority w:val="0"/>
    <w:pPr>
      <w:widowControl/>
      <w:overflowPunct w:val="0"/>
      <w:autoSpaceDE w:val="0"/>
      <w:autoSpaceDN w:val="0"/>
      <w:adjustRightInd w:val="0"/>
      <w:spacing w:line="240" w:lineRule="auto"/>
      <w:ind w:firstLine="420"/>
      <w:jc w:val="left"/>
      <w:textAlignment w:val="baseline"/>
    </w:pPr>
    <w:rPr>
      <w:rFonts w:ascii="Times New Roman" w:hAnsi="Times New Roman" w:cs="Times New Roman"/>
      <w:spacing w:val="0"/>
      <w:kern w:val="0"/>
    </w:rPr>
  </w:style>
  <w:style w:type="paragraph" w:customStyle="1" w:styleId="602">
    <w:name w:val="样式 Char Char Char Char Char Char Char Char Char Char Char Char Char Char Char"/>
    <w:basedOn w:val="4"/>
    <w:qFormat/>
    <w:uiPriority w:val="0"/>
    <w:pPr>
      <w:widowControl/>
      <w:overflowPunct w:val="0"/>
      <w:autoSpaceDE w:val="0"/>
      <w:autoSpaceDN w:val="0"/>
      <w:adjustRightInd w:val="0"/>
      <w:spacing w:line="240" w:lineRule="auto"/>
      <w:ind w:firstLine="491" w:firstLineChars="200"/>
      <w:textAlignment w:val="baseline"/>
    </w:pPr>
    <w:rPr>
      <w:rFonts w:ascii="Times New Roman" w:hAnsi="Times New Roman" w:cs="Times New Roman"/>
      <w:spacing w:val="0"/>
      <w:kern w:val="0"/>
      <w:szCs w:val="24"/>
    </w:rPr>
  </w:style>
  <w:style w:type="paragraph" w:customStyle="1" w:styleId="603">
    <w:name w:val="表格居中"/>
    <w:next w:val="1"/>
    <w:link w:val="1848"/>
    <w:qFormat/>
    <w:uiPriority w:val="0"/>
    <w:pPr>
      <w:widowControl w:val="0"/>
      <w:jc w:val="center"/>
    </w:pPr>
    <w:rPr>
      <w:rFonts w:ascii="Times New Roman" w:hAnsi="Times New Roman" w:eastAsia="宋体" w:cs="Times New Roman"/>
      <w:kern w:val="2"/>
      <w:sz w:val="24"/>
      <w:lang w:val="en-US" w:eastAsia="zh-CN" w:bidi="ar-SA"/>
    </w:rPr>
  </w:style>
  <w:style w:type="paragraph" w:customStyle="1" w:styleId="604">
    <w:name w:val="样式 标题（3）新 + 首行缩进:  0.71 字符 段后: 0.5 行1 + 首行缩进:  0.71 字符 段后: 0.5 行"/>
    <w:basedOn w:val="1"/>
    <w:qFormat/>
    <w:uiPriority w:val="0"/>
    <w:pPr>
      <w:keepNext/>
      <w:keepLines/>
      <w:spacing w:before="120" w:afterLines="50"/>
      <w:ind w:firstLine="213" w:firstLineChars="71"/>
      <w:outlineLvl w:val="2"/>
    </w:pPr>
    <w:rPr>
      <w:rFonts w:hint="eastAsia" w:ascii="宋体" w:hAnsi="宋体" w:eastAsia="宋体"/>
      <w:b/>
      <w:bCs/>
      <w:sz w:val="30"/>
    </w:rPr>
  </w:style>
  <w:style w:type="paragraph" w:customStyle="1" w:styleId="605">
    <w:name w:val="样式 标题 3头小标题 + 自动设置"/>
    <w:basedOn w:val="5"/>
    <w:qFormat/>
    <w:uiPriority w:val="0"/>
    <w:pPr>
      <w:numPr>
        <w:numId w:val="0"/>
      </w:numPr>
      <w:spacing w:after="0" w:line="360" w:lineRule="auto"/>
      <w:ind w:firstLine="213" w:firstLineChars="71"/>
    </w:pPr>
    <w:rPr>
      <w:rFonts w:ascii="宋体" w:hAnsi="宋体" w:eastAsia="宋体"/>
      <w:sz w:val="30"/>
    </w:rPr>
  </w:style>
  <w:style w:type="paragraph" w:customStyle="1" w:styleId="606">
    <w:name w:val="表内文字"/>
    <w:basedOn w:val="1"/>
    <w:qFormat/>
    <w:uiPriority w:val="0"/>
    <w:pPr>
      <w:widowControl/>
      <w:snapToGrid w:val="0"/>
      <w:spacing w:line="360" w:lineRule="atLeast"/>
      <w:jc w:val="center"/>
    </w:pPr>
    <w:rPr>
      <w:rFonts w:ascii="仿宋_GB2312"/>
      <w:kern w:val="0"/>
      <w:sz w:val="24"/>
    </w:rPr>
  </w:style>
  <w:style w:type="paragraph" w:customStyle="1" w:styleId="607">
    <w:name w:val="责任表文"/>
    <w:basedOn w:val="1"/>
    <w:qFormat/>
    <w:uiPriority w:val="0"/>
    <w:pPr>
      <w:adjustRightInd w:val="0"/>
      <w:jc w:val="center"/>
      <w:textAlignment w:val="baseline"/>
    </w:pPr>
    <w:rPr>
      <w:rFonts w:ascii="隶书" w:eastAsia="隶书"/>
      <w:b/>
      <w:snapToGrid w:val="0"/>
      <w:kern w:val="24"/>
      <w:sz w:val="36"/>
    </w:rPr>
  </w:style>
  <w:style w:type="paragraph" w:customStyle="1" w:styleId="608">
    <w:name w:val="正文首行缩进1"/>
    <w:basedOn w:val="33"/>
    <w:qFormat/>
    <w:uiPriority w:val="0"/>
    <w:pPr>
      <w:tabs>
        <w:tab w:val="left" w:pos="7840"/>
      </w:tabs>
      <w:adjustRightInd w:val="0"/>
      <w:spacing w:line="360" w:lineRule="auto"/>
      <w:ind w:firstLine="567"/>
      <w:textAlignment w:val="baseline"/>
    </w:pPr>
    <w:rPr>
      <w:rFonts w:eastAsia="宋体"/>
      <w:kern w:val="28"/>
    </w:rPr>
  </w:style>
  <w:style w:type="paragraph" w:customStyle="1" w:styleId="609">
    <w:name w:val="宏福4"/>
    <w:basedOn w:val="610"/>
    <w:qFormat/>
    <w:uiPriority w:val="0"/>
    <w:pPr>
      <w:spacing w:before="0"/>
    </w:pPr>
  </w:style>
  <w:style w:type="paragraph" w:customStyle="1" w:styleId="610">
    <w:name w:val="宏福正文-2"/>
    <w:basedOn w:val="40"/>
    <w:qFormat/>
    <w:uiPriority w:val="0"/>
    <w:pPr>
      <w:snapToGrid w:val="0"/>
      <w:spacing w:before="240" w:after="0" w:line="400" w:lineRule="atLeast"/>
      <w:ind w:firstLine="567" w:firstLineChars="0"/>
    </w:pPr>
    <w:rPr>
      <w:rFonts w:eastAsia="宋体"/>
      <w:szCs w:val="28"/>
    </w:rPr>
  </w:style>
  <w:style w:type="paragraph" w:customStyle="1" w:styleId="611">
    <w:name w:val="首行缩进"/>
    <w:basedOn w:val="1"/>
    <w:qFormat/>
    <w:uiPriority w:val="0"/>
    <w:pPr>
      <w:snapToGrid w:val="0"/>
      <w:ind w:firstLine="425"/>
    </w:pPr>
    <w:rPr>
      <w:rFonts w:ascii="宋体" w:eastAsia="宋体"/>
      <w:sz w:val="24"/>
    </w:rPr>
  </w:style>
  <w:style w:type="paragraph" w:customStyle="1" w:styleId="612">
    <w:name w:val="表文"/>
    <w:basedOn w:val="1"/>
    <w:qFormat/>
    <w:uiPriority w:val="0"/>
    <w:pPr>
      <w:overflowPunct w:val="0"/>
      <w:topLinePunct/>
      <w:adjustRightInd w:val="0"/>
      <w:spacing w:before="60" w:after="60"/>
      <w:jc w:val="center"/>
      <w:textAlignment w:val="baseline"/>
    </w:pPr>
    <w:rPr>
      <w:rFonts w:eastAsia="宋体"/>
      <w:kern w:val="0"/>
      <w:sz w:val="24"/>
    </w:rPr>
  </w:style>
  <w:style w:type="paragraph" w:customStyle="1" w:styleId="613">
    <w:name w:val="依据文字"/>
    <w:basedOn w:val="86"/>
    <w:qFormat/>
    <w:uiPriority w:val="0"/>
    <w:pPr>
      <w:tabs>
        <w:tab w:val="left" w:pos="420"/>
        <w:tab w:val="clear" w:pos="0"/>
        <w:tab w:val="clear" w:pos="870"/>
        <w:tab w:val="clear" w:pos="3150"/>
      </w:tabs>
      <w:spacing w:before="60" w:beforeLines="25" w:line="336" w:lineRule="auto"/>
    </w:pPr>
  </w:style>
  <w:style w:type="paragraph" w:customStyle="1" w:styleId="614">
    <w:name w:val="LNG-标题3"/>
    <w:basedOn w:val="1"/>
    <w:qFormat/>
    <w:uiPriority w:val="0"/>
    <w:pPr>
      <w:tabs>
        <w:tab w:val="left" w:pos="0"/>
      </w:tabs>
      <w:spacing w:line="360" w:lineRule="auto"/>
      <w:outlineLvl w:val="2"/>
    </w:pPr>
    <w:rPr>
      <w:rFonts w:eastAsia="宋体"/>
      <w:b/>
      <w:sz w:val="24"/>
      <w:szCs w:val="24"/>
    </w:rPr>
  </w:style>
  <w:style w:type="paragraph" w:customStyle="1" w:styleId="615">
    <w:name w:val="样式 左侧:  2 字符"/>
    <w:basedOn w:val="1"/>
    <w:qFormat/>
    <w:uiPriority w:val="0"/>
    <w:pPr>
      <w:spacing w:line="360" w:lineRule="auto"/>
      <w:ind w:firstLine="480" w:firstLineChars="200"/>
    </w:pPr>
    <w:rPr>
      <w:rFonts w:eastAsia="宋体"/>
      <w:sz w:val="24"/>
    </w:rPr>
  </w:style>
  <w:style w:type="paragraph" w:customStyle="1" w:styleId="616">
    <w:name w:val="font8"/>
    <w:basedOn w:val="1"/>
    <w:qFormat/>
    <w:uiPriority w:val="0"/>
    <w:pPr>
      <w:widowControl/>
      <w:spacing w:before="100" w:beforeAutospacing="1" w:after="100" w:afterAutospacing="1"/>
      <w:jc w:val="left"/>
    </w:pPr>
    <w:rPr>
      <w:rFonts w:eastAsia="宋体"/>
      <w:kern w:val="0"/>
      <w:sz w:val="20"/>
    </w:rPr>
  </w:style>
  <w:style w:type="paragraph" w:customStyle="1" w:styleId="617">
    <w:name w:val="font9"/>
    <w:basedOn w:val="1"/>
    <w:qFormat/>
    <w:uiPriority w:val="0"/>
    <w:pPr>
      <w:widowControl/>
      <w:spacing w:before="100" w:beforeAutospacing="1" w:after="100" w:afterAutospacing="1"/>
      <w:jc w:val="left"/>
    </w:pPr>
    <w:rPr>
      <w:rFonts w:eastAsia="宋体"/>
      <w:kern w:val="0"/>
      <w:sz w:val="20"/>
    </w:rPr>
  </w:style>
  <w:style w:type="paragraph" w:customStyle="1" w:styleId="618">
    <w:name w:val="文本框"/>
    <w:basedOn w:val="1"/>
    <w:qFormat/>
    <w:uiPriority w:val="0"/>
    <w:pPr>
      <w:jc w:val="center"/>
    </w:pPr>
    <w:rPr>
      <w:rFonts w:eastAsia="宋体"/>
      <w:sz w:val="24"/>
      <w:szCs w:val="24"/>
    </w:rPr>
  </w:style>
  <w:style w:type="paragraph" w:customStyle="1" w:styleId="619">
    <w:name w:val="格式"/>
    <w:basedOn w:val="1"/>
    <w:qFormat/>
    <w:uiPriority w:val="0"/>
    <w:pPr>
      <w:widowControl/>
      <w:snapToGrid w:val="0"/>
      <w:spacing w:line="400" w:lineRule="atLeast"/>
      <w:ind w:firstLine="567"/>
      <w:jc w:val="center"/>
    </w:pPr>
    <w:rPr>
      <w:kern w:val="0"/>
      <w:sz w:val="24"/>
    </w:rPr>
  </w:style>
  <w:style w:type="paragraph" w:customStyle="1" w:styleId="620">
    <w:name w:val="LNG－文本框 Char"/>
    <w:basedOn w:val="1"/>
    <w:qFormat/>
    <w:uiPriority w:val="0"/>
    <w:pPr>
      <w:jc w:val="center"/>
    </w:pPr>
    <w:rPr>
      <w:rFonts w:eastAsia="宋体"/>
      <w:sz w:val="21"/>
      <w:szCs w:val="21"/>
    </w:rPr>
  </w:style>
  <w:style w:type="paragraph" w:customStyle="1" w:styleId="621">
    <w:name w:val="样式 样式 标题 2Chapter Title节标题 1.1 + 首行缩进:  2 字符 + 段前: 1.5 行 段后: 1...."/>
    <w:basedOn w:val="382"/>
    <w:qFormat/>
    <w:uiPriority w:val="0"/>
    <w:pPr>
      <w:tabs>
        <w:tab w:val="left" w:pos="576"/>
        <w:tab w:val="clear" w:pos="1080"/>
      </w:tabs>
      <w:spacing w:before="0" w:beforeLines="0" w:after="0" w:afterLines="0"/>
      <w:ind w:left="576" w:hanging="576"/>
    </w:pPr>
    <w:rPr>
      <w:bCs/>
      <w:szCs w:val="20"/>
    </w:rPr>
  </w:style>
  <w:style w:type="paragraph" w:customStyle="1" w:styleId="622">
    <w:name w:val="1111"/>
    <w:basedOn w:val="1"/>
    <w:qFormat/>
    <w:uiPriority w:val="0"/>
    <w:pPr>
      <w:adjustRightInd w:val="0"/>
      <w:spacing w:line="360" w:lineRule="exact"/>
      <w:jc w:val="center"/>
      <w:textAlignment w:val="baseline"/>
    </w:pPr>
    <w:rPr>
      <w:rFonts w:ascii="宋体" w:hAnsi="宋体" w:eastAsia="宋体"/>
      <w:bCs/>
      <w:kern w:val="0"/>
      <w:sz w:val="21"/>
      <w:szCs w:val="24"/>
    </w:rPr>
  </w:style>
  <w:style w:type="paragraph" w:customStyle="1" w:styleId="623">
    <w:name w:val="样式 标题 4 + 段后: 1 行"/>
    <w:basedOn w:val="6"/>
    <w:qFormat/>
    <w:uiPriority w:val="0"/>
    <w:pPr>
      <w:keepLines w:val="0"/>
      <w:widowControl/>
      <w:numPr>
        <w:numId w:val="0"/>
      </w:numPr>
      <w:tabs>
        <w:tab w:val="left" w:pos="1931"/>
      </w:tabs>
      <w:spacing w:before="0" w:after="312" w:afterLines="100" w:line="360" w:lineRule="auto"/>
      <w:ind w:left="1559"/>
      <w:jc w:val="left"/>
    </w:pPr>
    <w:rPr>
      <w:rFonts w:eastAsia="宋体"/>
      <w:bCs/>
      <w:kern w:val="0"/>
      <w:lang w:val="zh-CN"/>
    </w:rPr>
  </w:style>
  <w:style w:type="paragraph" w:customStyle="1" w:styleId="624">
    <w:name w:val="样式 正文首行缩进 + 首行缩进:  1 字符"/>
    <w:basedOn w:val="40"/>
    <w:qFormat/>
    <w:uiPriority w:val="0"/>
    <w:pPr>
      <w:spacing w:after="0" w:line="360" w:lineRule="auto"/>
      <w:ind w:firstLine="480" w:firstLineChars="200"/>
    </w:pPr>
    <w:rPr>
      <w:rFonts w:eastAsia="宋体" w:cs="宋体"/>
      <w:bCs/>
      <w:sz w:val="24"/>
      <w:szCs w:val="24"/>
    </w:rPr>
  </w:style>
  <w:style w:type="paragraph" w:customStyle="1" w:styleId="625">
    <w:name w:val="样式 标题 1-*+章标题 1 + (中文) 宋体 三号 加粗 首行缩进:  0.31 字符 段前: 6 磅 行距..."/>
    <w:basedOn w:val="2"/>
    <w:qFormat/>
    <w:uiPriority w:val="0"/>
    <w:pPr>
      <w:keepLines w:val="0"/>
      <w:pageBreakBefore w:val="0"/>
      <w:tabs>
        <w:tab w:val="left" w:pos="532"/>
      </w:tabs>
      <w:spacing w:before="120" w:after="0" w:line="360" w:lineRule="auto"/>
      <w:ind w:left="532" w:hanging="432"/>
      <w:jc w:val="both"/>
    </w:pPr>
    <w:rPr>
      <w:rFonts w:eastAsia="黑体" w:cs="宋体"/>
      <w:bCs/>
      <w:kern w:val="2"/>
      <w:sz w:val="44"/>
      <w:szCs w:val="44"/>
    </w:rPr>
  </w:style>
  <w:style w:type="paragraph" w:customStyle="1" w:styleId="626">
    <w:name w:val="报告"/>
    <w:basedOn w:val="1"/>
    <w:link w:val="1717"/>
    <w:qFormat/>
    <w:uiPriority w:val="0"/>
    <w:pPr>
      <w:overflowPunct w:val="0"/>
      <w:autoSpaceDE w:val="0"/>
      <w:autoSpaceDN w:val="0"/>
      <w:adjustRightInd w:val="0"/>
      <w:spacing w:before="20" w:beforeLines="20" w:after="20" w:afterLines="20" w:line="360" w:lineRule="atLeast"/>
      <w:ind w:firstLine="200" w:firstLineChars="200"/>
      <w:jc w:val="left"/>
      <w:textAlignment w:val="baseline"/>
    </w:pPr>
    <w:rPr>
      <w:rFonts w:eastAsia="宋体"/>
      <w:color w:val="000000"/>
      <w:spacing w:val="8"/>
      <w:kern w:val="0"/>
      <w:sz w:val="24"/>
      <w:szCs w:val="28"/>
    </w:rPr>
  </w:style>
  <w:style w:type="paragraph" w:customStyle="1" w:styleId="627">
    <w:name w:val="条目"/>
    <w:basedOn w:val="626"/>
    <w:qFormat/>
    <w:uiPriority w:val="0"/>
    <w:pPr>
      <w:widowControl/>
      <w:tabs>
        <w:tab w:val="left" w:pos="1134"/>
      </w:tabs>
      <w:spacing w:before="60" w:beforeLines="0" w:after="60" w:afterLines="0" w:line="400" w:lineRule="atLeast"/>
      <w:ind w:firstLine="482" w:firstLineChars="0"/>
      <w:jc w:val="both"/>
    </w:pPr>
    <w:rPr>
      <w:color w:val="auto"/>
      <w:spacing w:val="0"/>
      <w:kern w:val="2"/>
      <w:szCs w:val="20"/>
    </w:rPr>
  </w:style>
  <w:style w:type="paragraph" w:customStyle="1" w:styleId="628">
    <w:name w:val="样式 表头 + 黑色 行距: 固定值 25 磅"/>
    <w:basedOn w:val="362"/>
    <w:qFormat/>
    <w:uiPriority w:val="0"/>
    <w:pPr>
      <w:widowControl/>
      <w:snapToGrid w:val="0"/>
      <w:spacing w:line="500" w:lineRule="exact"/>
      <w:ind w:left="539"/>
    </w:pPr>
    <w:rPr>
      <w:rFonts w:ascii="Times New Roman" w:hAnsi="Times New Roman" w:eastAsia="宋体" w:cs="宋体"/>
      <w:bCs/>
      <w:color w:val="000000"/>
      <w:kern w:val="0"/>
      <w:sz w:val="24"/>
      <w:szCs w:val="20"/>
    </w:rPr>
  </w:style>
  <w:style w:type="paragraph" w:customStyle="1" w:styleId="629">
    <w:name w:val="样式 正文首行缩进 2 + 段前: 0.25 行1"/>
    <w:basedOn w:val="86"/>
    <w:qFormat/>
    <w:uiPriority w:val="0"/>
    <w:pPr>
      <w:tabs>
        <w:tab w:val="left" w:pos="420"/>
        <w:tab w:val="clear" w:pos="0"/>
        <w:tab w:val="clear" w:pos="870"/>
        <w:tab w:val="clear" w:pos="3150"/>
      </w:tabs>
      <w:spacing w:before="25" w:beforeLines="25" w:line="336" w:lineRule="auto"/>
    </w:pPr>
    <w:rPr>
      <w:szCs w:val="20"/>
    </w:rPr>
  </w:style>
  <w:style w:type="paragraph" w:customStyle="1" w:styleId="630">
    <w:name w:val="样式 标题 2Chapter Title节标题 1.1 + (符号) 宋体 小四 加粗 段前: 1.55 磅 段后:..."/>
    <w:basedOn w:val="3"/>
    <w:qFormat/>
    <w:uiPriority w:val="0"/>
    <w:pPr>
      <w:keepNext w:val="0"/>
      <w:keepLines w:val="0"/>
      <w:numPr>
        <w:numId w:val="0"/>
      </w:numPr>
      <w:tabs>
        <w:tab w:val="left" w:pos="1080"/>
      </w:tabs>
      <w:adjustRightInd w:val="0"/>
      <w:spacing w:before="30" w:after="30" w:line="360" w:lineRule="auto"/>
      <w:ind w:left="425" w:hanging="425"/>
      <w:jc w:val="left"/>
    </w:pPr>
    <w:rPr>
      <w:rFonts w:ascii="宋体" w:hAnsi="宋体" w:eastAsia="宋体" w:cs="宋体"/>
      <w:b/>
      <w:bCs/>
      <w:color w:val="000000"/>
    </w:rPr>
  </w:style>
  <w:style w:type="paragraph" w:customStyle="1" w:styleId="631">
    <w:name w:val="样式 首行缩进:  0.95 厘米 段前: 3 磅 行距: 固定值 23 磅"/>
    <w:basedOn w:val="1"/>
    <w:qFormat/>
    <w:uiPriority w:val="0"/>
    <w:pPr>
      <w:adjustRightInd w:val="0"/>
      <w:spacing w:line="360" w:lineRule="auto"/>
      <w:ind w:firstLine="539"/>
      <w:textAlignment w:val="baseline"/>
    </w:pPr>
    <w:rPr>
      <w:rFonts w:eastAsia="宋体" w:cs="宋体"/>
      <w:kern w:val="0"/>
      <w:sz w:val="24"/>
      <w:szCs w:val="24"/>
    </w:rPr>
  </w:style>
  <w:style w:type="paragraph" w:customStyle="1" w:styleId="632">
    <w:name w:val="四级无标题条"/>
    <w:basedOn w:val="1"/>
    <w:qFormat/>
    <w:uiPriority w:val="0"/>
    <w:pPr>
      <w:tabs>
        <w:tab w:val="left" w:pos="720"/>
      </w:tabs>
    </w:pPr>
    <w:rPr>
      <w:rFonts w:eastAsia="宋体"/>
      <w:sz w:val="21"/>
      <w:szCs w:val="24"/>
    </w:rPr>
  </w:style>
  <w:style w:type="paragraph" w:customStyle="1" w:styleId="633">
    <w:name w:val="封面标准名称"/>
    <w:qFormat/>
    <w:uiPriority w:val="0"/>
    <w:pPr>
      <w:framePr w:w="9638" w:h="6917" w:wrap="around" w:vAnchor="margin" w:hAnchor="margin" w:xAlign="center" w:y="5955" w:anchorLock="1"/>
      <w:widowControl w:val="0"/>
      <w:spacing w:line="680" w:lineRule="exact"/>
      <w:jc w:val="center"/>
    </w:pPr>
    <w:rPr>
      <w:rFonts w:ascii="黑体" w:hAnsi="Times New Roman" w:eastAsia="黑体" w:cs="Times New Roman"/>
      <w:sz w:val="52"/>
      <w:lang w:val="en-US" w:eastAsia="zh-CN" w:bidi="ar-SA"/>
    </w:rPr>
  </w:style>
  <w:style w:type="paragraph" w:customStyle="1" w:styleId="634">
    <w:name w:val="wenjian"/>
    <w:basedOn w:val="455"/>
    <w:qFormat/>
    <w:uiPriority w:val="0"/>
    <w:pPr>
      <w:ind w:firstLine="512"/>
    </w:pPr>
    <w:rPr>
      <w:sz w:val="21"/>
    </w:rPr>
  </w:style>
  <w:style w:type="paragraph" w:customStyle="1" w:styleId="635">
    <w:name w:val="表标题"/>
    <w:basedOn w:val="86"/>
    <w:link w:val="1409"/>
    <w:qFormat/>
    <w:uiPriority w:val="0"/>
    <w:pPr>
      <w:ind w:firstLine="0"/>
      <w:jc w:val="center"/>
    </w:pPr>
    <w:rPr>
      <w:rFonts w:ascii="Times New Roman" w:eastAsia="黑体"/>
      <w:szCs w:val="24"/>
    </w:rPr>
  </w:style>
  <w:style w:type="paragraph" w:customStyle="1" w:styleId="636">
    <w:name w:val="正文中对齐"/>
    <w:basedOn w:val="1"/>
    <w:qFormat/>
    <w:uiPriority w:val="0"/>
    <w:pPr>
      <w:snapToGrid w:val="0"/>
      <w:spacing w:before="60" w:after="60" w:line="60" w:lineRule="atLeast"/>
      <w:jc w:val="center"/>
    </w:pPr>
    <w:rPr>
      <w:rFonts w:eastAsia="宋体"/>
      <w:sz w:val="24"/>
      <w:szCs w:val="21"/>
    </w:rPr>
  </w:style>
  <w:style w:type="paragraph" w:customStyle="1" w:styleId="637">
    <w:name w:val="样式 标题 2节标题 1.1 + 小三 加粗 段前: 0 磅 段后: 0 磅 行距: 1.5 倍行距"/>
    <w:basedOn w:val="3"/>
    <w:qFormat/>
    <w:uiPriority w:val="0"/>
    <w:pPr>
      <w:numPr>
        <w:ilvl w:val="0"/>
        <w:numId w:val="0"/>
      </w:numPr>
      <w:tabs>
        <w:tab w:val="left" w:pos="-426"/>
      </w:tabs>
      <w:spacing w:before="0" w:after="0" w:line="360" w:lineRule="auto"/>
      <w:ind w:left="-426"/>
      <w:jc w:val="left"/>
    </w:pPr>
    <w:rPr>
      <w:rFonts w:ascii="Times New Roman" w:hAnsi="Times New Roman" w:cs="宋体"/>
      <w:b/>
      <w:bCs/>
      <w:sz w:val="30"/>
    </w:rPr>
  </w:style>
  <w:style w:type="paragraph" w:customStyle="1" w:styleId="638">
    <w:name w:val="shu表文"/>
    <w:basedOn w:val="1"/>
    <w:qFormat/>
    <w:uiPriority w:val="0"/>
    <w:pPr>
      <w:autoSpaceDE w:val="0"/>
      <w:autoSpaceDN w:val="0"/>
      <w:adjustRightInd w:val="0"/>
      <w:jc w:val="center"/>
    </w:pPr>
    <w:rPr>
      <w:rFonts w:ascii="Times" w:hAnsi="Times" w:eastAsia="宋体"/>
      <w:spacing w:val="20"/>
      <w:kern w:val="0"/>
      <w:sz w:val="21"/>
      <w:szCs w:val="23"/>
    </w:rPr>
  </w:style>
  <w:style w:type="paragraph" w:customStyle="1" w:styleId="639">
    <w:name w:val="表问"/>
    <w:basedOn w:val="1"/>
    <w:qFormat/>
    <w:uiPriority w:val="0"/>
    <w:pPr>
      <w:spacing w:line="240" w:lineRule="atLeast"/>
      <w:jc w:val="center"/>
    </w:pPr>
    <w:rPr>
      <w:rFonts w:eastAsia="宋体"/>
      <w:sz w:val="21"/>
      <w:szCs w:val="28"/>
    </w:rPr>
  </w:style>
  <w:style w:type="paragraph" w:customStyle="1" w:styleId="640">
    <w:name w:val="二级无标题条"/>
    <w:basedOn w:val="1"/>
    <w:qFormat/>
    <w:uiPriority w:val="0"/>
    <w:rPr>
      <w:rFonts w:eastAsia="宋体"/>
      <w:sz w:val="21"/>
      <w:szCs w:val="24"/>
    </w:rPr>
  </w:style>
  <w:style w:type="paragraph" w:customStyle="1" w:styleId="641">
    <w:name w:val="首行缩进 Char Char"/>
    <w:basedOn w:val="1"/>
    <w:qFormat/>
    <w:uiPriority w:val="0"/>
    <w:pPr>
      <w:snapToGrid w:val="0"/>
      <w:spacing w:line="360" w:lineRule="auto"/>
      <w:ind w:firstLine="499"/>
    </w:pPr>
    <w:rPr>
      <w:rFonts w:ascii="宋体" w:eastAsia="宋体"/>
      <w:sz w:val="24"/>
    </w:rPr>
  </w:style>
  <w:style w:type="paragraph" w:customStyle="1" w:styleId="642">
    <w:name w:val="xl428"/>
    <w:basedOn w:val="1"/>
    <w:qFormat/>
    <w:uiPriority w:val="0"/>
    <w:pPr>
      <w:widowControl/>
      <w:spacing w:before="100" w:beforeAutospacing="1" w:after="100" w:afterAutospacing="1" w:line="360" w:lineRule="auto"/>
      <w:ind w:firstLine="200" w:firstLineChars="200"/>
      <w:jc w:val="center"/>
      <w:textAlignment w:val="center"/>
    </w:pPr>
    <w:rPr>
      <w:rFonts w:hint="eastAsia" w:ascii="宋体" w:hAnsi="宋体" w:eastAsia="宋体"/>
      <w:kern w:val="0"/>
      <w:sz w:val="24"/>
      <w:szCs w:val="24"/>
    </w:rPr>
  </w:style>
  <w:style w:type="paragraph" w:customStyle="1" w:styleId="643">
    <w:name w:val="样式 左  0 字符"/>
    <w:basedOn w:val="1"/>
    <w:qFormat/>
    <w:uiPriority w:val="0"/>
    <w:pPr>
      <w:spacing w:line="360" w:lineRule="auto"/>
      <w:ind w:firstLine="225" w:firstLineChars="225"/>
    </w:pPr>
    <w:rPr>
      <w:rFonts w:eastAsia="宋体" w:cs="宋体"/>
      <w:sz w:val="24"/>
    </w:rPr>
  </w:style>
  <w:style w:type="paragraph" w:customStyle="1" w:styleId="644">
    <w:name w:val="样式 标题 3 + 字距调整四号"/>
    <w:basedOn w:val="5"/>
    <w:qFormat/>
    <w:uiPriority w:val="0"/>
    <w:pPr>
      <w:keepNext w:val="0"/>
      <w:tabs>
        <w:tab w:val="left" w:pos="425"/>
        <w:tab w:val="clear" w:pos="1080"/>
      </w:tabs>
      <w:spacing w:before="0" w:after="0" w:line="360" w:lineRule="auto"/>
      <w:ind w:left="425" w:hanging="425"/>
    </w:pPr>
    <w:rPr>
      <w:rFonts w:ascii="Times New Roman" w:eastAsia="宋体"/>
      <w:b w:val="0"/>
      <w:kern w:val="28"/>
      <w:szCs w:val="32"/>
    </w:rPr>
  </w:style>
  <w:style w:type="paragraph" w:customStyle="1" w:styleId="645">
    <w:name w:val="总标题"/>
    <w:basedOn w:val="1"/>
    <w:qFormat/>
    <w:uiPriority w:val="0"/>
    <w:pPr>
      <w:adjustRightInd w:val="0"/>
      <w:spacing w:line="360" w:lineRule="auto"/>
      <w:ind w:left="85" w:right="-488"/>
      <w:jc w:val="center"/>
      <w:textAlignment w:val="baseline"/>
    </w:pPr>
    <w:rPr>
      <w:rFonts w:ascii="方正魏碑简体" w:hAnsi="Bookman Old Style" w:eastAsia="方正魏碑简体"/>
      <w:b/>
      <w:spacing w:val="5"/>
      <w:kern w:val="44"/>
      <w:sz w:val="32"/>
      <w:szCs w:val="21"/>
    </w:rPr>
  </w:style>
  <w:style w:type="paragraph" w:customStyle="1" w:styleId="646">
    <w:name w:val="报告正文 Char"/>
    <w:basedOn w:val="1"/>
    <w:qFormat/>
    <w:uiPriority w:val="0"/>
    <w:pPr>
      <w:adjustRightInd w:val="0"/>
      <w:spacing w:before="25" w:beforeLines="25" w:line="360" w:lineRule="auto"/>
      <w:ind w:firstLine="482"/>
      <w:textAlignment w:val="baseline"/>
    </w:pPr>
    <w:rPr>
      <w:rFonts w:eastAsia="宋体" w:cs="宋体"/>
      <w:snapToGrid w:val="0"/>
      <w:kern w:val="24"/>
      <w:sz w:val="24"/>
      <w:szCs w:val="21"/>
    </w:rPr>
  </w:style>
  <w:style w:type="paragraph" w:customStyle="1" w:styleId="647">
    <w:name w:val="123"/>
    <w:basedOn w:val="1"/>
    <w:qFormat/>
    <w:uiPriority w:val="0"/>
    <w:pPr>
      <w:spacing w:line="360" w:lineRule="auto"/>
      <w:ind w:firstLine="454"/>
    </w:pPr>
    <w:rPr>
      <w:rFonts w:eastAsia="宋体"/>
      <w:sz w:val="24"/>
      <w:szCs w:val="21"/>
    </w:rPr>
  </w:style>
  <w:style w:type="paragraph" w:customStyle="1" w:styleId="648">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rFonts w:eastAsia="宋体"/>
      <w:sz w:val="24"/>
    </w:rPr>
  </w:style>
  <w:style w:type="paragraph" w:customStyle="1" w:styleId="649">
    <w:name w:val="样式 标题 1 + 字距调整四号"/>
    <w:basedOn w:val="2"/>
    <w:qFormat/>
    <w:uiPriority w:val="0"/>
    <w:pPr>
      <w:pageBreakBefore w:val="0"/>
      <w:tabs>
        <w:tab w:val="left" w:pos="432"/>
      </w:tabs>
      <w:spacing w:before="240" w:after="120" w:line="360" w:lineRule="auto"/>
      <w:ind w:left="432" w:hanging="432"/>
      <w:jc w:val="both"/>
    </w:pPr>
    <w:rPr>
      <w:bCs/>
      <w:kern w:val="28"/>
      <w:sz w:val="30"/>
      <w:szCs w:val="44"/>
    </w:rPr>
  </w:style>
  <w:style w:type="paragraph" w:customStyle="1" w:styleId="650">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rFonts w:eastAsia="宋体"/>
      <w:spacing w:val="80"/>
      <w:kern w:val="0"/>
      <w:sz w:val="20"/>
    </w:rPr>
  </w:style>
  <w:style w:type="paragraph" w:customStyle="1" w:styleId="651">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 w:val="21"/>
    </w:rPr>
  </w:style>
  <w:style w:type="paragraph" w:customStyle="1" w:styleId="652">
    <w:name w:val="6"/>
    <w:basedOn w:val="1"/>
    <w:next w:val="51"/>
    <w:qFormat/>
    <w:uiPriority w:val="0"/>
    <w:pPr>
      <w:spacing w:after="120" w:afterLines="50" w:line="348" w:lineRule="auto"/>
      <w:ind w:firstLine="480" w:firstLineChars="200"/>
    </w:pPr>
    <w:rPr>
      <w:rFonts w:eastAsia="宋体"/>
      <w:sz w:val="24"/>
      <w:szCs w:val="21"/>
    </w:rPr>
  </w:style>
  <w:style w:type="paragraph" w:customStyle="1" w:styleId="653">
    <w:name w:val="样式 题注 + (中文) 黑体"/>
    <w:basedOn w:val="21"/>
    <w:qFormat/>
    <w:uiPriority w:val="0"/>
    <w:pPr>
      <w:spacing w:before="100" w:beforeAutospacing="1" w:after="0"/>
      <w:jc w:val="center"/>
    </w:pPr>
    <w:rPr>
      <w:rFonts w:eastAsia="宋体"/>
      <w:sz w:val="24"/>
    </w:rPr>
  </w:style>
  <w:style w:type="paragraph" w:customStyle="1" w:styleId="654">
    <w:name w:val="样式 标题 4款标题1.1.1.1 + 段前: 7.8 磅 段后: 7.8 磅"/>
    <w:basedOn w:val="6"/>
    <w:qFormat/>
    <w:uiPriority w:val="0"/>
    <w:pPr>
      <w:keepNext w:val="0"/>
      <w:keepLines w:val="0"/>
      <w:numPr>
        <w:numId w:val="0"/>
      </w:numPr>
      <w:tabs>
        <w:tab w:val="left" w:pos="964"/>
      </w:tabs>
      <w:spacing w:before="156" w:after="156" w:line="360" w:lineRule="auto"/>
      <w:ind w:left="964" w:hanging="864"/>
    </w:pPr>
    <w:rPr>
      <w:rFonts w:ascii="Times New Roman" w:hAnsi="Times New Roman" w:eastAsia="宋体" w:cs="宋体"/>
      <w:bCs/>
    </w:rPr>
  </w:style>
  <w:style w:type="paragraph" w:customStyle="1" w:styleId="655">
    <w:name w:val="样式 标题 3小标题小节标题头 Char标题 31小标题1小节标题1小节标题1 Char Char头 Char ..."/>
    <w:basedOn w:val="5"/>
    <w:qFormat/>
    <w:uiPriority w:val="0"/>
    <w:pPr>
      <w:numPr>
        <w:numId w:val="0"/>
      </w:numPr>
      <w:tabs>
        <w:tab w:val="left" w:pos="720"/>
      </w:tabs>
      <w:adjustRightInd w:val="0"/>
      <w:spacing w:before="0" w:after="0" w:line="360" w:lineRule="auto"/>
      <w:ind w:left="720" w:hanging="720"/>
      <w:textAlignment w:val="baseline"/>
    </w:pPr>
    <w:rPr>
      <w:rFonts w:ascii="Times New Roman" w:eastAsia="宋体" w:cs="宋体"/>
      <w:bCs w:val="0"/>
    </w:rPr>
  </w:style>
  <w:style w:type="paragraph" w:customStyle="1" w:styleId="656">
    <w:name w:val="封面标准号1"/>
    <w:qFormat/>
    <w:uiPriority w:val="0"/>
    <w:pPr>
      <w:widowControl w:val="0"/>
      <w:kinsoku w:val="0"/>
      <w:overflowPunct w:val="0"/>
      <w:autoSpaceDE w:val="0"/>
      <w:autoSpaceDN w:val="0"/>
      <w:spacing w:before="308"/>
      <w:jc w:val="right"/>
    </w:pPr>
    <w:rPr>
      <w:rFonts w:ascii="Times New Roman" w:hAnsi="Times New Roman" w:eastAsia="宋体" w:cs="Times New Roman"/>
      <w:sz w:val="28"/>
      <w:lang w:val="en-US" w:eastAsia="zh-CN" w:bidi="ar-SA"/>
    </w:rPr>
  </w:style>
  <w:style w:type="paragraph" w:customStyle="1" w:styleId="657">
    <w:name w:val="五级无标题条"/>
    <w:basedOn w:val="1"/>
    <w:qFormat/>
    <w:uiPriority w:val="0"/>
    <w:pPr>
      <w:tabs>
        <w:tab w:val="left" w:pos="720"/>
      </w:tabs>
    </w:pPr>
    <w:rPr>
      <w:rFonts w:eastAsia="宋体"/>
      <w:sz w:val="21"/>
      <w:szCs w:val="24"/>
    </w:rPr>
  </w:style>
  <w:style w:type="paragraph" w:customStyle="1" w:styleId="658">
    <w:name w:val="LNG－表格"/>
    <w:basedOn w:val="1"/>
    <w:qFormat/>
    <w:uiPriority w:val="0"/>
    <w:pPr>
      <w:spacing w:line="360" w:lineRule="auto"/>
      <w:jc w:val="center"/>
    </w:pPr>
    <w:rPr>
      <w:rFonts w:eastAsia="宋体"/>
      <w:kern w:val="0"/>
      <w:sz w:val="21"/>
      <w:szCs w:val="21"/>
    </w:rPr>
  </w:style>
  <w:style w:type="paragraph" w:customStyle="1" w:styleId="659">
    <w:name w:val="正文表标题"/>
    <w:next w:val="1"/>
    <w:uiPriority w:val="0"/>
    <w:pPr>
      <w:tabs>
        <w:tab w:val="left" w:pos="1080"/>
      </w:tabs>
      <w:ind w:left="425" w:hanging="425"/>
      <w:jc w:val="center"/>
    </w:pPr>
    <w:rPr>
      <w:rFonts w:ascii="黑体" w:hAnsi="Times New Roman" w:eastAsia="黑体" w:cs="Times New Roman"/>
      <w:sz w:val="21"/>
      <w:lang w:val="en-US" w:eastAsia="zh-CN" w:bidi="ar-SA"/>
    </w:rPr>
  </w:style>
  <w:style w:type="paragraph" w:customStyle="1" w:styleId="660">
    <w:name w:val="样式 样式 LNG－标题1 + 段前: 0.5 行 段后: 0.5 行 + 段前: 0.5 行 段后: 0.5 行"/>
    <w:basedOn w:val="457"/>
    <w:uiPriority w:val="0"/>
    <w:pPr>
      <w:tabs>
        <w:tab w:val="left" w:pos="425"/>
      </w:tabs>
      <w:spacing w:before="156" w:after="156"/>
      <w:ind w:left="425" w:hanging="425"/>
    </w:pPr>
    <w:rPr>
      <w:szCs w:val="20"/>
    </w:rPr>
  </w:style>
  <w:style w:type="paragraph" w:customStyle="1" w:styleId="661">
    <w:name w:val="正文my"/>
    <w:basedOn w:val="34"/>
    <w:uiPriority w:val="0"/>
    <w:pPr>
      <w:spacing w:before="60" w:line="480" w:lineRule="atLeast"/>
      <w:ind w:firstLine="200" w:firstLineChars="200"/>
    </w:pPr>
    <w:rPr>
      <w:sz w:val="24"/>
      <w:szCs w:val="24"/>
    </w:rPr>
  </w:style>
  <w:style w:type="paragraph" w:customStyle="1" w:styleId="662">
    <w:name w:val="LNG-正文"/>
    <w:basedOn w:val="384"/>
    <w:uiPriority w:val="0"/>
    <w:pPr>
      <w:ind w:firstLine="200" w:firstLineChars="200"/>
    </w:pPr>
    <w:rPr>
      <w:rFonts w:ascii="宋体" w:hAnsi="宋体"/>
      <w:kern w:val="0"/>
    </w:rPr>
  </w:style>
  <w:style w:type="paragraph" w:customStyle="1" w:styleId="663">
    <w:name w:val="样式 正文001 + 首行缩进:  2 字符"/>
    <w:basedOn w:val="1"/>
    <w:uiPriority w:val="0"/>
    <w:pPr>
      <w:spacing w:line="500" w:lineRule="atLeast"/>
      <w:ind w:firstLine="480" w:firstLineChars="200"/>
    </w:pPr>
    <w:rPr>
      <w:rFonts w:eastAsia="宋体"/>
      <w:sz w:val="24"/>
    </w:rPr>
  </w:style>
  <w:style w:type="paragraph" w:customStyle="1" w:styleId="664">
    <w:name w:val="样式 LNG-正文 + 首行缩进:  2 字符"/>
    <w:basedOn w:val="662"/>
    <w:uiPriority w:val="0"/>
    <w:pPr>
      <w:ind w:firstLine="480"/>
    </w:pPr>
    <w:rPr>
      <w:rFonts w:cs="宋体"/>
      <w:szCs w:val="20"/>
    </w:rPr>
  </w:style>
  <w:style w:type="paragraph" w:customStyle="1" w:styleId="665">
    <w:name w:val="图形"/>
    <w:basedOn w:val="1"/>
    <w:uiPriority w:val="0"/>
    <w:pPr>
      <w:widowControl/>
      <w:adjustRightInd w:val="0"/>
      <w:snapToGrid w:val="0"/>
      <w:jc w:val="center"/>
    </w:pPr>
    <w:rPr>
      <w:rFonts w:eastAsia="宋体"/>
      <w:kern w:val="24"/>
      <w:sz w:val="21"/>
      <w:szCs w:val="21"/>
    </w:rPr>
  </w:style>
  <w:style w:type="paragraph" w:customStyle="1" w:styleId="666">
    <w:name w:val="缩絖"/>
    <w:basedOn w:val="33"/>
    <w:uiPriority w:val="0"/>
    <w:pPr>
      <w:adjustRightInd w:val="0"/>
      <w:spacing w:line="312" w:lineRule="atLeast"/>
      <w:ind w:firstLine="420"/>
      <w:textAlignment w:val="baseline"/>
    </w:pPr>
    <w:rPr>
      <w:rFonts w:eastAsia="宋体"/>
      <w:kern w:val="0"/>
      <w:sz w:val="27"/>
    </w:rPr>
  </w:style>
  <w:style w:type="paragraph" w:customStyle="1" w:styleId="667">
    <w:name w:val="Bullet"/>
    <w:basedOn w:val="1"/>
    <w:uiPriority w:val="0"/>
    <w:pPr>
      <w:tabs>
        <w:tab w:val="left" w:pos="1080"/>
      </w:tabs>
      <w:spacing w:before="60" w:after="60"/>
      <w:ind w:left="1080" w:hanging="425"/>
    </w:pPr>
    <w:rPr>
      <w:rFonts w:ascii="Arial" w:hAnsi="Arial" w:eastAsia="宋体"/>
      <w:sz w:val="22"/>
      <w:lang w:val="en-GB"/>
    </w:rPr>
  </w:style>
  <w:style w:type="paragraph" w:customStyle="1" w:styleId="668">
    <w:name w:val="普通 (Web)"/>
    <w:basedOn w:val="1"/>
    <w:uiPriority w:val="0"/>
    <w:pPr>
      <w:widowControl/>
      <w:spacing w:before="100" w:after="100"/>
      <w:jc w:val="left"/>
    </w:pPr>
    <w:rPr>
      <w:rFonts w:ascii="Arial Unicode MS" w:hAnsi="Arial Unicode MS" w:eastAsia="Arial Unicode MS"/>
      <w:kern w:val="0"/>
      <w:sz w:val="24"/>
    </w:rPr>
  </w:style>
  <w:style w:type="paragraph" w:customStyle="1" w:styleId="669">
    <w:name w:val="zhang正文"/>
    <w:basedOn w:val="34"/>
    <w:uiPriority w:val="0"/>
    <w:pPr>
      <w:spacing w:before="60" w:line="460" w:lineRule="exact"/>
      <w:ind w:firstLine="480" w:firstLineChars="200"/>
    </w:pPr>
    <w:rPr>
      <w:sz w:val="24"/>
      <w:szCs w:val="24"/>
    </w:rPr>
  </w:style>
  <w:style w:type="paragraph" w:customStyle="1" w:styleId="670">
    <w:name w:val="1标题1级"/>
    <w:basedOn w:val="1"/>
    <w:uiPriority w:val="0"/>
    <w:pPr>
      <w:snapToGrid w:val="0"/>
      <w:spacing w:line="360" w:lineRule="auto"/>
      <w:outlineLvl w:val="0"/>
    </w:pPr>
    <w:rPr>
      <w:rFonts w:eastAsia="黑体"/>
      <w:b/>
      <w:sz w:val="36"/>
    </w:rPr>
  </w:style>
  <w:style w:type="paragraph" w:customStyle="1" w:styleId="671">
    <w:name w:val="zkf标题一"/>
    <w:basedOn w:val="2"/>
    <w:next w:val="1"/>
    <w:uiPriority w:val="0"/>
    <w:pPr>
      <w:pageBreakBefore w:val="0"/>
      <w:spacing w:after="360" w:line="480" w:lineRule="auto"/>
      <w:ind w:left="0" w:firstLine="0"/>
    </w:pPr>
    <w:rPr>
      <w:bCs/>
      <w:szCs w:val="44"/>
    </w:rPr>
  </w:style>
  <w:style w:type="paragraph" w:customStyle="1" w:styleId="672">
    <w:name w:val="HTML 预先格式化"/>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PMingLiU"/>
      <w:kern w:val="0"/>
      <w:sz w:val="20"/>
    </w:rPr>
  </w:style>
  <w:style w:type="paragraph" w:customStyle="1" w:styleId="673">
    <w:name w:val="Table text"/>
    <w:basedOn w:val="1"/>
    <w:uiPriority w:val="0"/>
    <w:pPr>
      <w:keepLines/>
      <w:widowControl/>
      <w:spacing w:before="40" w:after="40"/>
      <w:jc w:val="center"/>
    </w:pPr>
    <w:rPr>
      <w:rFonts w:ascii="Arial" w:hAnsi="Arial" w:eastAsia="PMingLiU"/>
      <w:kern w:val="0"/>
      <w:sz w:val="22"/>
      <w:szCs w:val="24"/>
      <w:lang w:val="en-GB"/>
    </w:rPr>
  </w:style>
  <w:style w:type="paragraph" w:customStyle="1" w:styleId="674">
    <w:name w:val="四级标题"/>
    <w:basedOn w:val="164"/>
    <w:uiPriority w:val="0"/>
    <w:pPr>
      <w:ind w:firstLine="0" w:firstLineChars="0"/>
    </w:pPr>
    <w:rPr>
      <w:bCs/>
      <w:szCs w:val="24"/>
    </w:rPr>
  </w:style>
  <w:style w:type="paragraph" w:customStyle="1" w:styleId="675">
    <w:name w:val="xl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kern w:val="0"/>
      <w:sz w:val="18"/>
      <w:szCs w:val="18"/>
    </w:rPr>
  </w:style>
  <w:style w:type="paragraph" w:customStyle="1" w:styleId="676">
    <w:name w:val="msocommentsubject"/>
    <w:basedOn w:val="27"/>
    <w:next w:val="27"/>
    <w:uiPriority w:val="0"/>
    <w:rPr>
      <w:rFonts w:eastAsia="宋体"/>
      <w:b/>
      <w:bCs/>
      <w:sz w:val="24"/>
      <w:szCs w:val="24"/>
    </w:rPr>
  </w:style>
  <w:style w:type="paragraph" w:customStyle="1" w:styleId="677">
    <w:name w:val="a"/>
    <w:basedOn w:val="1"/>
    <w:uiPriority w:val="0"/>
    <w:pPr>
      <w:widowControl/>
      <w:spacing w:before="100" w:beforeAutospacing="1" w:line="394" w:lineRule="atLeast"/>
      <w:jc w:val="center"/>
    </w:pPr>
    <w:rPr>
      <w:rFonts w:ascii="宋体" w:hAnsi="宋体" w:eastAsia="宋体" w:cs="宋体"/>
      <w:kern w:val="0"/>
      <w:sz w:val="24"/>
      <w:szCs w:val="24"/>
    </w:rPr>
  </w:style>
  <w:style w:type="paragraph" w:customStyle="1" w:styleId="678">
    <w:name w:val="式样"/>
    <w:basedOn w:val="1"/>
    <w:next w:val="55"/>
    <w:uiPriority w:val="0"/>
    <w:rPr>
      <w:rFonts w:eastAsia="宋体"/>
      <w:sz w:val="21"/>
    </w:rPr>
  </w:style>
  <w:style w:type="paragraph" w:customStyle="1" w:styleId="679">
    <w:name w:val="表格题注"/>
    <w:basedOn w:val="1"/>
    <w:uiPriority w:val="0"/>
    <w:pPr>
      <w:jc w:val="center"/>
    </w:pPr>
    <w:rPr>
      <w:rFonts w:eastAsia="宋体"/>
      <w:sz w:val="21"/>
      <w:szCs w:val="24"/>
    </w:rPr>
  </w:style>
  <w:style w:type="paragraph" w:customStyle="1" w:styleId="680">
    <w:name w:val="1级标题"/>
    <w:basedOn w:val="1"/>
    <w:link w:val="2330"/>
    <w:uiPriority w:val="0"/>
    <w:pPr>
      <w:spacing w:before="60" w:line="460" w:lineRule="exact"/>
      <w:outlineLvl w:val="0"/>
    </w:pPr>
    <w:rPr>
      <w:rFonts w:ascii="Arial" w:hAnsi="Arial" w:eastAsia="宋体"/>
      <w:b/>
      <w:sz w:val="32"/>
      <w:szCs w:val="24"/>
    </w:rPr>
  </w:style>
  <w:style w:type="paragraph" w:customStyle="1" w:styleId="681">
    <w:name w:val="前言、引言标题"/>
    <w:next w:val="1"/>
    <w:uiPriority w:val="0"/>
    <w:pPr>
      <w:shd w:val="clear" w:color="FFFFFF" w:fill="FFFFFF"/>
      <w:tabs>
        <w:tab w:val="left" w:pos="1080"/>
      </w:tabs>
      <w:spacing w:before="640" w:after="560"/>
      <w:ind w:left="432" w:hanging="432"/>
      <w:jc w:val="center"/>
      <w:outlineLvl w:val="0"/>
    </w:pPr>
    <w:rPr>
      <w:rFonts w:ascii="黑体" w:hAnsi="Times New Roman" w:eastAsia="黑体" w:cs="Times New Roman"/>
      <w:sz w:val="32"/>
      <w:lang w:val="en-US" w:eastAsia="zh-CN" w:bidi="ar-SA"/>
    </w:rPr>
  </w:style>
  <w:style w:type="paragraph" w:customStyle="1" w:styleId="682">
    <w:name w:val="表格样式1"/>
    <w:basedOn w:val="1"/>
    <w:qFormat/>
    <w:uiPriority w:val="0"/>
    <w:pPr>
      <w:adjustRightInd w:val="0"/>
      <w:spacing w:line="20" w:lineRule="atLeast"/>
      <w:ind w:firstLine="200" w:firstLineChars="200"/>
      <w:jc w:val="center"/>
      <w:textAlignment w:val="baseline"/>
    </w:pPr>
    <w:rPr>
      <w:rFonts w:ascii="宋体"/>
      <w:kern w:val="0"/>
      <w:sz w:val="24"/>
    </w:rPr>
  </w:style>
  <w:style w:type="paragraph" w:customStyle="1" w:styleId="683">
    <w:name w:val="正文样式3"/>
    <w:basedOn w:val="1"/>
    <w:uiPriority w:val="0"/>
    <w:pPr>
      <w:keepLines/>
      <w:adjustRightInd w:val="0"/>
      <w:spacing w:line="20" w:lineRule="atLeast"/>
      <w:ind w:firstLine="200" w:firstLineChars="200"/>
      <w:jc w:val="center"/>
      <w:textAlignment w:val="baseline"/>
    </w:pPr>
    <w:rPr>
      <w:kern w:val="0"/>
      <w:sz w:val="24"/>
    </w:rPr>
  </w:style>
  <w:style w:type="paragraph" w:customStyle="1" w:styleId="684">
    <w:name w:val="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685">
    <w:name w:val="Char Char Char Char Char Char1 Char Char Char Char"/>
    <w:basedOn w:val="1"/>
    <w:uiPriority w:val="0"/>
    <w:rPr>
      <w:rFonts w:eastAsia="宋体"/>
      <w:sz w:val="24"/>
      <w:szCs w:val="24"/>
    </w:rPr>
  </w:style>
  <w:style w:type="paragraph" w:customStyle="1" w:styleId="686">
    <w:name w:val="久不通函，至以为念。"/>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7">
    <w:name w:val="样式 表格内容 + 首行缩进:  0.86 厘米"/>
    <w:basedOn w:val="353"/>
    <w:uiPriority w:val="0"/>
    <w:pPr>
      <w:widowControl/>
      <w:overflowPunct w:val="0"/>
      <w:snapToGrid w:val="0"/>
      <w:spacing w:line="240" w:lineRule="auto"/>
      <w:jc w:val="left"/>
      <w:textAlignment w:val="baseline"/>
    </w:pPr>
    <w:rPr>
      <w:rFonts w:ascii="Arial" w:hAnsi="Arial" w:eastAsia="仿宋_GB2312" w:cs="宋体"/>
      <w:sz w:val="22"/>
      <w:szCs w:val="20"/>
      <w:lang w:val="en-US" w:eastAsia="zh-CN"/>
    </w:rPr>
  </w:style>
  <w:style w:type="paragraph" w:customStyle="1" w:styleId="688">
    <w:name w:val="样式 正文缩进 + 五号 Char Char Char Char Char Char Char Char Char Char Char Char Char Char Char Char Char Char Char Char Char Char Char Char Char Char Char Char Char Char Char Char Char Char Char Char Char Char Char Char Char Char"/>
    <w:basedOn w:val="4"/>
    <w:uiPriority w:val="0"/>
    <w:pPr>
      <w:widowControl/>
      <w:overflowPunct w:val="0"/>
      <w:autoSpaceDE w:val="0"/>
      <w:autoSpaceDN w:val="0"/>
      <w:adjustRightInd w:val="0"/>
      <w:spacing w:line="240" w:lineRule="auto"/>
      <w:ind w:firstLine="420"/>
    </w:pPr>
    <w:rPr>
      <w:rFonts w:ascii="Times New Roman" w:hAnsi="Times New Roman" w:cs="Times New Roman"/>
      <w:spacing w:val="0"/>
      <w:kern w:val="0"/>
      <w:szCs w:val="24"/>
    </w:rPr>
  </w:style>
  <w:style w:type="paragraph" w:customStyle="1" w:styleId="689">
    <w:name w:val="参考文献-thesis"/>
    <w:basedOn w:val="1"/>
    <w:uiPriority w:val="0"/>
    <w:pPr>
      <w:overflowPunct w:val="0"/>
      <w:autoSpaceDE w:val="0"/>
      <w:autoSpaceDN w:val="0"/>
      <w:adjustRightInd w:val="0"/>
      <w:snapToGrid w:val="0"/>
      <w:spacing w:after="220"/>
      <w:ind w:left="431" w:hanging="431"/>
      <w:textAlignment w:val="baseline"/>
    </w:pPr>
    <w:rPr>
      <w:rFonts w:eastAsia="宋体"/>
      <w:kern w:val="0"/>
      <w:sz w:val="22"/>
      <w:szCs w:val="22"/>
      <w:u w:color="000000"/>
    </w:rPr>
  </w:style>
  <w:style w:type="paragraph" w:customStyle="1" w:styleId="690">
    <w:name w:val="样式 Char Char Char Char Char Char Char Char Char Char Char Char Char Char"/>
    <w:basedOn w:val="4"/>
    <w:uiPriority w:val="0"/>
    <w:pPr>
      <w:widowControl/>
      <w:overflowPunct w:val="0"/>
      <w:autoSpaceDE w:val="0"/>
      <w:autoSpaceDN w:val="0"/>
      <w:adjustRightInd w:val="0"/>
      <w:spacing w:line="240" w:lineRule="auto"/>
      <w:ind w:firstLine="491" w:firstLineChars="200"/>
      <w:textAlignment w:val="baseline"/>
    </w:pPr>
    <w:rPr>
      <w:rFonts w:ascii="Times New Roman" w:hAnsi="Times New Roman" w:cs="Times New Roman"/>
      <w:spacing w:val="0"/>
      <w:kern w:val="0"/>
      <w:szCs w:val="24"/>
    </w:rPr>
  </w:style>
  <w:style w:type="paragraph" w:customStyle="1" w:styleId="691">
    <w:name w:val="Char Char Char2 Char Char Char Char Char Char Char Char Char Char Char"/>
    <w:basedOn w:val="1"/>
    <w:uiPriority w:val="0"/>
    <w:pPr>
      <w:spacing w:before="20" w:beforeLines="20" w:line="440" w:lineRule="atLeast"/>
      <w:ind w:firstLine="200" w:firstLineChars="200"/>
    </w:pPr>
    <w:rPr>
      <w:rFonts w:eastAsia="宋体"/>
      <w:sz w:val="24"/>
      <w:szCs w:val="24"/>
    </w:rPr>
  </w:style>
  <w:style w:type="paragraph" w:customStyle="1" w:styleId="692">
    <w:name w:val="默认段落字体 Para Char Char Char Char Char Char Char Char Char Char"/>
    <w:basedOn w:val="1"/>
    <w:uiPriority w:val="0"/>
    <w:rPr>
      <w:rFonts w:eastAsia="宋体"/>
      <w:sz w:val="21"/>
      <w:szCs w:val="24"/>
    </w:rPr>
  </w:style>
  <w:style w:type="paragraph" w:customStyle="1" w:styleId="693">
    <w:name w:val="表格头1"/>
    <w:basedOn w:val="1"/>
    <w:uiPriority w:val="0"/>
    <w:pPr>
      <w:spacing w:before="60" w:line="360" w:lineRule="atLeast"/>
      <w:jc w:val="center"/>
    </w:pPr>
    <w:rPr>
      <w:rFonts w:eastAsia="宋体"/>
      <w:b/>
      <w:sz w:val="21"/>
      <w:szCs w:val="21"/>
    </w:rPr>
  </w:style>
  <w:style w:type="paragraph" w:customStyle="1" w:styleId="694">
    <w:name w:val="报批稿"/>
    <w:basedOn w:val="1"/>
    <w:uiPriority w:val="0"/>
    <w:pPr>
      <w:spacing w:line="600" w:lineRule="auto"/>
      <w:jc w:val="center"/>
    </w:pPr>
    <w:rPr>
      <w:rFonts w:eastAsia="隶书"/>
      <w:b/>
      <w:spacing w:val="30"/>
      <w:sz w:val="48"/>
    </w:rPr>
  </w:style>
  <w:style w:type="paragraph" w:customStyle="1" w:styleId="695">
    <w:name w:val="样式 正文001 + 首行缩进:  2 字符 行距: 固定值 22 磅"/>
    <w:basedOn w:val="162"/>
    <w:uiPriority w:val="0"/>
    <w:pPr>
      <w:snapToGrid w:val="0"/>
      <w:spacing w:line="440" w:lineRule="exact"/>
    </w:pPr>
    <w:rPr>
      <w:rFonts w:ascii="Arial" w:hAnsi="Arial" w:cs="宋体"/>
    </w:rPr>
  </w:style>
  <w:style w:type="paragraph" w:customStyle="1" w:styleId="696">
    <w:name w:val="正文报告"/>
    <w:basedOn w:val="1"/>
    <w:uiPriority w:val="0"/>
    <w:pPr>
      <w:tabs>
        <w:tab w:val="left" w:pos="510"/>
      </w:tabs>
      <w:adjustRightInd w:val="0"/>
      <w:spacing w:line="460" w:lineRule="exact"/>
      <w:ind w:firstLine="482"/>
      <w:textAlignment w:val="baseline"/>
    </w:pPr>
    <w:rPr>
      <w:rFonts w:eastAsia="宋体"/>
      <w:kern w:val="0"/>
      <w:sz w:val="24"/>
    </w:rPr>
  </w:style>
  <w:style w:type="paragraph" w:customStyle="1" w:styleId="697">
    <w:name w:val="Char Char Char3"/>
    <w:basedOn w:val="1"/>
    <w:uiPriority w:val="0"/>
    <w:pPr>
      <w:tabs>
        <w:tab w:val="left" w:pos="432"/>
      </w:tabs>
      <w:ind w:left="432" w:hanging="432"/>
    </w:pPr>
    <w:rPr>
      <w:rFonts w:ascii="Tahoma" w:hAnsi="Tahoma" w:eastAsia="宋体"/>
      <w:sz w:val="24"/>
    </w:rPr>
  </w:style>
  <w:style w:type="paragraph" w:customStyle="1" w:styleId="698">
    <w:name w:val="标题004"/>
    <w:basedOn w:val="162"/>
    <w:uiPriority w:val="0"/>
    <w:pPr>
      <w:ind w:firstLine="0"/>
      <w:outlineLvl w:val="3"/>
    </w:pPr>
    <w:rPr>
      <w:b/>
      <w:bCs/>
    </w:rPr>
  </w:style>
  <w:style w:type="paragraph" w:customStyle="1" w:styleId="699">
    <w:name w:val="默认段落字体 Para Char Char Char Char"/>
    <w:basedOn w:val="1"/>
    <w:uiPriority w:val="0"/>
    <w:rPr>
      <w:rFonts w:eastAsia="宋体"/>
      <w:sz w:val="24"/>
      <w:szCs w:val="24"/>
    </w:rPr>
  </w:style>
  <w:style w:type="paragraph" w:customStyle="1" w:styleId="700">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701">
    <w:name w:val="表格后文"/>
    <w:basedOn w:val="164"/>
    <w:uiPriority w:val="0"/>
    <w:pPr>
      <w:spacing w:before="300"/>
    </w:pPr>
    <w:rPr>
      <w:szCs w:val="24"/>
    </w:rPr>
  </w:style>
  <w:style w:type="paragraph" w:customStyle="1" w:styleId="702">
    <w:name w:val="保留正文"/>
    <w:basedOn w:val="1"/>
    <w:uiPriority w:val="0"/>
    <w:pPr>
      <w:overflowPunct w:val="0"/>
      <w:autoSpaceDE w:val="0"/>
      <w:autoSpaceDN w:val="0"/>
      <w:adjustRightInd w:val="0"/>
      <w:spacing w:before="60"/>
      <w:textAlignment w:val="baseline"/>
    </w:pPr>
    <w:rPr>
      <w:rFonts w:eastAsia="宋体"/>
      <w:kern w:val="0"/>
      <w:sz w:val="21"/>
    </w:rPr>
  </w:style>
  <w:style w:type="paragraph" w:customStyle="1" w:styleId="703">
    <w:name w:val="Table"/>
    <w:basedOn w:val="1"/>
    <w:uiPriority w:val="0"/>
    <w:pPr>
      <w:adjustRightInd w:val="0"/>
      <w:spacing w:line="480" w:lineRule="exact"/>
      <w:textAlignment w:val="baseline"/>
    </w:pPr>
    <w:rPr>
      <w:rFonts w:ascii="Arial" w:hAnsi="Arial" w:eastAsia="宋体"/>
      <w:kern w:val="0"/>
      <w:sz w:val="24"/>
    </w:rPr>
  </w:style>
  <w:style w:type="paragraph" w:customStyle="1" w:styleId="704">
    <w:name w:val="文4"/>
    <w:basedOn w:val="1"/>
    <w:uiPriority w:val="0"/>
    <w:pPr>
      <w:adjustRightInd w:val="0"/>
      <w:spacing w:line="500" w:lineRule="atLeast"/>
      <w:textAlignment w:val="baseline"/>
    </w:pPr>
    <w:rPr>
      <w:rFonts w:eastAsia="宋体"/>
      <w:kern w:val="0"/>
    </w:rPr>
  </w:style>
  <w:style w:type="paragraph" w:customStyle="1" w:styleId="705">
    <w:name w:val="Char Char1 Char Char Char Char Char Char Char Char Char Char Char Char Char Char Char Char Char Char Char Char1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06">
    <w:name w:val="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07">
    <w:name w:val="Char1 Char Char Char"/>
    <w:basedOn w:val="1"/>
    <w:uiPriority w:val="0"/>
    <w:rPr>
      <w:rFonts w:eastAsia="宋体"/>
      <w:sz w:val="21"/>
      <w:szCs w:val="24"/>
    </w:rPr>
  </w:style>
  <w:style w:type="paragraph" w:customStyle="1" w:styleId="708">
    <w:name w:val="样式 样式 正文1 + 段前: 0.1 行 + 段前: 0.1 行"/>
    <w:basedOn w:val="1"/>
    <w:uiPriority w:val="0"/>
    <w:pPr>
      <w:snapToGrid w:val="0"/>
      <w:spacing w:before="24" w:beforeLines="10" w:line="440" w:lineRule="atLeast"/>
      <w:ind w:firstLine="567"/>
    </w:pPr>
    <w:rPr>
      <w:rFonts w:eastAsia="宋体"/>
      <w:sz w:val="24"/>
    </w:rPr>
  </w:style>
  <w:style w:type="paragraph" w:customStyle="1" w:styleId="709">
    <w:name w:val="默认段落字体 Para Char Char Char Char Char Char Char"/>
    <w:basedOn w:val="1"/>
    <w:qFormat/>
    <w:uiPriority w:val="0"/>
    <w:pPr>
      <w:adjustRightInd w:val="0"/>
      <w:spacing w:line="360" w:lineRule="auto"/>
      <w:ind w:left="200" w:hanging="200" w:hangingChars="200"/>
      <w:textAlignment w:val="baseline"/>
    </w:pPr>
    <w:rPr>
      <w:rFonts w:eastAsia="宋体"/>
      <w:kern w:val="0"/>
      <w:sz w:val="24"/>
    </w:rPr>
  </w:style>
  <w:style w:type="paragraph" w:customStyle="1" w:styleId="710">
    <w:name w:val="Char Char Char Char Char Char Char Char Char Char Char Char Char1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11">
    <w:name w:val="样式 小四 首行缩进:  24 磅 行距: 多倍行距 1.25 字行"/>
    <w:basedOn w:val="1"/>
    <w:uiPriority w:val="0"/>
    <w:pPr>
      <w:adjustRightInd w:val="0"/>
      <w:spacing w:line="440" w:lineRule="exact"/>
      <w:ind w:firstLine="480"/>
      <w:textAlignment w:val="baseline"/>
    </w:pPr>
    <w:rPr>
      <w:rFonts w:eastAsia="宋体" w:cs="宋体"/>
      <w:kern w:val="0"/>
      <w:sz w:val="24"/>
    </w:rPr>
  </w:style>
  <w:style w:type="paragraph" w:customStyle="1" w:styleId="712">
    <w:name w:val="样式 正文文本正文文字 Char正文文字Body Text 1正文文字1表标body textBody Text ..."/>
    <w:basedOn w:val="33"/>
    <w:link w:val="2126"/>
    <w:qFormat/>
    <w:uiPriority w:val="0"/>
    <w:pPr>
      <w:spacing w:after="0"/>
      <w:ind w:firstLine="482"/>
    </w:pPr>
    <w:rPr>
      <w:rFonts w:ascii="Arial" w:hAnsi="Arial" w:eastAsia="宋体" w:cs="宋体"/>
      <w:spacing w:val="10"/>
      <w:sz w:val="24"/>
    </w:rPr>
  </w:style>
  <w:style w:type="paragraph" w:customStyle="1" w:styleId="713">
    <w:name w:val="框图"/>
    <w:basedOn w:val="1"/>
    <w:uiPriority w:val="0"/>
    <w:pPr>
      <w:jc w:val="center"/>
    </w:pPr>
    <w:rPr>
      <w:rFonts w:eastAsia="宋体"/>
      <w:color w:val="FF0000"/>
      <w:sz w:val="21"/>
      <w:szCs w:val="21"/>
    </w:rPr>
  </w:style>
  <w:style w:type="paragraph" w:customStyle="1" w:styleId="714">
    <w:name w:val="一级标题"/>
    <w:basedOn w:val="1"/>
    <w:link w:val="1661"/>
    <w:uiPriority w:val="0"/>
    <w:pPr>
      <w:spacing w:before="60" w:line="460" w:lineRule="exact"/>
      <w:outlineLvl w:val="0"/>
    </w:pPr>
    <w:rPr>
      <w:rFonts w:eastAsia="宋体"/>
      <w:b/>
      <w:sz w:val="32"/>
      <w:szCs w:val="24"/>
    </w:rPr>
  </w:style>
  <w:style w:type="paragraph" w:customStyle="1" w:styleId="715">
    <w:name w:val="正文02"/>
    <w:basedOn w:val="1"/>
    <w:uiPriority w:val="0"/>
    <w:pPr>
      <w:spacing w:before="60" w:line="460" w:lineRule="exact"/>
      <w:jc w:val="center"/>
    </w:pPr>
    <w:rPr>
      <w:rFonts w:eastAsia="宋体"/>
      <w:sz w:val="24"/>
    </w:rPr>
  </w:style>
  <w:style w:type="paragraph" w:customStyle="1" w:styleId="716">
    <w:name w:val="Date1"/>
    <w:basedOn w:val="1"/>
    <w:next w:val="1"/>
    <w:uiPriority w:val="0"/>
    <w:pPr>
      <w:adjustRightInd w:val="0"/>
      <w:textAlignment w:val="baseline"/>
    </w:pPr>
    <w:rPr>
      <w:rFonts w:eastAsia="宋体"/>
      <w:sz w:val="21"/>
    </w:rPr>
  </w:style>
  <w:style w:type="paragraph" w:customStyle="1" w:styleId="717">
    <w:name w:val="表格下方文字"/>
    <w:basedOn w:val="1"/>
    <w:uiPriority w:val="0"/>
    <w:pPr>
      <w:adjustRightInd w:val="0"/>
      <w:snapToGrid w:val="0"/>
      <w:spacing w:before="400" w:line="460" w:lineRule="exact"/>
      <w:ind w:firstLine="200" w:firstLineChars="200"/>
    </w:pPr>
    <w:rPr>
      <w:rFonts w:eastAsia="宋体"/>
      <w:sz w:val="24"/>
      <w:szCs w:val="24"/>
    </w:rPr>
  </w:style>
  <w:style w:type="paragraph" w:customStyle="1" w:styleId="718">
    <w:name w:val="注解"/>
    <w:basedOn w:val="1"/>
    <w:uiPriority w:val="0"/>
    <w:pPr>
      <w:spacing w:before="60" w:line="360" w:lineRule="exact"/>
      <w:ind w:firstLine="200" w:firstLineChars="200"/>
    </w:pPr>
    <w:rPr>
      <w:rFonts w:eastAsia="宋体"/>
      <w:sz w:val="21"/>
      <w:szCs w:val="24"/>
    </w:rPr>
  </w:style>
  <w:style w:type="paragraph" w:customStyle="1" w:styleId="719">
    <w:name w:val="表格后正文"/>
    <w:basedOn w:val="1"/>
    <w:uiPriority w:val="0"/>
    <w:pPr>
      <w:spacing w:before="260" w:line="460" w:lineRule="exact"/>
      <w:ind w:firstLine="200" w:firstLineChars="200"/>
    </w:pPr>
    <w:rPr>
      <w:rFonts w:eastAsia="宋体"/>
      <w:sz w:val="24"/>
      <w:szCs w:val="24"/>
    </w:rPr>
  </w:style>
  <w:style w:type="paragraph" w:customStyle="1" w:styleId="720">
    <w:name w:val="样式 表格内容 + 居中 首行缩进:  0.86 厘米"/>
    <w:basedOn w:val="353"/>
    <w:uiPriority w:val="0"/>
    <w:pPr>
      <w:widowControl/>
      <w:overflowPunct w:val="0"/>
      <w:snapToGrid w:val="0"/>
      <w:spacing w:line="240" w:lineRule="auto"/>
      <w:textAlignment w:val="baseline"/>
    </w:pPr>
    <w:rPr>
      <w:rFonts w:ascii="Arial" w:hAnsi="Arial" w:eastAsia="仿宋_GB2312" w:cs="宋体"/>
      <w:sz w:val="22"/>
      <w:szCs w:val="20"/>
      <w:lang w:val="en-US" w:eastAsia="zh-CN"/>
    </w:rPr>
  </w:style>
  <w:style w:type="paragraph" w:customStyle="1" w:styleId="721">
    <w:name w:val="标题5"/>
    <w:basedOn w:val="7"/>
    <w:uiPriority w:val="0"/>
    <w:pPr>
      <w:widowControl/>
      <w:tabs>
        <w:tab w:val="left" w:pos="360"/>
        <w:tab w:val="left" w:pos="1490"/>
        <w:tab w:val="clear" w:pos="1008"/>
      </w:tabs>
      <w:spacing w:before="0" w:after="0" w:line="240" w:lineRule="auto"/>
      <w:ind w:left="1008" w:firstLine="485" w:firstLineChars="200"/>
    </w:pPr>
    <w:rPr>
      <w:rFonts w:ascii="Arial" w:hAnsi="Arial" w:eastAsia="宋体"/>
      <w:b w:val="0"/>
      <w:kern w:val="24"/>
      <w:sz w:val="24"/>
    </w:rPr>
  </w:style>
  <w:style w:type="paragraph" w:customStyle="1" w:styleId="722">
    <w:name w:val="样式 样式 标题 3 + Times New Roman + 段前: 1 行 段后: 0.5 行"/>
    <w:basedOn w:val="1"/>
    <w:uiPriority w:val="0"/>
    <w:pPr>
      <w:keepNext/>
      <w:keepLines/>
      <w:tabs>
        <w:tab w:val="left" w:pos="724"/>
        <w:tab w:val="left" w:pos="804"/>
      </w:tabs>
      <w:spacing w:before="100" w:beforeLines="100" w:after="50" w:afterLines="50"/>
      <w:outlineLvl w:val="2"/>
    </w:pPr>
    <w:rPr>
      <w:rFonts w:eastAsia="宋体" w:cs="宋体"/>
      <w:b/>
      <w:bCs/>
    </w:rPr>
  </w:style>
  <w:style w:type="paragraph" w:customStyle="1" w:styleId="723">
    <w:name w:val="样式 楷体_GB2312 居中"/>
    <w:basedOn w:val="1"/>
    <w:uiPriority w:val="0"/>
    <w:pPr>
      <w:spacing w:line="360" w:lineRule="auto"/>
      <w:jc w:val="center"/>
    </w:pPr>
    <w:rPr>
      <w:rFonts w:hint="eastAsia" w:ascii="楷体_GB2312" w:eastAsia="楷体_GB2312"/>
      <w:sz w:val="21"/>
    </w:rPr>
  </w:style>
  <w:style w:type="paragraph" w:customStyle="1" w:styleId="724">
    <w:name w:val="aaa"/>
    <w:basedOn w:val="1"/>
    <w:uiPriority w:val="0"/>
    <w:pPr>
      <w:adjustRightInd w:val="0"/>
    </w:pPr>
    <w:rPr>
      <w:rFonts w:hint="eastAsia" w:ascii="仿宋_GB2312"/>
      <w:kern w:val="0"/>
      <w:sz w:val="24"/>
    </w:rPr>
  </w:style>
  <w:style w:type="paragraph" w:customStyle="1" w:styleId="725">
    <w:name w:val="图名"/>
    <w:basedOn w:val="1"/>
    <w:uiPriority w:val="0"/>
    <w:pPr>
      <w:spacing w:before="20" w:after="20" w:line="300" w:lineRule="auto"/>
      <w:ind w:firstLine="480" w:firstLineChars="200"/>
      <w:jc w:val="center"/>
    </w:pPr>
    <w:rPr>
      <w:rFonts w:ascii="Arial" w:hAnsi="Arial" w:eastAsia="楷体_GB2312"/>
      <w:b/>
      <w:bCs/>
      <w:sz w:val="24"/>
      <w:szCs w:val="24"/>
    </w:rPr>
  </w:style>
  <w:style w:type="paragraph" w:customStyle="1" w:styleId="726">
    <w:name w:val="样式 标题 1 + 小三"/>
    <w:basedOn w:val="2"/>
    <w:uiPriority w:val="0"/>
    <w:pPr>
      <w:pageBreakBefore w:val="0"/>
      <w:tabs>
        <w:tab w:val="left" w:pos="425"/>
        <w:tab w:val="clear" w:pos="1080"/>
      </w:tabs>
      <w:spacing w:before="200" w:after="160" w:line="480" w:lineRule="auto"/>
      <w:jc w:val="both"/>
    </w:pPr>
    <w:rPr>
      <w:rFonts w:ascii="Arial" w:hAnsi="Arial"/>
      <w:bCs/>
      <w:sz w:val="30"/>
      <w:szCs w:val="30"/>
    </w:rPr>
  </w:style>
  <w:style w:type="paragraph" w:customStyle="1" w:styleId="727">
    <w:name w:val="答复:"/>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8">
    <w:name w:val="样式 正文1 + 段前: 0.1 行 Char"/>
    <w:basedOn w:val="1"/>
    <w:uiPriority w:val="0"/>
    <w:pPr>
      <w:snapToGrid w:val="0"/>
      <w:spacing w:before="31" w:beforeLines="10" w:line="440" w:lineRule="atLeast"/>
      <w:ind w:firstLine="624"/>
    </w:pPr>
    <w:rPr>
      <w:rFonts w:eastAsia="宋体"/>
      <w:sz w:val="24"/>
    </w:rPr>
  </w:style>
  <w:style w:type="paragraph" w:customStyle="1" w:styleId="729">
    <w:name w:val="正文1 Char"/>
    <w:basedOn w:val="1"/>
    <w:uiPriority w:val="0"/>
    <w:pPr>
      <w:snapToGrid w:val="0"/>
      <w:spacing w:before="10" w:beforeLines="10" w:line="440" w:lineRule="atLeast"/>
      <w:ind w:firstLine="624"/>
    </w:pPr>
    <w:rPr>
      <w:rFonts w:eastAsia="宋体"/>
      <w:sz w:val="24"/>
      <w:szCs w:val="24"/>
    </w:rPr>
  </w:style>
  <w:style w:type="paragraph" w:customStyle="1" w:styleId="730">
    <w:name w:val="样式 正文1 + 段前: 0.1 行1"/>
    <w:basedOn w:val="540"/>
    <w:uiPriority w:val="0"/>
    <w:pPr>
      <w:adjustRightInd/>
      <w:snapToGrid w:val="0"/>
      <w:spacing w:before="10" w:beforeLines="10" w:line="440" w:lineRule="atLeast"/>
      <w:ind w:firstLine="510"/>
      <w:jc w:val="both"/>
      <w:textAlignment w:val="auto"/>
    </w:pPr>
    <w:rPr>
      <w:rFonts w:ascii="Times New Roman" w:cs="宋体"/>
      <w:kern w:val="2"/>
    </w:rPr>
  </w:style>
  <w:style w:type="paragraph" w:customStyle="1" w:styleId="731">
    <w:name w:val="Char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32">
    <w:name w:val="样式 四号 首行缩进:  2 字符"/>
    <w:basedOn w:val="1"/>
    <w:uiPriority w:val="0"/>
    <w:pPr>
      <w:spacing w:line="480" w:lineRule="atLeast"/>
      <w:ind w:firstLine="200" w:firstLineChars="200"/>
    </w:pPr>
    <w:rPr>
      <w:rFonts w:eastAsia="宋体"/>
      <w:sz w:val="24"/>
      <w:szCs w:val="24"/>
    </w:rPr>
  </w:style>
  <w:style w:type="paragraph" w:customStyle="1" w:styleId="733">
    <w:name w:val="正文新 Char"/>
    <w:basedOn w:val="1"/>
    <w:uiPriority w:val="0"/>
    <w:pPr>
      <w:spacing w:line="360" w:lineRule="auto"/>
      <w:ind w:firstLine="480" w:firstLineChars="200"/>
    </w:pPr>
    <w:rPr>
      <w:rFonts w:eastAsia="宋体"/>
      <w:sz w:val="24"/>
    </w:rPr>
  </w:style>
  <w:style w:type="paragraph" w:customStyle="1" w:styleId="734">
    <w:name w:val="字元 字元2"/>
    <w:basedOn w:val="1"/>
    <w:uiPriority w:val="0"/>
    <w:rPr>
      <w:rFonts w:eastAsia="宋体"/>
      <w:sz w:val="21"/>
      <w:szCs w:val="21"/>
    </w:rPr>
  </w:style>
  <w:style w:type="paragraph" w:customStyle="1" w:styleId="735">
    <w:name w:val="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36">
    <w:name w:val="Char Char Char2 Char Char Char Char Char Char Char Char Char Char Char Char Char Char Char Char Char Char"/>
    <w:basedOn w:val="1"/>
    <w:uiPriority w:val="0"/>
    <w:pPr>
      <w:spacing w:before="20" w:beforeLines="20" w:line="440" w:lineRule="atLeast"/>
      <w:ind w:firstLine="200" w:firstLineChars="200"/>
    </w:pPr>
    <w:rPr>
      <w:rFonts w:eastAsia="宋体"/>
      <w:sz w:val="24"/>
      <w:szCs w:val="24"/>
    </w:rPr>
  </w:style>
  <w:style w:type="paragraph" w:customStyle="1" w:styleId="737">
    <w:name w:val="Char Char Char2 Char Char Char Char Char Char Char Char Char Char Char Char Char Char Char"/>
    <w:basedOn w:val="1"/>
    <w:uiPriority w:val="0"/>
    <w:pPr>
      <w:spacing w:before="20" w:beforeLines="20" w:line="440" w:lineRule="atLeast"/>
      <w:ind w:firstLine="200" w:firstLineChars="200"/>
    </w:pPr>
    <w:rPr>
      <w:rFonts w:eastAsia="宋体"/>
      <w:sz w:val="24"/>
      <w:szCs w:val="24"/>
    </w:rPr>
  </w:style>
  <w:style w:type="paragraph" w:customStyle="1" w:styleId="738">
    <w:name w:val="样式 样式 3级标题 + 段前: 3 磅 + Arial 非加粗 居中"/>
    <w:basedOn w:val="1"/>
    <w:uiPriority w:val="0"/>
    <w:pPr>
      <w:adjustRightInd w:val="0"/>
      <w:snapToGrid w:val="0"/>
      <w:spacing w:before="60" w:line="460" w:lineRule="exact"/>
      <w:jc w:val="center"/>
    </w:pPr>
    <w:rPr>
      <w:rFonts w:ascii="Arial" w:hAnsi="Arial" w:eastAsia="宋体" w:cs="宋体"/>
      <w:sz w:val="24"/>
    </w:rPr>
  </w:style>
  <w:style w:type="paragraph" w:customStyle="1" w:styleId="739">
    <w:name w:val="样式 样式 3级标题 + 段前: 3 磅 + Arial 非加粗"/>
    <w:basedOn w:val="1"/>
    <w:uiPriority w:val="0"/>
    <w:pPr>
      <w:adjustRightInd w:val="0"/>
      <w:snapToGrid w:val="0"/>
      <w:spacing w:before="60" w:line="460" w:lineRule="exact"/>
    </w:pPr>
    <w:rPr>
      <w:rFonts w:ascii="Arial" w:hAnsi="Arial" w:eastAsia="宋体" w:cs="宋体"/>
      <w:sz w:val="24"/>
    </w:rPr>
  </w:style>
  <w:style w:type="paragraph" w:customStyle="1" w:styleId="740">
    <w:name w:val="样式 3级标题 + 段前: 3 磅"/>
    <w:basedOn w:val="290"/>
    <w:uiPriority w:val="0"/>
    <w:pPr>
      <w:spacing w:before="60"/>
    </w:pPr>
    <w:rPr>
      <w:rFonts w:cs="宋体"/>
      <w:bCs/>
      <w:color w:val="auto"/>
      <w:szCs w:val="20"/>
    </w:rPr>
  </w:style>
  <w:style w:type="paragraph" w:customStyle="1" w:styleId="741">
    <w:name w:val="Char Char Char Char Char Char Char Char Char Char Char Char Char Char Char Char Char Char Char Char Char Char Char Char Char"/>
    <w:basedOn w:val="1"/>
    <w:next w:val="1"/>
    <w:uiPriority w:val="0"/>
    <w:rPr>
      <w:rFonts w:eastAsia="宋体"/>
      <w:sz w:val="21"/>
      <w:szCs w:val="24"/>
    </w:rPr>
  </w:style>
  <w:style w:type="paragraph" w:customStyle="1" w:styleId="742">
    <w:name w:val="Char Char Char Char Char Char Char Char Char Char Char Char Char Char"/>
    <w:basedOn w:val="1"/>
    <w:uiPriority w:val="0"/>
    <w:rPr>
      <w:rFonts w:eastAsia="宋体"/>
      <w:sz w:val="24"/>
      <w:szCs w:val="24"/>
    </w:rPr>
  </w:style>
  <w:style w:type="paragraph" w:customStyle="1" w:styleId="743">
    <w:name w:val="Char Char Char Char Char Char Char1 Char Char Char Char Char Char Char"/>
    <w:basedOn w:val="1"/>
    <w:uiPriority w:val="0"/>
    <w:pPr>
      <w:tabs>
        <w:tab w:val="left" w:pos="432"/>
      </w:tabs>
      <w:ind w:left="432" w:hanging="432"/>
    </w:pPr>
    <w:rPr>
      <w:rFonts w:ascii="Tahoma" w:hAnsi="Tahoma" w:eastAsia="宋体"/>
      <w:sz w:val="24"/>
    </w:rPr>
  </w:style>
  <w:style w:type="paragraph" w:customStyle="1" w:styleId="744">
    <w:name w:val="表目录"/>
    <w:basedOn w:val="1"/>
    <w:uiPriority w:val="0"/>
    <w:pPr>
      <w:adjustRightInd w:val="0"/>
      <w:snapToGrid w:val="0"/>
      <w:spacing w:before="50" w:beforeLines="50"/>
      <w:jc w:val="center"/>
    </w:pPr>
    <w:rPr>
      <w:rFonts w:ascii="宋体" w:eastAsia="宋体"/>
      <w:sz w:val="21"/>
      <w:szCs w:val="24"/>
    </w:rPr>
  </w:style>
  <w:style w:type="paragraph" w:customStyle="1" w:styleId="745">
    <w:name w:val="Char Char Char Char Char Char Char Char Char Char Char Char Char1 Char Char Char Char Char Char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46">
    <w:name w:val="标题111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47">
    <w:name w:val="文1"/>
    <w:basedOn w:val="1"/>
    <w:uiPriority w:val="0"/>
    <w:pPr>
      <w:snapToGrid w:val="0"/>
      <w:spacing w:line="300" w:lineRule="auto"/>
      <w:ind w:firstLine="480"/>
    </w:pPr>
    <w:rPr>
      <w:rFonts w:ascii="幼圆" w:eastAsia="幼圆"/>
      <w:sz w:val="24"/>
    </w:rPr>
  </w:style>
  <w:style w:type="paragraph" w:customStyle="1" w:styleId="748">
    <w:name w:val="Char Char Char Char Char Char Char Char Char Char Char Char Char Char2 Char Char Char Char"/>
    <w:basedOn w:val="1"/>
    <w:uiPriority w:val="0"/>
    <w:rPr>
      <w:rFonts w:eastAsia="宋体"/>
      <w:sz w:val="21"/>
      <w:szCs w:val="24"/>
    </w:rPr>
  </w:style>
  <w:style w:type="paragraph" w:customStyle="1" w:styleId="749">
    <w:name w:val="正文000000000000"/>
    <w:basedOn w:val="1"/>
    <w:uiPriority w:val="0"/>
    <w:pPr>
      <w:adjustRightInd w:val="0"/>
      <w:snapToGrid w:val="0"/>
      <w:spacing w:line="440" w:lineRule="exact"/>
      <w:ind w:firstLine="480" w:firstLineChars="200"/>
    </w:pPr>
    <w:rPr>
      <w:rFonts w:ascii="仿宋_GB2312" w:hAnsi="Arial" w:cs="Arial"/>
      <w:b/>
      <w:sz w:val="24"/>
    </w:rPr>
  </w:style>
  <w:style w:type="paragraph" w:customStyle="1" w:styleId="750">
    <w:name w:val="样式 标题 4款标题1.1.1.1标题 4 Char Char标题 4 Char四表格1目H4H41L4Mi...1"/>
    <w:basedOn w:val="6"/>
    <w:link w:val="2113"/>
    <w:uiPriority w:val="0"/>
    <w:pPr>
      <w:spacing w:line="360" w:lineRule="auto"/>
      <w:ind w:left="0" w:firstLine="0"/>
    </w:pPr>
    <w:rPr>
      <w:rFonts w:cs="宋体"/>
      <w:bCs/>
    </w:rPr>
  </w:style>
  <w:style w:type="table" w:customStyle="1" w:styleId="751">
    <w:name w:val="毛的表格"/>
    <w:basedOn w:val="87"/>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tcPr>
      <w:vAlign w:val="center"/>
    </w:tcPr>
  </w:style>
  <w:style w:type="table" w:customStyle="1" w:styleId="752">
    <w:name w:val="网格型1"/>
    <w:basedOn w:val="87"/>
    <w:uiPriority w:val="0"/>
    <w:pPr>
      <w:widowControl w:val="0"/>
      <w:jc w:val="both"/>
    </w:pPr>
    <w:rPr>
      <w:rFonts w:ascii="Bodoni MT" w:hAnsi="Bodoni MT" w:cs="Bodoni M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53">
    <w:name w:val="正文缩进 Char2"/>
    <w:qFormat/>
    <w:uiPriority w:val="0"/>
    <w:rPr>
      <w:rFonts w:ascii="Arial" w:hAnsi="Arial" w:eastAsia="宋体" w:cs="Arial"/>
      <w:spacing w:val="10"/>
      <w:kern w:val="2"/>
      <w:sz w:val="24"/>
      <w:lang w:val="en-US" w:eastAsia="zh-CN" w:bidi="ar-SA"/>
    </w:rPr>
  </w:style>
  <w:style w:type="paragraph" w:customStyle="1" w:styleId="754">
    <w:name w:val="生态表格正文"/>
    <w:basedOn w:val="1"/>
    <w:uiPriority w:val="0"/>
    <w:pPr>
      <w:widowControl/>
      <w:spacing w:line="400" w:lineRule="exact"/>
      <w:jc w:val="center"/>
    </w:pPr>
    <w:rPr>
      <w:kern w:val="0"/>
      <w:sz w:val="24"/>
      <w:szCs w:val="21"/>
    </w:rPr>
  </w:style>
  <w:style w:type="paragraph" w:customStyle="1" w:styleId="755">
    <w:name w:val="样式 标题 4款标题1.1.1.1标题 4 Char Char四表格1目H4H41L4Minor Headin..."/>
    <w:basedOn w:val="6"/>
    <w:link w:val="756"/>
    <w:uiPriority w:val="0"/>
    <w:pPr>
      <w:spacing w:line="360" w:lineRule="auto"/>
      <w:ind w:left="5387" w:firstLine="0"/>
    </w:pPr>
    <w:rPr>
      <w:rFonts w:eastAsia="宋体"/>
      <w:bCs/>
      <w:kern w:val="0"/>
      <w:szCs w:val="28"/>
    </w:rPr>
  </w:style>
  <w:style w:type="character" w:customStyle="1" w:styleId="756">
    <w:name w:val="样式 标题 4款标题1.1.1.1标题 4 Char Char四表格1目H4H41L4Minor Headin... Char"/>
    <w:link w:val="755"/>
    <w:uiPriority w:val="0"/>
    <w:rPr>
      <w:rFonts w:ascii="Arial" w:hAnsi="Arial"/>
      <w:b/>
      <w:bCs/>
      <w:sz w:val="24"/>
      <w:szCs w:val="28"/>
      <w:lang w:val="zh-CN" w:eastAsia="zh-CN"/>
    </w:rPr>
  </w:style>
  <w:style w:type="character" w:customStyle="1" w:styleId="757">
    <w:name w:val="xl26 Char"/>
    <w:link w:val="328"/>
    <w:uiPriority w:val="0"/>
    <w:rPr>
      <w:rFonts w:ascii="宋体" w:hAnsi="宋体"/>
      <w:sz w:val="21"/>
      <w:szCs w:val="21"/>
    </w:rPr>
  </w:style>
  <w:style w:type="paragraph" w:customStyle="1" w:styleId="758">
    <w:name w:val="样式 标题 2标题 2 Char标题节标题节 Char Char标题 2 Char Char Char标题 2 Cha..."/>
    <w:basedOn w:val="3"/>
    <w:link w:val="1756"/>
    <w:uiPriority w:val="0"/>
    <w:pPr>
      <w:numPr>
        <w:ilvl w:val="0"/>
        <w:numId w:val="0"/>
      </w:numPr>
      <w:ind w:left="567" w:hanging="567"/>
    </w:pPr>
    <w:rPr>
      <w:rFonts w:ascii="Arial"/>
      <w:color w:val="000000"/>
    </w:rPr>
  </w:style>
  <w:style w:type="character" w:customStyle="1" w:styleId="759">
    <w:name w:val="标题 2 Char1"/>
    <w:uiPriority w:val="0"/>
    <w:rPr>
      <w:rFonts w:ascii="黑体" w:hAnsi="Arial" w:eastAsia="黑体"/>
      <w:kern w:val="2"/>
      <w:sz w:val="28"/>
      <w:lang w:val="zh-CN" w:eastAsia="zh-CN"/>
    </w:rPr>
  </w:style>
  <w:style w:type="paragraph" w:customStyle="1" w:styleId="760">
    <w:name w:val="样式 Times New Roman 行距: 1.5 倍行距"/>
    <w:basedOn w:val="1"/>
    <w:link w:val="762"/>
    <w:uiPriority w:val="0"/>
    <w:pPr>
      <w:spacing w:line="360" w:lineRule="auto"/>
      <w:ind w:firstLine="480" w:firstLineChars="200"/>
    </w:pPr>
    <w:rPr>
      <w:rFonts w:ascii="Arial" w:hAnsi="Arial" w:eastAsia="宋体"/>
      <w:kern w:val="0"/>
      <w:sz w:val="24"/>
      <w:lang w:val="zh-CN" w:eastAsia="zh-CN"/>
    </w:rPr>
  </w:style>
  <w:style w:type="paragraph" w:customStyle="1" w:styleId="761">
    <w:name w:val="样式 标题 2二级标题标题 2 Char1标题 2 CharChina2?? 23号宋体居中行距2倍三号宋体居中行..."/>
    <w:basedOn w:val="3"/>
    <w:uiPriority w:val="0"/>
    <w:pPr>
      <w:tabs>
        <w:tab w:val="left" w:pos="0"/>
        <w:tab w:val="clear" w:pos="567"/>
      </w:tabs>
      <w:adjustRightInd w:val="0"/>
      <w:snapToGrid w:val="0"/>
      <w:spacing w:before="240" w:after="120" w:line="360" w:lineRule="auto"/>
      <w:ind w:left="0" w:firstLine="0"/>
    </w:pPr>
    <w:rPr>
      <w:rFonts w:ascii="Times New Roman" w:hAnsi="Times New Roman" w:eastAsia="宋体"/>
      <w:b/>
      <w:bCs/>
      <w:kern w:val="0"/>
      <w:sz w:val="32"/>
      <w:szCs w:val="32"/>
    </w:rPr>
  </w:style>
  <w:style w:type="character" w:customStyle="1" w:styleId="762">
    <w:name w:val="样式 Times New Roman 行距: 1.5 倍行距 Char"/>
    <w:link w:val="760"/>
    <w:uiPriority w:val="0"/>
    <w:rPr>
      <w:rFonts w:ascii="Arial" w:hAnsi="Arial" w:cs="宋体"/>
      <w:sz w:val="24"/>
    </w:rPr>
  </w:style>
  <w:style w:type="character" w:customStyle="1" w:styleId="763">
    <w:name w:val="表格正文 Char Char"/>
    <w:uiPriority w:val="0"/>
    <w:rPr>
      <w:rFonts w:eastAsia="宋体"/>
      <w:kern w:val="2"/>
      <w:sz w:val="21"/>
      <w:szCs w:val="24"/>
      <w:lang w:val="en-US" w:eastAsia="zh-CN" w:bidi="ar-SA"/>
    </w:rPr>
  </w:style>
  <w:style w:type="character" w:customStyle="1" w:styleId="764">
    <w:name w:val="标题 3 Char2"/>
    <w:uiPriority w:val="0"/>
    <w:rPr>
      <w:rFonts w:ascii="仿宋_GB2312" w:eastAsia="仿宋_GB2312"/>
      <w:b/>
      <w:bCs/>
      <w:sz w:val="24"/>
      <w:lang w:val="zh-CN" w:eastAsia="zh-CN"/>
    </w:rPr>
  </w:style>
  <w:style w:type="character" w:customStyle="1" w:styleId="765">
    <w:name w:val="Char Char Char2"/>
    <w:locked/>
    <w:uiPriority w:val="0"/>
    <w:rPr>
      <w:rFonts w:eastAsia="宋体"/>
      <w:sz w:val="18"/>
      <w:lang w:val="en-US" w:eastAsia="zh-CN" w:bidi="ar-SA"/>
    </w:rPr>
  </w:style>
  <w:style w:type="character" w:customStyle="1" w:styleId="766">
    <w:name w:val="bl4"/>
    <w:basedOn w:val="132"/>
    <w:uiPriority w:val="0"/>
  </w:style>
  <w:style w:type="character" w:customStyle="1" w:styleId="767">
    <w:name w:val="批注文字 字符1"/>
    <w:link w:val="27"/>
    <w:qFormat/>
    <w:uiPriority w:val="99"/>
    <w:rPr>
      <w:rFonts w:eastAsia="仿宋_GB2312"/>
      <w:kern w:val="2"/>
      <w:sz w:val="28"/>
    </w:rPr>
  </w:style>
  <w:style w:type="character" w:customStyle="1" w:styleId="768">
    <w:name w:val="列表 字符"/>
    <w:link w:val="66"/>
    <w:uiPriority w:val="0"/>
    <w:rPr>
      <w:rFonts w:eastAsia="仿宋_GB2312"/>
      <w:kern w:val="2"/>
      <w:sz w:val="28"/>
    </w:rPr>
  </w:style>
  <w:style w:type="character" w:customStyle="1" w:styleId="769">
    <w:name w:val="居中正文 Char"/>
    <w:link w:val="429"/>
    <w:uiPriority w:val="0"/>
    <w:rPr>
      <w:rFonts w:ascii="宋体"/>
      <w:kern w:val="28"/>
      <w:sz w:val="24"/>
    </w:rPr>
  </w:style>
  <w:style w:type="paragraph" w:customStyle="1" w:styleId="770">
    <w:name w:val="表格中"/>
    <w:basedOn w:val="1"/>
    <w:link w:val="771"/>
    <w:qFormat/>
    <w:uiPriority w:val="0"/>
    <w:pPr>
      <w:widowControl/>
      <w:spacing w:line="360" w:lineRule="exact"/>
      <w:jc w:val="center"/>
    </w:pPr>
    <w:rPr>
      <w:rFonts w:ascii="Arial" w:hAnsi="Arial" w:eastAsia="宋体"/>
      <w:sz w:val="21"/>
      <w:szCs w:val="21"/>
      <w:lang w:val="zh-CN" w:eastAsia="zh-CN"/>
    </w:rPr>
  </w:style>
  <w:style w:type="character" w:customStyle="1" w:styleId="771">
    <w:name w:val="表格中 Char"/>
    <w:link w:val="770"/>
    <w:uiPriority w:val="0"/>
    <w:rPr>
      <w:rFonts w:ascii="Arial" w:hAnsi="Arial" w:cs="Arial"/>
      <w:kern w:val="2"/>
      <w:sz w:val="21"/>
      <w:szCs w:val="21"/>
    </w:rPr>
  </w:style>
  <w:style w:type="character" w:customStyle="1" w:styleId="772">
    <w:name w:val="标题 1 Char1"/>
    <w:uiPriority w:val="0"/>
    <w:rPr>
      <w:b/>
      <w:color w:val="000000"/>
      <w:kern w:val="44"/>
      <w:sz w:val="36"/>
      <w:lang w:val="zh-CN" w:eastAsia="zh-CN"/>
    </w:rPr>
  </w:style>
  <w:style w:type="character" w:customStyle="1" w:styleId="773">
    <w:name w:val="标题 4 Char1"/>
    <w:uiPriority w:val="0"/>
    <w:rPr>
      <w:rFonts w:ascii="Arial" w:hAnsi="Arial" w:eastAsia="仿宋_GB2312" w:cs="Arial"/>
      <w:b/>
      <w:kern w:val="2"/>
      <w:sz w:val="24"/>
      <w:szCs w:val="24"/>
      <w:u w:color="000000"/>
      <w:lang w:val="zh-CN" w:eastAsia="zh-CN"/>
    </w:rPr>
  </w:style>
  <w:style w:type="character" w:customStyle="1" w:styleId="774">
    <w:name w:val="页眉 Char1"/>
    <w:uiPriority w:val="0"/>
    <w:rPr>
      <w:rFonts w:eastAsia="仿宋_GB2312"/>
      <w:kern w:val="2"/>
      <w:sz w:val="18"/>
      <w:lang w:val="en-US" w:eastAsia="zh-CN" w:bidi="ar-SA"/>
    </w:rPr>
  </w:style>
  <w:style w:type="paragraph" w:customStyle="1" w:styleId="775">
    <w:name w:val="已访问的超级链接"/>
    <w:uiPriority w:val="0"/>
    <w:pPr>
      <w:widowControl w:val="0"/>
      <w:jc w:val="both"/>
    </w:pPr>
    <w:rPr>
      <w:rFonts w:ascii="Times New Roman" w:hAnsi="Times New Roman" w:eastAsia="仿宋_GB2312" w:cs="Times New Roman"/>
      <w:kern w:val="2"/>
      <w:sz w:val="28"/>
      <w:lang w:val="en-US" w:eastAsia="zh-CN" w:bidi="ar-SA"/>
    </w:rPr>
  </w:style>
  <w:style w:type="character" w:customStyle="1" w:styleId="776">
    <w:name w:val="正文首行缩进 Char1"/>
    <w:uiPriority w:val="0"/>
    <w:rPr>
      <w:rFonts w:eastAsia="仿宋_GB2312"/>
      <w:kern w:val="2"/>
      <w:sz w:val="28"/>
      <w:lang w:val="en-US" w:eastAsia="zh-CN" w:bidi="ar-SA"/>
    </w:rPr>
  </w:style>
  <w:style w:type="character" w:customStyle="1" w:styleId="777">
    <w:name w:val="正文文本 2 字符"/>
    <w:link w:val="76"/>
    <w:uiPriority w:val="0"/>
    <w:rPr>
      <w:rFonts w:ascii="Arial" w:hAnsi="Arial" w:cs="Arial"/>
      <w:kern w:val="2"/>
      <w:sz w:val="21"/>
    </w:rPr>
  </w:style>
  <w:style w:type="paragraph" w:customStyle="1" w:styleId="778">
    <w:name w:val="小节"/>
    <w:basedOn w:val="1"/>
    <w:uiPriority w:val="0"/>
    <w:pPr>
      <w:spacing w:line="360" w:lineRule="auto"/>
    </w:pPr>
    <w:rPr>
      <w:rFonts w:ascii="黑体" w:eastAsia="黑体"/>
    </w:rPr>
  </w:style>
  <w:style w:type="character" w:customStyle="1" w:styleId="779">
    <w:name w:val="blacktt1"/>
    <w:uiPriority w:val="0"/>
    <w:rPr>
      <w:rFonts w:hint="default"/>
      <w:color w:val="000000"/>
      <w:sz w:val="18"/>
      <w:szCs w:val="18"/>
      <w:u w:val="none"/>
    </w:rPr>
  </w:style>
  <w:style w:type="paragraph" w:customStyle="1" w:styleId="780">
    <w:name w:val="xl23"/>
    <w:basedOn w:val="1"/>
    <w:uiPriority w:val="0"/>
    <w:pPr>
      <w:widowControl/>
      <w:pBdr>
        <w:top w:val="single" w:color="auto" w:sz="4" w:space="0"/>
        <w:left w:val="single" w:color="auto" w:sz="4" w:space="0"/>
      </w:pBdr>
      <w:spacing w:before="100" w:beforeAutospacing="1" w:after="100" w:afterAutospacing="1"/>
      <w:jc w:val="center"/>
    </w:pPr>
    <w:rPr>
      <w:rFonts w:eastAsia="Arial Unicode MS"/>
      <w:kern w:val="0"/>
      <w:sz w:val="24"/>
      <w:szCs w:val="24"/>
    </w:rPr>
  </w:style>
  <w:style w:type="paragraph" w:customStyle="1" w:styleId="781">
    <w:name w:val="table"/>
    <w:basedOn w:val="1"/>
    <w:uiPriority w:val="0"/>
    <w:pPr>
      <w:spacing w:line="360" w:lineRule="auto"/>
      <w:jc w:val="center"/>
    </w:pPr>
    <w:rPr>
      <w:rFonts w:eastAsia="宋体"/>
      <w:bCs/>
      <w:sz w:val="24"/>
      <w:szCs w:val="24"/>
    </w:rPr>
  </w:style>
  <w:style w:type="paragraph" w:customStyle="1" w:styleId="782">
    <w:name w:val="内容"/>
    <w:basedOn w:val="1"/>
    <w:uiPriority w:val="0"/>
    <w:pPr>
      <w:spacing w:line="360" w:lineRule="auto"/>
      <w:ind w:firstLine="420"/>
    </w:pPr>
    <w:rPr>
      <w:rFonts w:eastAsia="宋体"/>
    </w:rPr>
  </w:style>
  <w:style w:type="character" w:customStyle="1" w:styleId="783">
    <w:name w:val="style11"/>
    <w:qFormat/>
    <w:uiPriority w:val="0"/>
    <w:rPr>
      <w:sz w:val="21"/>
      <w:szCs w:val="21"/>
    </w:rPr>
  </w:style>
  <w:style w:type="paragraph" w:customStyle="1" w:styleId="784">
    <w:name w:val="Char Char1"/>
    <w:basedOn w:val="1"/>
    <w:uiPriority w:val="0"/>
    <w:rPr>
      <w:rFonts w:eastAsia="宋体"/>
      <w:sz w:val="21"/>
      <w:szCs w:val="24"/>
    </w:rPr>
  </w:style>
  <w:style w:type="paragraph" w:customStyle="1" w:styleId="785">
    <w:name w:val="Char Char1 Char Char Char Char Char Char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86">
    <w:name w:val="样式 表格正文 + 左 行距: 最小值 12 磅"/>
    <w:basedOn w:val="239"/>
    <w:uiPriority w:val="0"/>
    <w:pPr>
      <w:adjustRightInd/>
      <w:spacing w:line="280" w:lineRule="exact"/>
      <w:jc w:val="center"/>
      <w:textAlignment w:val="auto"/>
    </w:pPr>
    <w:rPr>
      <w:rFonts w:cs="宋体"/>
      <w:kern w:val="0"/>
    </w:rPr>
  </w:style>
  <w:style w:type="paragraph" w:customStyle="1" w:styleId="787">
    <w:name w:val="样式 (中文) 仿宋_GB2312 四号 黑色"/>
    <w:basedOn w:val="1"/>
    <w:uiPriority w:val="0"/>
    <w:pPr>
      <w:ind w:firstLine="200" w:firstLineChars="200"/>
      <w:jc w:val="left"/>
    </w:pPr>
    <w:rPr>
      <w:rFonts w:cs="宋体"/>
      <w:color w:val="000000"/>
    </w:rPr>
  </w:style>
  <w:style w:type="paragraph" w:customStyle="1" w:styleId="788">
    <w:name w:val="默认段落字体 Para Char"/>
    <w:basedOn w:val="1"/>
    <w:uiPriority w:val="0"/>
    <w:pPr>
      <w:spacing w:line="360" w:lineRule="auto"/>
      <w:ind w:firstLine="200" w:firstLineChars="200"/>
    </w:pPr>
    <w:rPr>
      <w:rFonts w:ascii="宋体" w:hAnsi="宋体" w:eastAsia="宋体" w:cs="宋体"/>
      <w:sz w:val="24"/>
      <w:szCs w:val="24"/>
    </w:rPr>
  </w:style>
  <w:style w:type="character" w:customStyle="1" w:styleId="789">
    <w:name w:val="fs_141"/>
    <w:uiPriority w:val="0"/>
    <w:rPr>
      <w:sz w:val="18"/>
      <w:szCs w:val="18"/>
    </w:rPr>
  </w:style>
  <w:style w:type="paragraph" w:customStyle="1" w:styleId="790">
    <w:name w:val="样式 列表 + 左侧:  0 厘米 悬挂缩进: 5.85 字符"/>
    <w:basedOn w:val="66"/>
    <w:uiPriority w:val="0"/>
    <w:pPr>
      <w:autoSpaceDE w:val="0"/>
      <w:autoSpaceDN w:val="0"/>
      <w:adjustRightInd w:val="0"/>
      <w:spacing w:line="240" w:lineRule="exact"/>
      <w:ind w:left="0" w:firstLine="0" w:firstLineChars="0"/>
      <w:jc w:val="center"/>
    </w:pPr>
    <w:rPr>
      <w:rFonts w:ascii="宋体" w:eastAsia="宋体" w:cs="宋体"/>
      <w:sz w:val="21"/>
      <w:lang w:val="zh-CN"/>
    </w:rPr>
  </w:style>
  <w:style w:type="paragraph" w:customStyle="1" w:styleId="791">
    <w:name w:val="内部地址姓名"/>
    <w:basedOn w:val="1"/>
    <w:uiPriority w:val="0"/>
    <w:pPr>
      <w:autoSpaceDE w:val="0"/>
      <w:autoSpaceDN w:val="0"/>
      <w:ind w:firstLine="200" w:firstLineChars="200"/>
    </w:pPr>
    <w:rPr>
      <w:rFonts w:ascii="宋体" w:eastAsia="宋体" w:cs="宋体"/>
      <w:sz w:val="21"/>
      <w:szCs w:val="21"/>
      <w:lang w:val="zh-CN"/>
    </w:rPr>
  </w:style>
  <w:style w:type="paragraph" w:customStyle="1" w:styleId="792">
    <w:name w:val="正文2 Char"/>
    <w:basedOn w:val="1"/>
    <w:next w:val="1"/>
    <w:uiPriority w:val="0"/>
    <w:pPr>
      <w:jc w:val="center"/>
    </w:pPr>
    <w:rPr>
      <w:rFonts w:ascii="宋体" w:eastAsia="宋体"/>
      <w:color w:val="000000"/>
      <w:spacing w:val="-4"/>
      <w:sz w:val="21"/>
      <w:szCs w:val="21"/>
    </w:rPr>
  </w:style>
  <w:style w:type="character" w:customStyle="1" w:styleId="793">
    <w:name w:val="注释标题 字符"/>
    <w:link w:val="16"/>
    <w:uiPriority w:val="0"/>
    <w:rPr>
      <w:kern w:val="2"/>
      <w:sz w:val="21"/>
      <w:lang w:val="zh-CN" w:eastAsia="zh-CN"/>
    </w:rPr>
  </w:style>
  <w:style w:type="paragraph" w:customStyle="1" w:styleId="794">
    <w:name w:val="Char Char Char2 Char"/>
    <w:basedOn w:val="1"/>
    <w:uiPriority w:val="0"/>
    <w:pPr>
      <w:tabs>
        <w:tab w:val="left" w:pos="432"/>
      </w:tabs>
      <w:ind w:left="432" w:hanging="432"/>
    </w:pPr>
    <w:rPr>
      <w:rFonts w:eastAsia="宋体"/>
      <w:sz w:val="21"/>
      <w:szCs w:val="24"/>
    </w:rPr>
  </w:style>
  <w:style w:type="paragraph" w:customStyle="1" w:styleId="795">
    <w:name w:val="Char Char1 Char Char Char Char Char Char Char Char Char Char Char Char"/>
    <w:basedOn w:val="1"/>
    <w:uiPriority w:val="0"/>
    <w:pPr>
      <w:spacing w:line="360" w:lineRule="auto"/>
      <w:ind w:firstLine="200" w:firstLineChars="200"/>
    </w:pPr>
    <w:rPr>
      <w:rFonts w:eastAsia="宋体" w:cs="宋体"/>
      <w:sz w:val="24"/>
      <w:szCs w:val="24"/>
    </w:rPr>
  </w:style>
  <w:style w:type="paragraph" w:customStyle="1" w:styleId="796">
    <w:name w:val="图目"/>
    <w:basedOn w:val="1"/>
    <w:uiPriority w:val="0"/>
    <w:pPr>
      <w:adjustRightInd w:val="0"/>
      <w:snapToGrid w:val="0"/>
      <w:spacing w:line="320" w:lineRule="exact"/>
      <w:jc w:val="center"/>
    </w:pPr>
    <w:rPr>
      <w:rFonts w:eastAsia="宋体"/>
      <w:sz w:val="24"/>
      <w:szCs w:val="24"/>
    </w:rPr>
  </w:style>
  <w:style w:type="paragraph" w:customStyle="1" w:styleId="797">
    <w:name w:val="样式 样式 宋体 小四 行距: 1.5 倍行距 + 首行缩进:  2 字符"/>
    <w:basedOn w:val="1"/>
    <w:uiPriority w:val="0"/>
    <w:pPr>
      <w:spacing w:line="440" w:lineRule="exact"/>
      <w:ind w:firstLine="360" w:firstLineChars="150"/>
    </w:pPr>
    <w:rPr>
      <w:rFonts w:ascii="宋体" w:hAnsi="宋体" w:eastAsia="宋体"/>
      <w:sz w:val="24"/>
    </w:rPr>
  </w:style>
  <w:style w:type="paragraph" w:customStyle="1" w:styleId="798">
    <w:name w:val="Char Char1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799">
    <w:name w:val="样式  + 行距: 1.5 倍行距 首行缩进:  2 字符"/>
    <w:basedOn w:val="1"/>
    <w:uiPriority w:val="0"/>
    <w:pPr>
      <w:adjustRightInd w:val="0"/>
      <w:snapToGrid w:val="0"/>
      <w:spacing w:line="360" w:lineRule="auto"/>
      <w:ind w:firstLine="200" w:firstLineChars="200"/>
    </w:pPr>
    <w:rPr>
      <w:rFonts w:eastAsia="宋体" w:cs="宋体"/>
      <w:sz w:val="24"/>
      <w:szCs w:val="24"/>
    </w:rPr>
  </w:style>
  <w:style w:type="paragraph" w:customStyle="1" w:styleId="800">
    <w:name w:val="样式 宋体 小四 行距: 1.5 倍行距"/>
    <w:basedOn w:val="1"/>
    <w:uiPriority w:val="0"/>
    <w:pPr>
      <w:spacing w:line="360" w:lineRule="auto"/>
      <w:ind w:left="1" w:firstLine="478" w:firstLineChars="199"/>
    </w:pPr>
    <w:rPr>
      <w:rFonts w:ascii="宋体" w:hAnsi="宋体" w:eastAsia="宋体"/>
      <w:sz w:val="24"/>
    </w:rPr>
  </w:style>
  <w:style w:type="paragraph" w:customStyle="1" w:styleId="801">
    <w:name w:val="四号 正文"/>
    <w:basedOn w:val="1"/>
    <w:uiPriority w:val="0"/>
    <w:pPr>
      <w:ind w:firstLine="584" w:firstLineChars="200"/>
    </w:pPr>
    <w:rPr>
      <w:rFonts w:eastAsia="宋体"/>
      <w:spacing w:val="6"/>
    </w:rPr>
  </w:style>
  <w:style w:type="paragraph" w:customStyle="1" w:styleId="802">
    <w:name w:val="正文文本缩进 21"/>
    <w:basedOn w:val="1"/>
    <w:uiPriority w:val="0"/>
    <w:pPr>
      <w:autoSpaceDE w:val="0"/>
      <w:autoSpaceDN w:val="0"/>
      <w:adjustRightInd w:val="0"/>
      <w:spacing w:before="120" w:line="295" w:lineRule="atLeast"/>
      <w:ind w:firstLine="570"/>
      <w:textAlignment w:val="baseline"/>
    </w:pPr>
    <w:rPr>
      <w:rFonts w:ascii="宋体" w:hAnsi="Tms Rmn" w:eastAsia="宋体"/>
      <w:kern w:val="0"/>
    </w:rPr>
  </w:style>
  <w:style w:type="paragraph" w:customStyle="1" w:styleId="803">
    <w:name w:val="标题2-1"/>
    <w:basedOn w:val="3"/>
    <w:uiPriority w:val="0"/>
    <w:pPr>
      <w:numPr>
        <w:ilvl w:val="0"/>
        <w:numId w:val="0"/>
      </w:numPr>
      <w:adjustRightInd w:val="0"/>
      <w:snapToGrid w:val="0"/>
      <w:spacing w:before="130" w:beforeLines="130" w:after="280" w:line="384" w:lineRule="auto"/>
      <w:jc w:val="center"/>
    </w:pPr>
    <w:rPr>
      <w:rFonts w:ascii="Times New Roman" w:hAnsi="华文中宋" w:eastAsia="华文中宋"/>
      <w:bCs/>
      <w:sz w:val="32"/>
      <w:szCs w:val="32"/>
    </w:rPr>
  </w:style>
  <w:style w:type="paragraph" w:customStyle="1" w:styleId="804">
    <w:name w:val="样式 宋体 小四 首行缩进:  1.01 厘米 行距: 多倍行距 1.1 字行"/>
    <w:basedOn w:val="1"/>
    <w:uiPriority w:val="0"/>
    <w:pPr>
      <w:widowControl/>
      <w:snapToGrid w:val="0"/>
      <w:spacing w:line="360" w:lineRule="auto"/>
      <w:ind w:firstLine="545" w:firstLineChars="219"/>
    </w:pPr>
    <w:rPr>
      <w:rFonts w:ascii="宋体" w:hAnsi="宋体" w:eastAsia="宋体" w:cs="宋体"/>
      <w:kern w:val="0"/>
      <w:sz w:val="24"/>
      <w:szCs w:val="24"/>
    </w:rPr>
  </w:style>
  <w:style w:type="paragraph" w:customStyle="1" w:styleId="805">
    <w:name w:val="首行缩进 Char Char Char"/>
    <w:basedOn w:val="1"/>
    <w:uiPriority w:val="0"/>
    <w:pPr>
      <w:snapToGrid w:val="0"/>
      <w:spacing w:line="360" w:lineRule="auto"/>
      <w:ind w:firstLine="499"/>
    </w:pPr>
    <w:rPr>
      <w:rFonts w:ascii="宋体" w:eastAsia="宋体"/>
      <w:sz w:val="24"/>
    </w:rPr>
  </w:style>
  <w:style w:type="paragraph" w:customStyle="1" w:styleId="806">
    <w:name w:val="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807">
    <w:name w:val="表格标题1"/>
    <w:basedOn w:val="66"/>
    <w:uiPriority w:val="0"/>
    <w:pPr>
      <w:spacing w:line="300" w:lineRule="exact"/>
      <w:ind w:left="420" w:hanging="420" w:firstLineChars="0"/>
      <w:jc w:val="center"/>
    </w:pPr>
    <w:rPr>
      <w:rFonts w:eastAsia="宋体"/>
      <w:sz w:val="21"/>
      <w:szCs w:val="21"/>
    </w:rPr>
  </w:style>
  <w:style w:type="paragraph" w:customStyle="1" w:styleId="808">
    <w:name w:val="表头样式"/>
    <w:basedOn w:val="1"/>
    <w:link w:val="1617"/>
    <w:qFormat/>
    <w:uiPriority w:val="0"/>
    <w:pPr>
      <w:tabs>
        <w:tab w:val="left" w:pos="1560"/>
      </w:tabs>
      <w:snapToGrid w:val="0"/>
      <w:spacing w:line="360" w:lineRule="auto"/>
      <w:ind w:firstLine="570"/>
    </w:pPr>
    <w:rPr>
      <w:rFonts w:ascii="黑体" w:eastAsia="黑体"/>
    </w:rPr>
  </w:style>
  <w:style w:type="paragraph" w:customStyle="1" w:styleId="809">
    <w:name w:val="MTDisplayEquation"/>
    <w:basedOn w:val="1"/>
    <w:next w:val="1"/>
    <w:uiPriority w:val="0"/>
    <w:pPr>
      <w:tabs>
        <w:tab w:val="center" w:pos="4160"/>
        <w:tab w:val="right" w:pos="8300"/>
      </w:tabs>
    </w:pPr>
    <w:rPr>
      <w:rFonts w:eastAsia="宋体"/>
      <w:sz w:val="21"/>
      <w:szCs w:val="24"/>
    </w:rPr>
  </w:style>
  <w:style w:type="paragraph" w:customStyle="1" w:styleId="810">
    <w:name w:val="WPS Plain"/>
    <w:uiPriority w:val="0"/>
    <w:rPr>
      <w:rFonts w:ascii="Times New Roman" w:hAnsi="Times New Roman" w:eastAsia="宋体" w:cs="Times New Roman"/>
      <w:lang w:val="en-US" w:eastAsia="zh-CN" w:bidi="ar-SA"/>
    </w:rPr>
  </w:style>
  <w:style w:type="character" w:customStyle="1" w:styleId="811">
    <w:name w:val="style251"/>
    <w:uiPriority w:val="0"/>
    <w:rPr>
      <w:sz w:val="24"/>
      <w:szCs w:val="24"/>
    </w:rPr>
  </w:style>
  <w:style w:type="paragraph" w:customStyle="1" w:styleId="812">
    <w:name w:val="ssy"/>
    <w:basedOn w:val="1"/>
    <w:uiPriority w:val="0"/>
    <w:pPr>
      <w:widowControl/>
      <w:spacing w:before="100" w:beforeAutospacing="1" w:after="100" w:afterAutospacing="1"/>
      <w:jc w:val="left"/>
    </w:pPr>
    <w:rPr>
      <w:rFonts w:ascii="宋体" w:hAnsi="宋体" w:eastAsia="宋体"/>
      <w:color w:val="000000"/>
      <w:kern w:val="0"/>
      <w:sz w:val="24"/>
      <w:szCs w:val="24"/>
    </w:rPr>
  </w:style>
  <w:style w:type="paragraph" w:customStyle="1" w:styleId="813">
    <w:name w:val="p1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14">
    <w:name w:val="p0"/>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15">
    <w:name w:val="标题 5 字符1"/>
    <w:link w:val="7"/>
    <w:uiPriority w:val="0"/>
    <w:rPr>
      <w:rFonts w:eastAsia="仿宋_GB2312"/>
      <w:b/>
      <w:bCs/>
      <w:kern w:val="2"/>
      <w:sz w:val="21"/>
      <w:szCs w:val="28"/>
      <w:lang w:val="zh-CN" w:eastAsia="zh-CN"/>
    </w:rPr>
  </w:style>
  <w:style w:type="character" w:customStyle="1" w:styleId="816">
    <w:name w:val="标题 7 字符"/>
    <w:link w:val="9"/>
    <w:uiPriority w:val="0"/>
    <w:rPr>
      <w:b/>
      <w:bCs/>
      <w:kern w:val="2"/>
      <w:sz w:val="24"/>
      <w:szCs w:val="24"/>
      <w:lang w:val="zh-CN" w:eastAsia="zh-CN"/>
    </w:rPr>
  </w:style>
  <w:style w:type="character" w:customStyle="1" w:styleId="817">
    <w:name w:val="标题 8 字符"/>
    <w:link w:val="10"/>
    <w:uiPriority w:val="0"/>
    <w:rPr>
      <w:rFonts w:ascii="Arial" w:hAnsi="Arial" w:eastAsia="黑体"/>
      <w:kern w:val="2"/>
      <w:sz w:val="24"/>
      <w:szCs w:val="24"/>
      <w:lang w:val="zh-CN" w:eastAsia="zh-CN"/>
    </w:rPr>
  </w:style>
  <w:style w:type="character" w:customStyle="1" w:styleId="818">
    <w:name w:val="标题 9 字符"/>
    <w:link w:val="11"/>
    <w:uiPriority w:val="0"/>
    <w:rPr>
      <w:rFonts w:ascii="Arial" w:hAnsi="Arial" w:eastAsia="黑体"/>
      <w:kern w:val="2"/>
      <w:sz w:val="21"/>
      <w:szCs w:val="21"/>
      <w:lang w:val="zh-CN" w:eastAsia="zh-CN"/>
    </w:rPr>
  </w:style>
  <w:style w:type="character" w:customStyle="1" w:styleId="819">
    <w:name w:val="正文文本 字符"/>
    <w:link w:val="33"/>
    <w:uiPriority w:val="0"/>
    <w:rPr>
      <w:rFonts w:eastAsia="仿宋_GB2312"/>
      <w:kern w:val="2"/>
      <w:sz w:val="28"/>
    </w:rPr>
  </w:style>
  <w:style w:type="character" w:customStyle="1" w:styleId="820">
    <w:name w:val="文档结构图 字符1"/>
    <w:link w:val="25"/>
    <w:uiPriority w:val="0"/>
    <w:rPr>
      <w:rFonts w:eastAsia="仿宋_GB2312"/>
      <w:kern w:val="2"/>
      <w:sz w:val="28"/>
      <w:shd w:val="clear" w:color="auto" w:fill="000080"/>
    </w:rPr>
  </w:style>
  <w:style w:type="character" w:customStyle="1" w:styleId="821">
    <w:name w:val="脚注文本 字符"/>
    <w:link w:val="67"/>
    <w:uiPriority w:val="0"/>
    <w:rPr>
      <w:rFonts w:eastAsia="仿宋_GB2312"/>
      <w:kern w:val="2"/>
      <w:sz w:val="18"/>
    </w:rPr>
  </w:style>
  <w:style w:type="character" w:customStyle="1" w:styleId="822">
    <w:name w:val="正文文本缩进 2 字符"/>
    <w:link w:val="51"/>
    <w:uiPriority w:val="0"/>
    <w:rPr>
      <w:rFonts w:ascii="宋体" w:hAnsi="宋体"/>
      <w:kern w:val="2"/>
      <w:sz w:val="24"/>
    </w:rPr>
  </w:style>
  <w:style w:type="character" w:customStyle="1" w:styleId="823">
    <w:name w:val="正文文本缩进 3 字符"/>
    <w:link w:val="70"/>
    <w:uiPriority w:val="0"/>
    <w:rPr>
      <w:rFonts w:ascii="宋体" w:hAnsi="宋体"/>
      <w:color w:val="000000"/>
      <w:kern w:val="2"/>
      <w:sz w:val="24"/>
    </w:rPr>
  </w:style>
  <w:style w:type="character" w:customStyle="1" w:styleId="824">
    <w:name w:val="批注主题 字符"/>
    <w:link w:val="85"/>
    <w:uiPriority w:val="0"/>
    <w:rPr>
      <w:rFonts w:ascii="Arial" w:hAnsi="Arial"/>
      <w:b/>
      <w:bCs/>
      <w:kern w:val="2"/>
      <w:sz w:val="24"/>
      <w:szCs w:val="24"/>
    </w:rPr>
  </w:style>
  <w:style w:type="character" w:customStyle="1" w:styleId="825">
    <w:name w:val="标题 字符"/>
    <w:link w:val="84"/>
    <w:uiPriority w:val="0"/>
    <w:rPr>
      <w:rFonts w:ascii="Arial" w:hAnsi="Arial" w:eastAsia="黑体"/>
      <w:kern w:val="2"/>
      <w:sz w:val="36"/>
      <w:szCs w:val="24"/>
    </w:rPr>
  </w:style>
  <w:style w:type="character" w:customStyle="1" w:styleId="826">
    <w:name w:val="尾注文本 字符"/>
    <w:link w:val="52"/>
    <w:uiPriority w:val="0"/>
    <w:rPr>
      <w:kern w:val="2"/>
      <w:sz w:val="21"/>
      <w:szCs w:val="24"/>
    </w:rPr>
  </w:style>
  <w:style w:type="paragraph" w:customStyle="1" w:styleId="827">
    <w:name w:val="Char1 Char Char Char Char Char Char Char Char Char"/>
    <w:basedOn w:val="1"/>
    <w:uiPriority w:val="0"/>
    <w:rPr>
      <w:rFonts w:ascii="Tahoma" w:hAnsi="Tahoma" w:eastAsia="宋体"/>
      <w:sz w:val="24"/>
    </w:rPr>
  </w:style>
  <w:style w:type="paragraph" w:customStyle="1" w:styleId="828">
    <w:name w:val="样式 正文缩进首行缩进两字标题4正文不缩进s4正文（首行缩进两字） Char Char Char Char Char ...1"/>
    <w:basedOn w:val="4"/>
    <w:uiPriority w:val="0"/>
    <w:pPr>
      <w:adjustRightInd w:val="0"/>
      <w:snapToGrid w:val="0"/>
      <w:spacing w:line="360" w:lineRule="auto"/>
      <w:ind w:left="-106" w:firstLine="200" w:firstLineChars="200"/>
    </w:pPr>
    <w:rPr>
      <w:rFonts w:cs="宋体"/>
    </w:rPr>
  </w:style>
  <w:style w:type="paragraph" w:customStyle="1" w:styleId="829">
    <w:name w:val="样式 标题 4款标题1.1.1.1标题 4 Char Char标题 4 Char四表格1目H4H41L4Mi..."/>
    <w:basedOn w:val="6"/>
    <w:uiPriority w:val="0"/>
    <w:pPr>
      <w:numPr>
        <w:numId w:val="4"/>
      </w:numPr>
      <w:tabs>
        <w:tab w:val="left" w:pos="1209"/>
      </w:tabs>
      <w:ind w:left="0" w:firstLine="0"/>
    </w:pPr>
    <w:rPr>
      <w:bCs/>
    </w:rPr>
  </w:style>
  <w:style w:type="paragraph" w:customStyle="1" w:styleId="830">
    <w:name w:val="Char Char1 Char Char Char Char Char Char Char Char Char"/>
    <w:basedOn w:val="1"/>
    <w:uiPriority w:val="0"/>
    <w:pPr>
      <w:tabs>
        <w:tab w:val="left" w:pos="432"/>
      </w:tabs>
      <w:ind w:left="432" w:hanging="432"/>
    </w:pPr>
    <w:rPr>
      <w:rFonts w:ascii="Tahoma" w:hAnsi="Tahoma" w:eastAsia="宋体"/>
      <w:sz w:val="24"/>
    </w:rPr>
  </w:style>
  <w:style w:type="character" w:customStyle="1" w:styleId="831">
    <w:name w:val="f14b1"/>
    <w:uiPriority w:val="0"/>
    <w:rPr>
      <w:b/>
      <w:bCs/>
      <w:sz w:val="21"/>
      <w:szCs w:val="21"/>
    </w:rPr>
  </w:style>
  <w:style w:type="character" w:customStyle="1" w:styleId="832">
    <w:name w:val="apple-style-span"/>
    <w:basedOn w:val="132"/>
    <w:uiPriority w:val="0"/>
  </w:style>
  <w:style w:type="character" w:customStyle="1" w:styleId="833">
    <w:name w:val="det"/>
    <w:uiPriority w:val="0"/>
  </w:style>
  <w:style w:type="character" w:customStyle="1" w:styleId="834">
    <w:name w:val="3级 Char"/>
    <w:locked/>
    <w:uiPriority w:val="0"/>
    <w:rPr>
      <w:rFonts w:ascii="Times New Roman" w:hAnsi="Times New Roman" w:eastAsia="宋体" w:cs="Times New Roman"/>
      <w:b/>
      <w:sz w:val="32"/>
    </w:rPr>
  </w:style>
  <w:style w:type="paragraph" w:customStyle="1" w:styleId="835">
    <w:name w:val="书正文"/>
    <w:link w:val="836"/>
    <w:qFormat/>
    <w:uiPriority w:val="0"/>
    <w:pPr>
      <w:spacing w:before="60" w:line="460" w:lineRule="exact"/>
      <w:ind w:firstLine="200" w:firstLineChars="200"/>
      <w:jc w:val="both"/>
    </w:pPr>
    <w:rPr>
      <w:rFonts w:ascii="Arial" w:hAnsi="Arial" w:eastAsia="宋体" w:cs="Times New Roman"/>
      <w:kern w:val="2"/>
      <w:sz w:val="24"/>
      <w:szCs w:val="24"/>
      <w:lang w:val="en-US" w:eastAsia="zh-CN" w:bidi="ar-SA"/>
    </w:rPr>
  </w:style>
  <w:style w:type="character" w:customStyle="1" w:styleId="836">
    <w:name w:val="书正文 Char"/>
    <w:link w:val="835"/>
    <w:qFormat/>
    <w:uiPriority w:val="0"/>
    <w:rPr>
      <w:rFonts w:ascii="Arial" w:hAnsi="Arial"/>
      <w:kern w:val="2"/>
      <w:sz w:val="24"/>
      <w:szCs w:val="24"/>
      <w:lang w:bidi="ar-SA"/>
    </w:rPr>
  </w:style>
  <w:style w:type="character" w:customStyle="1" w:styleId="837">
    <w:name w:val="body1"/>
    <w:uiPriority w:val="0"/>
    <w:rPr>
      <w:rFonts w:hint="eastAsia" w:ascii="宋体" w:hAnsi="宋体" w:eastAsia="宋体"/>
      <w:sz w:val="22"/>
      <w:szCs w:val="22"/>
    </w:rPr>
  </w:style>
  <w:style w:type="character" w:customStyle="1" w:styleId="838">
    <w:name w:val="red1"/>
    <w:uiPriority w:val="0"/>
    <w:rPr>
      <w:color w:val="CC0000"/>
    </w:rPr>
  </w:style>
  <w:style w:type="paragraph" w:customStyle="1" w:styleId="839">
    <w:name w:val="样式11"/>
    <w:basedOn w:val="1"/>
    <w:qFormat/>
    <w:uiPriority w:val="0"/>
    <w:pPr>
      <w:spacing w:line="360" w:lineRule="auto"/>
      <w:jc w:val="center"/>
    </w:pPr>
    <w:rPr>
      <w:rFonts w:ascii="仿宋_GB2312" w:hAnsi="Arial" w:cs="Arial"/>
      <w:b/>
      <w:bCs/>
      <w:sz w:val="24"/>
      <w:szCs w:val="24"/>
    </w:rPr>
  </w:style>
  <w:style w:type="paragraph" w:customStyle="1" w:styleId="840">
    <w:name w:val="1表格"/>
    <w:basedOn w:val="1"/>
    <w:uiPriority w:val="0"/>
    <w:pPr>
      <w:snapToGrid w:val="0"/>
      <w:jc w:val="center"/>
      <w:outlineLvl w:val="4"/>
    </w:pPr>
    <w:rPr>
      <w:rFonts w:eastAsia="宋体"/>
      <w:spacing w:val="4"/>
      <w:sz w:val="21"/>
      <w:szCs w:val="24"/>
    </w:rPr>
  </w:style>
  <w:style w:type="paragraph" w:customStyle="1" w:styleId="841">
    <w:name w:val="标头"/>
    <w:basedOn w:val="1"/>
    <w:link w:val="842"/>
    <w:uiPriority w:val="0"/>
    <w:pPr>
      <w:spacing w:line="360" w:lineRule="auto"/>
      <w:jc w:val="center"/>
    </w:pPr>
    <w:rPr>
      <w:rFonts w:ascii="Arial" w:hAnsi="Arial" w:eastAsia="黑体"/>
      <w:sz w:val="21"/>
      <w:szCs w:val="21"/>
      <w:lang w:val="zh-CN" w:eastAsia="zh-CN"/>
    </w:rPr>
  </w:style>
  <w:style w:type="character" w:customStyle="1" w:styleId="842">
    <w:name w:val="标头 Char"/>
    <w:link w:val="841"/>
    <w:uiPriority w:val="0"/>
    <w:rPr>
      <w:rFonts w:ascii="Arial" w:hAnsi="Arial" w:eastAsia="黑体"/>
      <w:kern w:val="2"/>
      <w:sz w:val="21"/>
      <w:szCs w:val="21"/>
      <w:lang w:val="zh-CN" w:eastAsia="zh-CN"/>
    </w:rPr>
  </w:style>
  <w:style w:type="character" w:customStyle="1" w:styleId="843">
    <w:name w:val="apple-converted-space"/>
    <w:uiPriority w:val="0"/>
  </w:style>
  <w:style w:type="paragraph" w:customStyle="1" w:styleId="844">
    <w:name w:val="4 Char Char Char Char"/>
    <w:basedOn w:val="1"/>
    <w:uiPriority w:val="0"/>
    <w:pPr>
      <w:spacing w:line="360" w:lineRule="auto"/>
      <w:ind w:firstLine="200" w:firstLineChars="200"/>
    </w:pPr>
    <w:rPr>
      <w:rFonts w:ascii="宋体" w:hAnsi="宋体" w:eastAsia="宋体" w:cs="宋体"/>
      <w:sz w:val="24"/>
      <w:szCs w:val="24"/>
    </w:rPr>
  </w:style>
  <w:style w:type="paragraph" w:customStyle="1" w:styleId="845">
    <w:name w:val="xiang2"/>
    <w:basedOn w:val="1"/>
    <w:qFormat/>
    <w:uiPriority w:val="0"/>
    <w:pPr>
      <w:adjustRightInd w:val="0"/>
      <w:snapToGrid w:val="0"/>
      <w:jc w:val="center"/>
    </w:pPr>
    <w:rPr>
      <w:rFonts w:eastAsia="仿宋" w:cs="宋体"/>
      <w:sz w:val="21"/>
    </w:rPr>
  </w:style>
  <w:style w:type="paragraph" w:customStyle="1" w:styleId="846">
    <w:name w:val="5文章(治)"/>
    <w:basedOn w:val="1"/>
    <w:link w:val="1480"/>
    <w:uiPriority w:val="0"/>
    <w:pPr>
      <w:spacing w:line="520" w:lineRule="exact"/>
      <w:ind w:firstLine="480" w:firstLineChars="200"/>
    </w:pPr>
    <w:rPr>
      <w:rFonts w:ascii="宋体" w:hAnsi="宋体" w:eastAsia="宋体"/>
      <w:snapToGrid w:val="0"/>
      <w:sz w:val="24"/>
      <w:szCs w:val="24"/>
    </w:rPr>
  </w:style>
  <w:style w:type="paragraph" w:customStyle="1" w:styleId="847">
    <w:name w:val="表内容"/>
    <w:qFormat/>
    <w:uiPriority w:val="0"/>
    <w:pPr>
      <w:jc w:val="center"/>
    </w:pPr>
    <w:rPr>
      <w:rFonts w:ascii="Times New Roman" w:hAnsi="Times New Roman" w:eastAsia="宋体" w:cs="Times New Roman"/>
      <w:kern w:val="2"/>
      <w:sz w:val="21"/>
      <w:szCs w:val="22"/>
      <w:lang w:val="en-US" w:eastAsia="zh-CN" w:bidi="ar-SA"/>
    </w:rPr>
  </w:style>
  <w:style w:type="character" w:customStyle="1" w:styleId="848">
    <w:name w:val="正文文本 Char1"/>
    <w:uiPriority w:val="0"/>
    <w:rPr>
      <w:rFonts w:eastAsia="宋体"/>
      <w:kern w:val="2"/>
      <w:sz w:val="24"/>
      <w:lang w:val="en-US" w:eastAsia="zh-CN" w:bidi="ar-SA"/>
    </w:rPr>
  </w:style>
  <w:style w:type="character" w:customStyle="1" w:styleId="849">
    <w:name w:val="正文中 Char"/>
    <w:link w:val="850"/>
    <w:locked/>
    <w:uiPriority w:val="0"/>
    <w:rPr>
      <w:spacing w:val="10"/>
      <w:sz w:val="24"/>
    </w:rPr>
  </w:style>
  <w:style w:type="paragraph" w:customStyle="1" w:styleId="850">
    <w:name w:val="正文中"/>
    <w:basedOn w:val="1"/>
    <w:link w:val="849"/>
    <w:uiPriority w:val="0"/>
    <w:pPr>
      <w:spacing w:before="60" w:line="460" w:lineRule="exact"/>
      <w:ind w:firstLine="200" w:firstLineChars="200"/>
    </w:pPr>
    <w:rPr>
      <w:rFonts w:eastAsia="宋体"/>
      <w:spacing w:val="10"/>
      <w:kern w:val="0"/>
      <w:sz w:val="24"/>
      <w:lang w:val="zh-CN" w:eastAsia="zh-CN"/>
    </w:rPr>
  </w:style>
  <w:style w:type="paragraph" w:customStyle="1" w:styleId="851">
    <w:name w:val="备注"/>
    <w:uiPriority w:val="99"/>
    <w:pPr>
      <w:adjustRightInd w:val="0"/>
      <w:snapToGrid w:val="0"/>
      <w:ind w:firstLine="200" w:firstLineChars="200"/>
    </w:pPr>
    <w:rPr>
      <w:rFonts w:ascii="Times New Roman" w:hAnsi="Times New Roman" w:eastAsia="宋体" w:cs="Times New Roman"/>
      <w:sz w:val="18"/>
      <w:szCs w:val="18"/>
      <w:lang w:val="en-US" w:eastAsia="zh-CN" w:bidi="ar-SA"/>
    </w:rPr>
  </w:style>
  <w:style w:type="paragraph" w:customStyle="1" w:styleId="852">
    <w:name w:val="03 Char"/>
    <w:basedOn w:val="1"/>
    <w:link w:val="853"/>
    <w:uiPriority w:val="0"/>
    <w:pPr>
      <w:adjustRightInd w:val="0"/>
      <w:snapToGrid w:val="0"/>
      <w:spacing w:line="360" w:lineRule="auto"/>
      <w:ind w:firstLine="397" w:firstLineChars="200"/>
    </w:pPr>
    <w:rPr>
      <w:rFonts w:ascii="宋体" w:eastAsia="宋体"/>
      <w:sz w:val="24"/>
      <w:lang w:val="zh-CN" w:eastAsia="zh-CN"/>
    </w:rPr>
  </w:style>
  <w:style w:type="character" w:customStyle="1" w:styleId="853">
    <w:name w:val="03 Char Char"/>
    <w:link w:val="852"/>
    <w:locked/>
    <w:uiPriority w:val="0"/>
    <w:rPr>
      <w:rFonts w:ascii="宋体"/>
      <w:kern w:val="2"/>
      <w:sz w:val="24"/>
    </w:rPr>
  </w:style>
  <w:style w:type="paragraph" w:customStyle="1" w:styleId="854">
    <w:name w:val="图表标题"/>
    <w:link w:val="880"/>
    <w:qFormat/>
    <w:uiPriority w:val="0"/>
    <w:pPr>
      <w:spacing w:before="50" w:beforeLines="50" w:after="50" w:afterLines="50" w:line="360" w:lineRule="auto"/>
      <w:jc w:val="center"/>
    </w:pPr>
    <w:rPr>
      <w:rFonts w:ascii="Times New Roman" w:hAnsi="Times New Roman" w:eastAsia="华文细黑" w:cs="Times New Roman"/>
      <w:kern w:val="2"/>
      <w:sz w:val="21"/>
      <w:szCs w:val="22"/>
      <w:lang w:val="en-US" w:eastAsia="zh-CN" w:bidi="ar-SA"/>
    </w:rPr>
  </w:style>
  <w:style w:type="paragraph" w:customStyle="1" w:styleId="855">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6">
    <w:name w:val="样式 标题 3标题 3 Char小节标题标题 一头条标题1.1.1小标题3h33rd levelH3l3..."/>
    <w:basedOn w:val="5"/>
    <w:uiPriority w:val="0"/>
    <w:pPr>
      <w:numPr>
        <w:numId w:val="5"/>
      </w:numPr>
      <w:tabs>
        <w:tab w:val="left" w:pos="432"/>
      </w:tabs>
      <w:spacing w:after="0" w:line="460" w:lineRule="exact"/>
      <w:jc w:val="left"/>
    </w:pPr>
    <w:rPr>
      <w:rFonts w:ascii="Times New Roman" w:eastAsia="宋体" w:cs="宋体"/>
      <w:color w:val="000000"/>
      <w:kern w:val="2"/>
    </w:rPr>
  </w:style>
  <w:style w:type="paragraph" w:customStyle="1" w:styleId="857">
    <w:name w:val="Char Char15 Char Char"/>
    <w:basedOn w:val="1"/>
    <w:uiPriority w:val="0"/>
    <w:pPr>
      <w:spacing w:line="360" w:lineRule="auto"/>
      <w:ind w:firstLine="200" w:firstLineChars="200"/>
    </w:pPr>
    <w:rPr>
      <w:rFonts w:ascii="宋体" w:hAnsi="宋体" w:eastAsia="宋体" w:cs="宋体"/>
      <w:sz w:val="24"/>
      <w:szCs w:val="24"/>
    </w:rPr>
  </w:style>
  <w:style w:type="paragraph" w:customStyle="1" w:styleId="858">
    <w:name w:val="表心"/>
    <w:basedOn w:val="1"/>
    <w:uiPriority w:val="0"/>
    <w:pPr>
      <w:jc w:val="left"/>
    </w:pPr>
    <w:rPr>
      <w:rFonts w:eastAsia="宋体"/>
      <w:color w:val="000000"/>
      <w:sz w:val="24"/>
    </w:rPr>
  </w:style>
  <w:style w:type="paragraph" w:customStyle="1" w:styleId="859">
    <w:name w:val="+正文"/>
    <w:basedOn w:val="1"/>
    <w:link w:val="860"/>
    <w:uiPriority w:val="0"/>
    <w:pPr>
      <w:spacing w:line="360" w:lineRule="auto"/>
      <w:ind w:firstLine="200" w:firstLineChars="200"/>
    </w:pPr>
    <w:rPr>
      <w:rFonts w:eastAsia="宋体"/>
      <w:sz w:val="24"/>
      <w:szCs w:val="28"/>
      <w:lang w:val="zh-CN" w:eastAsia="zh-CN"/>
    </w:rPr>
  </w:style>
  <w:style w:type="character" w:customStyle="1" w:styleId="860">
    <w:name w:val="+正文 Char"/>
    <w:link w:val="859"/>
    <w:uiPriority w:val="0"/>
    <w:rPr>
      <w:kern w:val="2"/>
      <w:sz w:val="24"/>
      <w:szCs w:val="28"/>
    </w:rPr>
  </w:style>
  <w:style w:type="character" w:customStyle="1" w:styleId="861">
    <w:name w:val="+列表编号 Char1"/>
    <w:link w:val="862"/>
    <w:uiPriority w:val="0"/>
    <w:rPr>
      <w:b/>
      <w:kern w:val="2"/>
      <w:sz w:val="24"/>
      <w:szCs w:val="28"/>
    </w:rPr>
  </w:style>
  <w:style w:type="paragraph" w:customStyle="1" w:styleId="862">
    <w:name w:val="+列表编号"/>
    <w:basedOn w:val="1"/>
    <w:link w:val="861"/>
    <w:uiPriority w:val="0"/>
    <w:pPr>
      <w:tabs>
        <w:tab w:val="center" w:pos="4200"/>
        <w:tab w:val="right" w:pos="8400"/>
      </w:tabs>
      <w:spacing w:before="20" w:after="120"/>
      <w:jc w:val="left"/>
    </w:pPr>
    <w:rPr>
      <w:rFonts w:eastAsia="宋体"/>
      <w:b/>
      <w:sz w:val="24"/>
      <w:szCs w:val="28"/>
      <w:lang w:val="zh-CN" w:eastAsia="zh-CN"/>
    </w:rPr>
  </w:style>
  <w:style w:type="character" w:customStyle="1" w:styleId="863">
    <w:name w:val="+列表1 Char"/>
    <w:link w:val="864"/>
    <w:uiPriority w:val="0"/>
    <w:rPr>
      <w:kern w:val="2"/>
      <w:sz w:val="21"/>
      <w:szCs w:val="24"/>
    </w:rPr>
  </w:style>
  <w:style w:type="paragraph" w:customStyle="1" w:styleId="864">
    <w:name w:val="+列表1"/>
    <w:basedOn w:val="1"/>
    <w:link w:val="863"/>
    <w:uiPriority w:val="0"/>
    <w:pPr>
      <w:jc w:val="center"/>
    </w:pPr>
    <w:rPr>
      <w:rFonts w:eastAsia="宋体"/>
      <w:sz w:val="21"/>
      <w:szCs w:val="24"/>
      <w:lang w:val="zh-CN" w:eastAsia="zh-CN"/>
    </w:rPr>
  </w:style>
  <w:style w:type="character" w:customStyle="1" w:styleId="865">
    <w:name w:val="表格 Char1"/>
    <w:link w:val="438"/>
    <w:uiPriority w:val="0"/>
    <w:rPr>
      <w:rFonts w:ascii="Arial" w:hAnsi="Arial" w:cs="Arial"/>
      <w:color w:val="000000"/>
      <w:kern w:val="2"/>
      <w:sz w:val="21"/>
      <w:szCs w:val="21"/>
    </w:rPr>
  </w:style>
  <w:style w:type="character" w:customStyle="1" w:styleId="866">
    <w:name w:val="标题4 Char Char"/>
    <w:uiPriority w:val="0"/>
    <w:rPr>
      <w:rFonts w:ascii="Arial" w:hAnsi="Arial" w:eastAsia="宋体" w:cs="Arial"/>
      <w:kern w:val="2"/>
      <w:sz w:val="24"/>
      <w:szCs w:val="24"/>
      <w:lang w:val="en-US" w:eastAsia="zh-CN" w:bidi="ar-SA"/>
    </w:rPr>
  </w:style>
  <w:style w:type="character" w:customStyle="1" w:styleId="867">
    <w:name w:val="标准 Char Char"/>
    <w:locked/>
    <w:uiPriority w:val="0"/>
    <w:rPr>
      <w:color w:val="000000"/>
      <w:szCs w:val="24"/>
    </w:rPr>
  </w:style>
  <w:style w:type="character" w:customStyle="1" w:styleId="868">
    <w:name w:val="表格1 Char1"/>
    <w:uiPriority w:val="0"/>
    <w:rPr>
      <w:rFonts w:eastAsia="宋体"/>
      <w:kern w:val="2"/>
      <w:sz w:val="21"/>
      <w:szCs w:val="21"/>
      <w:lang w:bidi="ar-SA"/>
    </w:rPr>
  </w:style>
  <w:style w:type="paragraph" w:customStyle="1" w:styleId="869">
    <w:name w:val="cucd-0"/>
    <w:link w:val="87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870">
    <w:name w:val="cucd-0 Char"/>
    <w:link w:val="869"/>
    <w:uiPriority w:val="0"/>
    <w:rPr>
      <w:kern w:val="2"/>
      <w:sz w:val="24"/>
      <w:szCs w:val="24"/>
      <w:lang w:bidi="ar-SA"/>
    </w:rPr>
  </w:style>
  <w:style w:type="paragraph" w:customStyle="1" w:styleId="871">
    <w:name w:val="表格五号下方正文"/>
    <w:basedOn w:val="1"/>
    <w:link w:val="872"/>
    <w:uiPriority w:val="0"/>
    <w:pPr>
      <w:spacing w:before="200" w:line="360" w:lineRule="exact"/>
      <w:ind w:firstLine="200" w:firstLineChars="200"/>
    </w:pPr>
    <w:rPr>
      <w:rFonts w:eastAsia="宋体"/>
      <w:sz w:val="21"/>
      <w:szCs w:val="21"/>
      <w:lang w:val="zh-CN" w:eastAsia="zh-CN"/>
    </w:rPr>
  </w:style>
  <w:style w:type="character" w:customStyle="1" w:styleId="872">
    <w:name w:val="表格五号下方正文 Char"/>
    <w:link w:val="871"/>
    <w:uiPriority w:val="0"/>
    <w:rPr>
      <w:kern w:val="2"/>
      <w:sz w:val="21"/>
      <w:szCs w:val="21"/>
    </w:rPr>
  </w:style>
  <w:style w:type="character" w:customStyle="1" w:styleId="873">
    <w:name w:val="表格下方正文 Char"/>
    <w:link w:val="428"/>
    <w:uiPriority w:val="0"/>
    <w:rPr>
      <w:kern w:val="2"/>
      <w:sz w:val="24"/>
      <w:szCs w:val="24"/>
    </w:rPr>
  </w:style>
  <w:style w:type="paragraph" w:customStyle="1" w:styleId="874">
    <w:name w:val="正文首行缩进2个字"/>
    <w:basedOn w:val="1"/>
    <w:qFormat/>
    <w:uiPriority w:val="0"/>
    <w:pPr>
      <w:spacing w:line="360" w:lineRule="auto"/>
      <w:ind w:firstLine="200" w:firstLineChars="200"/>
    </w:pPr>
    <w:rPr>
      <w:rFonts w:eastAsia="宋体"/>
      <w:sz w:val="24"/>
      <w:szCs w:val="24"/>
      <w:lang w:val="zh-CN" w:eastAsia="zh-CN"/>
    </w:rPr>
  </w:style>
  <w:style w:type="character" w:customStyle="1" w:styleId="875">
    <w:name w:val="表格内容 Char"/>
    <w:link w:val="353"/>
    <w:uiPriority w:val="0"/>
    <w:rPr>
      <w:sz w:val="21"/>
      <w:szCs w:val="16"/>
    </w:rPr>
  </w:style>
  <w:style w:type="paragraph" w:customStyle="1" w:styleId="876">
    <w:name w:val="内表头"/>
    <w:basedOn w:val="1"/>
    <w:uiPriority w:val="0"/>
    <w:pPr>
      <w:adjustRightInd w:val="0"/>
      <w:snapToGrid w:val="0"/>
      <w:jc w:val="center"/>
    </w:pPr>
    <w:rPr>
      <w:rFonts w:eastAsia="黑体" w:cs="Arial"/>
      <w:sz w:val="20"/>
      <w:szCs w:val="24"/>
    </w:rPr>
  </w:style>
  <w:style w:type="paragraph" w:customStyle="1" w:styleId="877">
    <w:name w:val="级别表格里目录"/>
    <w:basedOn w:val="1"/>
    <w:uiPriority w:val="0"/>
    <w:pPr>
      <w:spacing w:line="360" w:lineRule="auto"/>
      <w:ind w:left="-122" w:right="-110"/>
      <w:jc w:val="center"/>
    </w:pPr>
    <w:rPr>
      <w:rFonts w:eastAsia="宋体"/>
      <w:kern w:val="0"/>
      <w:sz w:val="21"/>
      <w:szCs w:val="32"/>
    </w:rPr>
  </w:style>
  <w:style w:type="character" w:customStyle="1" w:styleId="878">
    <w:name w:val="2级标题 Char"/>
    <w:link w:val="430"/>
    <w:uiPriority w:val="0"/>
    <w:rPr>
      <w:rFonts w:ascii="Arial" w:hAnsi="Arial"/>
      <w:b/>
      <w:kern w:val="2"/>
      <w:sz w:val="28"/>
    </w:rPr>
  </w:style>
  <w:style w:type="paragraph" w:customStyle="1" w:styleId="879">
    <w:name w:val="cucd-TB"/>
    <w:uiPriority w:val="0"/>
    <w:pPr>
      <w:spacing w:line="360" w:lineRule="auto"/>
      <w:jc w:val="center"/>
    </w:pPr>
    <w:rPr>
      <w:rFonts w:ascii="Times New Roman" w:hAnsi="Times New Roman" w:eastAsia="宋体" w:cs="Times New Roman"/>
      <w:kern w:val="2"/>
      <w:sz w:val="21"/>
      <w:szCs w:val="24"/>
      <w:lang w:val="en-US" w:eastAsia="zh-CN" w:bidi="ar-SA"/>
    </w:rPr>
  </w:style>
  <w:style w:type="character" w:customStyle="1" w:styleId="880">
    <w:name w:val="图表标题 Char"/>
    <w:link w:val="854"/>
    <w:uiPriority w:val="0"/>
    <w:rPr>
      <w:rFonts w:eastAsia="华文细黑"/>
      <w:kern w:val="2"/>
      <w:sz w:val="21"/>
      <w:szCs w:val="22"/>
      <w:lang w:bidi="ar-SA"/>
    </w:rPr>
  </w:style>
  <w:style w:type="paragraph" w:customStyle="1" w:styleId="881">
    <w:name w:val="样式 正文格式 + 首行缩进:  2 字符"/>
    <w:basedOn w:val="1"/>
    <w:uiPriority w:val="0"/>
    <w:pPr>
      <w:spacing w:line="360" w:lineRule="auto"/>
      <w:ind w:firstLine="480" w:firstLineChars="200"/>
    </w:pPr>
    <w:rPr>
      <w:rFonts w:eastAsia="宋体" w:cs="宋体"/>
      <w:sz w:val="24"/>
    </w:rPr>
  </w:style>
  <w:style w:type="character" w:customStyle="1" w:styleId="882">
    <w:name w:val="样式1 Char"/>
    <w:link w:val="402"/>
    <w:uiPriority w:val="0"/>
    <w:rPr>
      <w:rFonts w:ascii="仿宋_GB2312" w:eastAsia="仿宋_GB2312"/>
      <w:b/>
      <w:bCs/>
      <w:sz w:val="24"/>
      <w:lang w:val="zh-CN" w:eastAsia="zh-CN"/>
    </w:rPr>
  </w:style>
  <w:style w:type="paragraph" w:customStyle="1" w:styleId="883">
    <w:name w:val="4级（小）标题"/>
    <w:basedOn w:val="1"/>
    <w:link w:val="884"/>
    <w:qFormat/>
    <w:uiPriority w:val="0"/>
    <w:pPr>
      <w:spacing w:before="60" w:line="360" w:lineRule="auto"/>
      <w:outlineLvl w:val="3"/>
    </w:pPr>
    <w:rPr>
      <w:rFonts w:eastAsia="宋体"/>
      <w:b/>
      <w:sz w:val="24"/>
      <w:szCs w:val="24"/>
      <w:lang w:val="zh-CN" w:eastAsia="zh-CN"/>
    </w:rPr>
  </w:style>
  <w:style w:type="character" w:customStyle="1" w:styleId="884">
    <w:name w:val="4级（小）标题 Char"/>
    <w:link w:val="883"/>
    <w:uiPriority w:val="0"/>
    <w:rPr>
      <w:b/>
      <w:kern w:val="2"/>
      <w:sz w:val="24"/>
      <w:szCs w:val="24"/>
    </w:rPr>
  </w:style>
  <w:style w:type="paragraph" w:customStyle="1" w:styleId="885">
    <w:name w:val="3级（次）标题"/>
    <w:basedOn w:val="1"/>
    <w:link w:val="886"/>
    <w:qFormat/>
    <w:uiPriority w:val="0"/>
    <w:pPr>
      <w:spacing w:line="360" w:lineRule="auto"/>
      <w:ind w:firstLine="241" w:firstLineChars="100"/>
      <w:outlineLvl w:val="2"/>
    </w:pPr>
    <w:rPr>
      <w:rFonts w:ascii="宋体" w:hAnsi="宋体" w:eastAsia="宋体"/>
      <w:b/>
      <w:sz w:val="24"/>
      <w:szCs w:val="24"/>
      <w:lang w:val="zh-CN" w:eastAsia="zh-CN"/>
    </w:rPr>
  </w:style>
  <w:style w:type="character" w:customStyle="1" w:styleId="886">
    <w:name w:val="3级（次）标题 Char"/>
    <w:link w:val="885"/>
    <w:uiPriority w:val="0"/>
    <w:rPr>
      <w:rFonts w:ascii="宋体" w:hAnsi="宋体"/>
      <w:b/>
      <w:kern w:val="2"/>
      <w:sz w:val="24"/>
      <w:szCs w:val="24"/>
    </w:rPr>
  </w:style>
  <w:style w:type="paragraph" w:customStyle="1" w:styleId="887">
    <w:name w:val="正文五"/>
    <w:basedOn w:val="1"/>
    <w:uiPriority w:val="0"/>
    <w:pPr>
      <w:snapToGrid w:val="0"/>
      <w:jc w:val="center"/>
    </w:pPr>
    <w:rPr>
      <w:rFonts w:eastAsia="宋体"/>
      <w:sz w:val="21"/>
      <w:szCs w:val="28"/>
    </w:rPr>
  </w:style>
  <w:style w:type="character" w:customStyle="1" w:styleId="888">
    <w:name w:val="表1 Char"/>
    <w:link w:val="320"/>
    <w:uiPriority w:val="0"/>
    <w:rPr>
      <w:rFonts w:ascii="宋体"/>
      <w:sz w:val="21"/>
      <w:lang w:bidi="ar-SA"/>
    </w:rPr>
  </w:style>
  <w:style w:type="paragraph" w:customStyle="1" w:styleId="889">
    <w:name w:val="ssy3 Char"/>
    <w:basedOn w:val="5"/>
    <w:link w:val="890"/>
    <w:uiPriority w:val="0"/>
    <w:pPr>
      <w:numPr>
        <w:numId w:val="0"/>
      </w:numPr>
      <w:spacing w:before="100" w:beforeAutospacing="1" w:after="100" w:afterAutospacing="1" w:line="520" w:lineRule="exact"/>
      <w:ind w:left="720" w:firstLine="555"/>
    </w:pPr>
    <w:rPr>
      <w:rFonts w:ascii="宋体" w:hAnsi="宋体" w:eastAsia="宋体"/>
      <w:bCs w:val="0"/>
      <w:kern w:val="2"/>
      <w:szCs w:val="28"/>
    </w:rPr>
  </w:style>
  <w:style w:type="character" w:customStyle="1" w:styleId="890">
    <w:name w:val="ssy3 Char Char"/>
    <w:link w:val="889"/>
    <w:uiPriority w:val="0"/>
    <w:rPr>
      <w:rFonts w:ascii="宋体" w:hAnsi="宋体"/>
      <w:b/>
      <w:kern w:val="2"/>
      <w:sz w:val="24"/>
      <w:szCs w:val="28"/>
      <w:lang w:val="zh-CN" w:eastAsia="zh-CN"/>
    </w:rPr>
  </w:style>
  <w:style w:type="character" w:customStyle="1" w:styleId="891">
    <w:name w:val="00 Char"/>
    <w:link w:val="892"/>
    <w:uiPriority w:val="0"/>
    <w:rPr>
      <w:rFonts w:ascii="黑体" w:eastAsia="黑体" w:cs="宋体"/>
      <w:b/>
      <w:bCs/>
      <w:kern w:val="44"/>
      <w:sz w:val="30"/>
    </w:rPr>
  </w:style>
  <w:style w:type="paragraph" w:customStyle="1" w:styleId="892">
    <w:name w:val="00"/>
    <w:basedOn w:val="2"/>
    <w:link w:val="891"/>
    <w:uiPriority w:val="0"/>
    <w:pPr>
      <w:pageBreakBefore w:val="0"/>
      <w:tabs>
        <w:tab w:val="clear" w:pos="1080"/>
      </w:tabs>
      <w:spacing w:before="340" w:after="340" w:line="576" w:lineRule="auto"/>
      <w:ind w:left="432" w:hanging="432"/>
    </w:pPr>
    <w:rPr>
      <w:rFonts w:ascii="黑体" w:eastAsia="黑体"/>
      <w:bCs/>
      <w:sz w:val="30"/>
    </w:rPr>
  </w:style>
  <w:style w:type="character" w:customStyle="1" w:styleId="893">
    <w:name w:val="02 Char"/>
    <w:link w:val="894"/>
    <w:uiPriority w:val="0"/>
    <w:rPr>
      <w:rFonts w:eastAsia="黑体"/>
      <w:b/>
      <w:kern w:val="2"/>
      <w:sz w:val="24"/>
      <w:szCs w:val="32"/>
    </w:rPr>
  </w:style>
  <w:style w:type="paragraph" w:customStyle="1" w:styleId="894">
    <w:name w:val="02"/>
    <w:basedOn w:val="5"/>
    <w:link w:val="893"/>
    <w:uiPriority w:val="0"/>
    <w:pPr>
      <w:numPr>
        <w:numId w:val="0"/>
      </w:numPr>
      <w:spacing w:before="100" w:beforeAutospacing="1" w:after="100" w:afterAutospacing="1" w:line="408" w:lineRule="auto"/>
      <w:ind w:left="720" w:hanging="720"/>
      <w:jc w:val="left"/>
    </w:pPr>
    <w:rPr>
      <w:rFonts w:ascii="Times New Roman" w:eastAsia="黑体"/>
      <w:bCs w:val="0"/>
      <w:kern w:val="2"/>
      <w:szCs w:val="32"/>
    </w:rPr>
  </w:style>
  <w:style w:type="paragraph" w:styleId="895">
    <w:name w:val="No Spacing"/>
    <w:basedOn w:val="1"/>
    <w:link w:val="896"/>
    <w:qFormat/>
    <w:uiPriority w:val="0"/>
    <w:rPr>
      <w:rFonts w:eastAsia="宋体"/>
      <w:sz w:val="21"/>
      <w:szCs w:val="32"/>
      <w:lang w:val="zh-CN" w:eastAsia="zh-CN"/>
    </w:rPr>
  </w:style>
  <w:style w:type="character" w:customStyle="1" w:styleId="896">
    <w:name w:val="无间隔 字符"/>
    <w:link w:val="895"/>
    <w:uiPriority w:val="0"/>
    <w:rPr>
      <w:kern w:val="2"/>
      <w:sz w:val="21"/>
      <w:szCs w:val="32"/>
    </w:rPr>
  </w:style>
  <w:style w:type="paragraph" w:styleId="897">
    <w:name w:val="Quote"/>
    <w:basedOn w:val="1"/>
    <w:next w:val="1"/>
    <w:link w:val="898"/>
    <w:qFormat/>
    <w:uiPriority w:val="0"/>
    <w:rPr>
      <w:rFonts w:eastAsia="宋体"/>
      <w:i/>
      <w:sz w:val="21"/>
      <w:szCs w:val="24"/>
      <w:lang w:val="zh-CN" w:eastAsia="zh-CN"/>
    </w:rPr>
  </w:style>
  <w:style w:type="character" w:customStyle="1" w:styleId="898">
    <w:name w:val="引用 字符"/>
    <w:link w:val="897"/>
    <w:uiPriority w:val="0"/>
    <w:rPr>
      <w:i/>
      <w:kern w:val="2"/>
      <w:sz w:val="21"/>
      <w:szCs w:val="24"/>
    </w:rPr>
  </w:style>
  <w:style w:type="paragraph" w:styleId="899">
    <w:name w:val="Intense Quote"/>
    <w:basedOn w:val="1"/>
    <w:next w:val="1"/>
    <w:link w:val="900"/>
    <w:qFormat/>
    <w:uiPriority w:val="0"/>
    <w:pPr>
      <w:ind w:left="720" w:right="720"/>
    </w:pPr>
    <w:rPr>
      <w:rFonts w:eastAsia="宋体"/>
      <w:b/>
      <w:i/>
      <w:sz w:val="21"/>
      <w:szCs w:val="22"/>
      <w:lang w:val="zh-CN" w:eastAsia="zh-CN"/>
    </w:rPr>
  </w:style>
  <w:style w:type="character" w:customStyle="1" w:styleId="900">
    <w:name w:val="明显引用 字符"/>
    <w:link w:val="899"/>
    <w:uiPriority w:val="0"/>
    <w:rPr>
      <w:b/>
      <w:i/>
      <w:kern w:val="2"/>
      <w:sz w:val="21"/>
      <w:szCs w:val="22"/>
    </w:rPr>
  </w:style>
  <w:style w:type="character" w:customStyle="1" w:styleId="901">
    <w:name w:val="样式 正文格式 Char"/>
    <w:link w:val="902"/>
    <w:uiPriority w:val="0"/>
    <w:rPr>
      <w:sz w:val="24"/>
      <w:szCs w:val="24"/>
    </w:rPr>
  </w:style>
  <w:style w:type="paragraph" w:customStyle="1" w:styleId="902">
    <w:name w:val="样式 正文格式"/>
    <w:basedOn w:val="34"/>
    <w:link w:val="901"/>
    <w:uiPriority w:val="0"/>
    <w:pPr>
      <w:spacing w:line="480" w:lineRule="exact"/>
      <w:ind w:firstLine="480"/>
    </w:pPr>
    <w:rPr>
      <w:kern w:val="0"/>
      <w:sz w:val="24"/>
      <w:szCs w:val="24"/>
      <w:lang w:val="zh-CN" w:eastAsia="zh-CN"/>
    </w:rPr>
  </w:style>
  <w:style w:type="character" w:customStyle="1" w:styleId="903">
    <w:name w:val="表格内标 Char"/>
    <w:link w:val="904"/>
    <w:uiPriority w:val="0"/>
    <w:rPr>
      <w:rFonts w:eastAsia="黑体"/>
      <w:kern w:val="2"/>
    </w:rPr>
  </w:style>
  <w:style w:type="paragraph" w:customStyle="1" w:styleId="904">
    <w:name w:val="表格内标"/>
    <w:basedOn w:val="1"/>
    <w:next w:val="1"/>
    <w:link w:val="903"/>
    <w:uiPriority w:val="0"/>
    <w:pPr>
      <w:adjustRightInd w:val="0"/>
      <w:snapToGrid w:val="0"/>
      <w:jc w:val="center"/>
    </w:pPr>
    <w:rPr>
      <w:rFonts w:eastAsia="黑体"/>
      <w:sz w:val="20"/>
      <w:lang w:val="zh-CN" w:eastAsia="zh-CN"/>
    </w:rPr>
  </w:style>
  <w:style w:type="paragraph" w:customStyle="1" w:styleId="905">
    <w:name w:val="报告正文-连续目录"/>
    <w:basedOn w:val="1"/>
    <w:link w:val="906"/>
    <w:uiPriority w:val="0"/>
    <w:pPr>
      <w:spacing w:line="440" w:lineRule="exact"/>
      <w:ind w:firstLine="200" w:firstLineChars="200"/>
    </w:pPr>
    <w:rPr>
      <w:rFonts w:ascii="Arial" w:hAnsi="Arial" w:eastAsia="宋体"/>
      <w:snapToGrid w:val="0"/>
      <w:sz w:val="24"/>
      <w:szCs w:val="24"/>
      <w:lang w:val="zh-CN" w:eastAsia="zh-CN"/>
    </w:rPr>
  </w:style>
  <w:style w:type="character" w:customStyle="1" w:styleId="906">
    <w:name w:val="报告正文-连续目录 Char Char"/>
    <w:link w:val="905"/>
    <w:uiPriority w:val="0"/>
    <w:rPr>
      <w:rFonts w:ascii="Arial" w:hAnsi="Arial"/>
      <w:snapToGrid w:val="0"/>
      <w:kern w:val="2"/>
      <w:sz w:val="24"/>
      <w:szCs w:val="24"/>
    </w:rPr>
  </w:style>
  <w:style w:type="paragraph" w:customStyle="1" w:styleId="907">
    <w:name w:val="标题111"/>
    <w:basedOn w:val="1"/>
    <w:qFormat/>
    <w:uiPriority w:val="0"/>
    <w:pPr>
      <w:spacing w:before="156" w:beforeLines="50" w:after="156" w:afterLines="50" w:line="360" w:lineRule="auto"/>
      <w:outlineLvl w:val="0"/>
    </w:pPr>
    <w:rPr>
      <w:rFonts w:eastAsia="宋体"/>
      <w:b/>
      <w:sz w:val="36"/>
      <w:szCs w:val="36"/>
    </w:rPr>
  </w:style>
  <w:style w:type="paragraph" w:customStyle="1" w:styleId="908">
    <w:name w:val="徐-报告正文"/>
    <w:basedOn w:val="1"/>
    <w:uiPriority w:val="0"/>
    <w:pPr>
      <w:widowControl/>
      <w:spacing w:line="360" w:lineRule="auto"/>
      <w:ind w:firstLine="200" w:firstLineChars="200"/>
      <w:jc w:val="left"/>
    </w:pPr>
    <w:rPr>
      <w:rFonts w:eastAsia="宋体" w:cs="宋体"/>
      <w:kern w:val="0"/>
      <w:sz w:val="24"/>
      <w:szCs w:val="24"/>
    </w:rPr>
  </w:style>
  <w:style w:type="character" w:customStyle="1" w:styleId="909">
    <w:name w:val="正文格式 Char"/>
    <w:link w:val="910"/>
    <w:uiPriority w:val="0"/>
    <w:rPr>
      <w:rFonts w:ascii="宋体" w:hAnsi="宋体"/>
      <w:kern w:val="2"/>
      <w:sz w:val="24"/>
      <w:szCs w:val="24"/>
    </w:rPr>
  </w:style>
  <w:style w:type="paragraph" w:customStyle="1" w:styleId="910">
    <w:name w:val="正文格式"/>
    <w:basedOn w:val="1"/>
    <w:link w:val="909"/>
    <w:uiPriority w:val="0"/>
    <w:pPr>
      <w:spacing w:line="500" w:lineRule="exact"/>
      <w:ind w:firstLine="200" w:firstLineChars="200"/>
    </w:pPr>
    <w:rPr>
      <w:rFonts w:ascii="宋体" w:hAnsi="宋体" w:eastAsia="宋体"/>
      <w:sz w:val="24"/>
      <w:szCs w:val="24"/>
      <w:lang w:val="zh-CN" w:eastAsia="zh-CN"/>
    </w:rPr>
  </w:style>
  <w:style w:type="character" w:customStyle="1" w:styleId="911">
    <w:name w:val="ourfont2"/>
    <w:uiPriority w:val="0"/>
    <w:rPr>
      <w:rFonts w:hint="eastAsia" w:ascii="宋体" w:hAnsi="宋体" w:eastAsia="宋体"/>
      <w:sz w:val="18"/>
      <w:szCs w:val="18"/>
    </w:rPr>
  </w:style>
  <w:style w:type="character" w:customStyle="1" w:styleId="912">
    <w:name w:val="Char Char Char Char Char1"/>
    <w:uiPriority w:val="0"/>
    <w:rPr>
      <w:rFonts w:eastAsia="仿宋_GB2312"/>
      <w:kern w:val="2"/>
      <w:sz w:val="18"/>
      <w:szCs w:val="18"/>
    </w:rPr>
  </w:style>
  <w:style w:type="character" w:customStyle="1" w:styleId="913">
    <w:name w:val="f121"/>
    <w:uiPriority w:val="0"/>
    <w:rPr>
      <w:sz w:val="18"/>
      <w:szCs w:val="18"/>
      <w:u w:val="none"/>
    </w:rPr>
  </w:style>
  <w:style w:type="character" w:customStyle="1" w:styleId="914">
    <w:name w:val="nfdjsaeriu1"/>
    <w:uiPriority w:val="0"/>
    <w:rPr>
      <w:vanish/>
    </w:rPr>
  </w:style>
  <w:style w:type="character" w:customStyle="1" w:styleId="915">
    <w:name w:val="副标题 Char1"/>
    <w:uiPriority w:val="11"/>
    <w:rPr>
      <w:rFonts w:ascii="Cambria" w:hAnsi="Cambria" w:cs="Times New Roman"/>
      <w:b/>
      <w:bCs/>
      <w:kern w:val="28"/>
      <w:sz w:val="32"/>
      <w:szCs w:val="32"/>
    </w:rPr>
  </w:style>
  <w:style w:type="character" w:customStyle="1" w:styleId="916">
    <w:name w:val="日期 Char1"/>
    <w:semiHidden/>
    <w:uiPriority w:val="99"/>
    <w:rPr>
      <w:kern w:val="2"/>
      <w:sz w:val="21"/>
      <w:szCs w:val="22"/>
    </w:rPr>
  </w:style>
  <w:style w:type="character" w:customStyle="1" w:styleId="917">
    <w:name w:val="p1481"/>
    <w:uiPriority w:val="0"/>
    <w:rPr>
      <w:color w:val="515151"/>
      <w:sz w:val="22"/>
      <w:szCs w:val="22"/>
    </w:rPr>
  </w:style>
  <w:style w:type="character" w:customStyle="1" w:styleId="918">
    <w:name w:val="批注文字 Char1"/>
    <w:semiHidden/>
    <w:uiPriority w:val="99"/>
    <w:rPr>
      <w:kern w:val="2"/>
      <w:sz w:val="21"/>
      <w:szCs w:val="22"/>
    </w:rPr>
  </w:style>
  <w:style w:type="character" w:customStyle="1" w:styleId="919">
    <w:name w:val="tdword"/>
    <w:uiPriority w:val="0"/>
  </w:style>
  <w:style w:type="character" w:customStyle="1" w:styleId="920">
    <w:name w:val="正文文本缩进 2 Char1"/>
    <w:semiHidden/>
    <w:uiPriority w:val="99"/>
    <w:rPr>
      <w:kern w:val="2"/>
      <w:sz w:val="21"/>
      <w:szCs w:val="22"/>
    </w:rPr>
  </w:style>
  <w:style w:type="character" w:customStyle="1" w:styleId="921">
    <w:name w:val="f241"/>
    <w:uiPriority w:val="0"/>
    <w:rPr>
      <w:sz w:val="40"/>
      <w:szCs w:val="40"/>
    </w:rPr>
  </w:style>
  <w:style w:type="character" w:customStyle="1" w:styleId="922">
    <w:name w:val="Subtle Emphasis"/>
    <w:qFormat/>
    <w:uiPriority w:val="0"/>
    <w:rPr>
      <w:i/>
      <w:iCs/>
      <w:color w:val="808080"/>
    </w:rPr>
  </w:style>
  <w:style w:type="character" w:customStyle="1" w:styleId="923">
    <w:name w:val="td21"/>
    <w:uiPriority w:val="0"/>
    <w:rPr>
      <w:rFonts w:ascii="黑体" w:eastAsia="黑体"/>
      <w:sz w:val="24"/>
      <w:szCs w:val="21"/>
    </w:rPr>
  </w:style>
  <w:style w:type="character" w:customStyle="1" w:styleId="924">
    <w:name w:val="l121"/>
    <w:uiPriority w:val="0"/>
    <w:rPr>
      <w:color w:val="393939"/>
      <w:sz w:val="18"/>
      <w:szCs w:val="18"/>
      <w:u w:val="none"/>
    </w:rPr>
  </w:style>
  <w:style w:type="character" w:customStyle="1" w:styleId="925">
    <w:name w:val="Char Char1 Char"/>
    <w:link w:val="926"/>
    <w:uiPriority w:val="0"/>
    <w:rPr>
      <w:rFonts w:ascii="宋体" w:hAnsi="宋体" w:cs="宋体"/>
      <w:kern w:val="2"/>
      <w:sz w:val="24"/>
      <w:szCs w:val="24"/>
    </w:rPr>
  </w:style>
  <w:style w:type="paragraph" w:customStyle="1" w:styleId="926">
    <w:name w:val="Char Char12"/>
    <w:basedOn w:val="1"/>
    <w:link w:val="925"/>
    <w:uiPriority w:val="0"/>
    <w:pPr>
      <w:widowControl/>
      <w:spacing w:line="360" w:lineRule="auto"/>
      <w:ind w:firstLine="200" w:firstLineChars="200"/>
      <w:jc w:val="left"/>
    </w:pPr>
    <w:rPr>
      <w:rFonts w:ascii="宋体" w:hAnsi="宋体" w:eastAsia="宋体"/>
      <w:sz w:val="24"/>
      <w:szCs w:val="24"/>
      <w:lang w:val="zh-CN" w:eastAsia="zh-CN"/>
    </w:rPr>
  </w:style>
  <w:style w:type="character" w:customStyle="1" w:styleId="927">
    <w:name w:val="a31"/>
    <w:uiPriority w:val="0"/>
    <w:rPr>
      <w:rFonts w:hint="eastAsia" w:ascii="宋体" w:hAnsi="宋体" w:eastAsia="宋体"/>
      <w:color w:val="000000"/>
      <w:sz w:val="20"/>
      <w:szCs w:val="20"/>
    </w:rPr>
  </w:style>
  <w:style w:type="character" w:customStyle="1" w:styleId="928">
    <w:name w:val="b-121"/>
    <w:uiPriority w:val="0"/>
    <w:rPr>
      <w:rFonts w:hint="default"/>
      <w:sz w:val="18"/>
      <w:szCs w:val="18"/>
      <w:u w:val="none"/>
    </w:rPr>
  </w:style>
  <w:style w:type="character" w:customStyle="1" w:styleId="929">
    <w:name w:val="articlebody3"/>
    <w:uiPriority w:val="0"/>
    <w:rPr>
      <w:sz w:val="21"/>
      <w:szCs w:val="21"/>
    </w:rPr>
  </w:style>
  <w:style w:type="character" w:customStyle="1" w:styleId="930">
    <w:name w:val="style151"/>
    <w:uiPriority w:val="0"/>
    <w:rPr>
      <w:b/>
      <w:bCs/>
      <w:color w:val="CC0000"/>
      <w:sz w:val="22"/>
      <w:szCs w:val="22"/>
    </w:rPr>
  </w:style>
  <w:style w:type="character" w:customStyle="1" w:styleId="931">
    <w:name w:val="批注主题 Char1"/>
    <w:uiPriority w:val="99"/>
    <w:rPr>
      <w:b/>
      <w:bCs/>
      <w:kern w:val="2"/>
      <w:sz w:val="21"/>
      <w:szCs w:val="22"/>
    </w:rPr>
  </w:style>
  <w:style w:type="character" w:customStyle="1" w:styleId="932">
    <w:name w:val="style51"/>
    <w:uiPriority w:val="0"/>
    <w:rPr>
      <w:rFonts w:hint="eastAsia" w:ascii="宋体" w:hAnsi="宋体" w:eastAsia="宋体"/>
      <w:sz w:val="23"/>
      <w:szCs w:val="23"/>
    </w:rPr>
  </w:style>
  <w:style w:type="character" w:customStyle="1" w:styleId="933">
    <w:name w:val="menu-text1"/>
    <w:uiPriority w:val="0"/>
    <w:rPr>
      <w:rFonts w:hint="default"/>
      <w:color w:val="333333"/>
      <w:sz w:val="21"/>
      <w:szCs w:val="21"/>
      <w:u w:val="none"/>
    </w:rPr>
  </w:style>
  <w:style w:type="character" w:customStyle="1" w:styleId="934">
    <w:name w:val="ww2"/>
    <w:uiPriority w:val="0"/>
    <w:rPr>
      <w:color w:val="000000"/>
      <w:sz w:val="22"/>
      <w:szCs w:val="22"/>
      <w:u w:val="none"/>
    </w:rPr>
  </w:style>
  <w:style w:type="character" w:customStyle="1" w:styleId="935">
    <w:name w:val="样式 汉鼎简魏碑"/>
    <w:uiPriority w:val="0"/>
    <w:rPr>
      <w:rFonts w:ascii="汉鼎简魏碑" w:hAnsi="汉鼎简魏碑" w:eastAsia="楷体_GB2312"/>
    </w:rPr>
  </w:style>
  <w:style w:type="character" w:customStyle="1" w:styleId="936">
    <w:name w:val="unnamed11"/>
    <w:uiPriority w:val="0"/>
    <w:rPr>
      <w:rFonts w:hint="eastAsia" w:ascii="宋体" w:hAnsi="宋体" w:eastAsia="宋体"/>
      <w:sz w:val="20"/>
      <w:szCs w:val="20"/>
    </w:rPr>
  </w:style>
  <w:style w:type="character" w:customStyle="1" w:styleId="937">
    <w:name w:val="HTML 预设格式 Char1"/>
    <w:semiHidden/>
    <w:uiPriority w:val="0"/>
    <w:rPr>
      <w:rFonts w:ascii="Courier New" w:hAnsi="Courier New" w:cs="Courier New"/>
      <w:kern w:val="2"/>
    </w:rPr>
  </w:style>
  <w:style w:type="character" w:customStyle="1" w:styleId="938">
    <w:name w:val="样式 样式 标题 2 + 段后: 12 行 + Times New Roman Char"/>
    <w:link w:val="939"/>
    <w:uiPriority w:val="0"/>
    <w:rPr>
      <w:rFonts w:eastAsia="华文中宋"/>
      <w:b/>
      <w:bCs/>
      <w:kern w:val="2"/>
      <w:sz w:val="32"/>
      <w:szCs w:val="24"/>
    </w:rPr>
  </w:style>
  <w:style w:type="paragraph" w:customStyle="1" w:styleId="939">
    <w:name w:val="样式 样式 标题 2 + 段后: 12 行 + Times New Roman"/>
    <w:basedOn w:val="1"/>
    <w:link w:val="938"/>
    <w:uiPriority w:val="0"/>
    <w:pPr>
      <w:keepNext/>
      <w:keepLines/>
      <w:spacing w:before="240" w:after="240"/>
      <w:outlineLvl w:val="1"/>
    </w:pPr>
    <w:rPr>
      <w:rFonts w:eastAsia="华文中宋"/>
      <w:b/>
      <w:bCs/>
      <w:sz w:val="32"/>
      <w:szCs w:val="24"/>
      <w:lang w:val="zh-CN" w:eastAsia="zh-CN"/>
    </w:rPr>
  </w:style>
  <w:style w:type="character" w:customStyle="1" w:styleId="940">
    <w:name w:val="unnamed2"/>
    <w:uiPriority w:val="0"/>
  </w:style>
  <w:style w:type="character" w:customStyle="1" w:styleId="941">
    <w:name w:val="line21"/>
    <w:uiPriority w:val="0"/>
    <w:rPr>
      <w:color w:val="666666"/>
      <w:sz w:val="20"/>
      <w:szCs w:val="20"/>
      <w:u w:val="none"/>
    </w:rPr>
  </w:style>
  <w:style w:type="paragraph" w:customStyle="1" w:styleId="942">
    <w:name w:val="样式 正文文本缩进 + 左侧:  0.95 厘米 首行缩进:  0.63 厘米"/>
    <w:basedOn w:val="34"/>
    <w:uiPriority w:val="0"/>
    <w:pPr>
      <w:spacing w:line="360" w:lineRule="auto"/>
      <w:ind w:left="539" w:firstLine="510"/>
    </w:pPr>
    <w:rPr>
      <w:rFonts w:cs="宋体"/>
      <w:color w:val="000000"/>
      <w:sz w:val="24"/>
    </w:rPr>
  </w:style>
  <w:style w:type="paragraph" w:customStyle="1" w:styleId="943">
    <w:name w:val="样式 标题 4 + 两端对齐"/>
    <w:basedOn w:val="6"/>
    <w:uiPriority w:val="0"/>
    <w:pPr>
      <w:keepNext w:val="0"/>
      <w:keepLines w:val="0"/>
      <w:numPr>
        <w:ilvl w:val="0"/>
        <w:numId w:val="0"/>
      </w:numPr>
      <w:tabs>
        <w:tab w:val="left" w:pos="900"/>
      </w:tabs>
      <w:spacing w:after="120" w:line="360" w:lineRule="auto"/>
    </w:pPr>
    <w:rPr>
      <w:rFonts w:ascii="宋体" w:hAnsi="宋体" w:eastAsia="宋体" w:cs="宋体"/>
      <w:b w:val="0"/>
      <w:snapToGrid w:val="0"/>
      <w:kern w:val="0"/>
      <w:szCs w:val="24"/>
    </w:rPr>
  </w:style>
  <w:style w:type="paragraph" w:customStyle="1" w:styleId="944">
    <w:name w:val="标书正文"/>
    <w:basedOn w:val="33"/>
    <w:uiPriority w:val="0"/>
    <w:pPr>
      <w:spacing w:after="0" w:line="360" w:lineRule="auto"/>
    </w:pPr>
    <w:rPr>
      <w:rFonts w:ascii="Arial Narrow" w:hAnsi="Arial Narrow"/>
      <w:sz w:val="24"/>
      <w:szCs w:val="24"/>
      <w:lang w:val="en-US" w:eastAsia="zh-CN"/>
    </w:rPr>
  </w:style>
  <w:style w:type="paragraph" w:customStyle="1" w:styleId="945">
    <w:name w:val="样式 表头样式1 + 首行缩进:  0.85 厘米"/>
    <w:basedOn w:val="946"/>
    <w:uiPriority w:val="0"/>
    <w:pPr>
      <w:spacing w:beforeLines="20" w:afterLines="20" w:line="360" w:lineRule="auto"/>
      <w:jc w:val="center"/>
    </w:pPr>
    <w:rPr>
      <w:rFonts w:ascii="黑体" w:hAnsi="宋体" w:eastAsia="黑体"/>
      <w:color w:val="auto"/>
      <w:sz w:val="24"/>
      <w:szCs w:val="20"/>
      <w:lang w:eastAsia="zh-CN"/>
    </w:rPr>
  </w:style>
  <w:style w:type="paragraph" w:customStyle="1" w:styleId="946">
    <w:name w:val="表头样式1"/>
    <w:basedOn w:val="1"/>
    <w:uiPriority w:val="0"/>
    <w:pPr>
      <w:adjustRightInd w:val="0"/>
      <w:snapToGrid w:val="0"/>
      <w:spacing w:before="200" w:after="200" w:line="500" w:lineRule="exact"/>
    </w:pPr>
    <w:rPr>
      <w:rFonts w:ascii="宋体" w:eastAsia="宋体"/>
      <w:color w:val="000000"/>
      <w:kern w:val="0"/>
      <w:szCs w:val="24"/>
      <w:lang w:eastAsia="zh-TW"/>
    </w:rPr>
  </w:style>
  <w:style w:type="paragraph" w:customStyle="1" w:styleId="947">
    <w:name w:val="图像样式"/>
    <w:basedOn w:val="1"/>
    <w:qFormat/>
    <w:uiPriority w:val="0"/>
    <w:pPr>
      <w:snapToGrid w:val="0"/>
      <w:spacing w:beforeLines="50" w:afterLines="50"/>
      <w:jc w:val="center"/>
    </w:pPr>
    <w:rPr>
      <w:rFonts w:eastAsia="宋体"/>
      <w:sz w:val="24"/>
      <w:szCs w:val="24"/>
    </w:rPr>
  </w:style>
  <w:style w:type="paragraph" w:customStyle="1" w:styleId="948">
    <w:name w:val="样式9表格"/>
    <w:next w:val="1"/>
    <w:uiPriority w:val="0"/>
    <w:pPr>
      <w:spacing w:before="120" w:line="300" w:lineRule="auto"/>
      <w:jc w:val="center"/>
    </w:pPr>
    <w:rPr>
      <w:rFonts w:ascii="Times New Roman" w:hAnsi="Times New Roman" w:eastAsia="宋体" w:cs="Times New Roman"/>
      <w:sz w:val="21"/>
      <w:lang w:val="en-US" w:eastAsia="zh-CN" w:bidi="ar-SA"/>
    </w:rPr>
  </w:style>
  <w:style w:type="paragraph" w:customStyle="1" w:styleId="949">
    <w:name w:val="样式0表换行"/>
    <w:basedOn w:val="1"/>
    <w:uiPriority w:val="0"/>
    <w:pPr>
      <w:spacing w:line="300" w:lineRule="auto"/>
      <w:jc w:val="center"/>
    </w:pPr>
    <w:rPr>
      <w:rFonts w:eastAsia="宋体"/>
      <w:sz w:val="21"/>
    </w:rPr>
  </w:style>
  <w:style w:type="paragraph" w:customStyle="1" w:styleId="950">
    <w:name w:val="标题001"/>
    <w:basedOn w:val="1"/>
    <w:uiPriority w:val="0"/>
    <w:pPr>
      <w:spacing w:before="60" w:line="480" w:lineRule="exact"/>
      <w:outlineLvl w:val="0"/>
    </w:pPr>
    <w:rPr>
      <w:rFonts w:eastAsia="宋体"/>
      <w:b/>
      <w:sz w:val="32"/>
    </w:rPr>
  </w:style>
  <w:style w:type="paragraph" w:customStyle="1" w:styleId="951">
    <w:name w:val="框架"/>
    <w:basedOn w:val="1"/>
    <w:link w:val="2281"/>
    <w:uiPriority w:val="0"/>
    <w:pPr>
      <w:adjustRightInd w:val="0"/>
      <w:snapToGrid w:val="0"/>
      <w:jc w:val="center"/>
    </w:pPr>
    <w:rPr>
      <w:rFonts w:ascii="宋体" w:hAnsi="宋体" w:eastAsia="宋体"/>
      <w:kern w:val="0"/>
      <w:sz w:val="18"/>
    </w:rPr>
  </w:style>
  <w:style w:type="paragraph" w:customStyle="1" w:styleId="952">
    <w:name w:val="表格01"/>
    <w:basedOn w:val="1"/>
    <w:uiPriority w:val="0"/>
    <w:pPr>
      <w:spacing w:before="100" w:beforeAutospacing="1" w:line="240" w:lineRule="atLeast"/>
    </w:pPr>
    <w:rPr>
      <w:rFonts w:eastAsia="宋体"/>
      <w:bCs/>
      <w:sz w:val="24"/>
      <w:szCs w:val="24"/>
    </w:rPr>
  </w:style>
  <w:style w:type="paragraph" w:customStyle="1" w:styleId="953">
    <w:name w:val="Char Char Char Char Char Char1"/>
    <w:basedOn w:val="1"/>
    <w:uiPriority w:val="0"/>
    <w:pPr>
      <w:spacing w:line="360" w:lineRule="auto"/>
      <w:ind w:firstLine="200" w:firstLineChars="200"/>
    </w:pPr>
    <w:rPr>
      <w:rFonts w:ascii="宋体" w:hAnsi="宋体" w:eastAsia="宋体"/>
      <w:sz w:val="24"/>
      <w:szCs w:val="24"/>
    </w:rPr>
  </w:style>
  <w:style w:type="paragraph" w:customStyle="1" w:styleId="954">
    <w:name w:val="小四表格"/>
    <w:basedOn w:val="1"/>
    <w:uiPriority w:val="0"/>
    <w:pPr>
      <w:snapToGrid w:val="0"/>
      <w:jc w:val="center"/>
    </w:pPr>
    <w:rPr>
      <w:rFonts w:eastAsia="宋体"/>
      <w:kern w:val="0"/>
      <w:sz w:val="24"/>
    </w:rPr>
  </w:style>
  <w:style w:type="paragraph" w:customStyle="1" w:styleId="955">
    <w:name w:val="Char Char1 Char Char Char Char Char Char Char Char Char Char Char Char Char Char Char Char Char Char1"/>
    <w:basedOn w:val="1"/>
    <w:uiPriority w:val="0"/>
    <w:pPr>
      <w:spacing w:line="360" w:lineRule="auto"/>
      <w:ind w:firstLine="200" w:firstLineChars="200"/>
    </w:pPr>
    <w:rPr>
      <w:rFonts w:eastAsia="宋体"/>
      <w:sz w:val="21"/>
    </w:rPr>
  </w:style>
  <w:style w:type="paragraph" w:customStyle="1" w:styleId="956">
    <w:name w:val="Char Char Char2 Char Char Char Char Char Char Char Char Char Char Char1"/>
    <w:basedOn w:val="1"/>
    <w:uiPriority w:val="0"/>
    <w:pPr>
      <w:spacing w:beforeLines="20" w:line="440" w:lineRule="atLeast"/>
      <w:ind w:firstLine="200" w:firstLineChars="200"/>
    </w:pPr>
    <w:rPr>
      <w:rFonts w:eastAsia="宋体"/>
      <w:sz w:val="24"/>
      <w:szCs w:val="24"/>
    </w:rPr>
  </w:style>
  <w:style w:type="paragraph" w:customStyle="1" w:styleId="957">
    <w:name w:val="表格文字 Char"/>
    <w:basedOn w:val="4"/>
    <w:uiPriority w:val="0"/>
    <w:pPr>
      <w:spacing w:beforeLines="50" w:line="240" w:lineRule="auto"/>
      <w:ind w:firstLine="0"/>
      <w:jc w:val="center"/>
    </w:pPr>
    <w:rPr>
      <w:rFonts w:ascii="Times New Roman" w:hAnsi="Times New Roman" w:cs="Times New Roman"/>
      <w:spacing w:val="0"/>
      <w:szCs w:val="24"/>
    </w:rPr>
  </w:style>
  <w:style w:type="paragraph" w:customStyle="1" w:styleId="958">
    <w:name w:val="君邦正文"/>
    <w:link w:val="2122"/>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959">
    <w:name w:val="font14"/>
    <w:basedOn w:val="1"/>
    <w:uiPriority w:val="0"/>
    <w:pPr>
      <w:widowControl/>
      <w:spacing w:before="100" w:beforeAutospacing="1" w:after="100" w:afterAutospacing="1"/>
      <w:jc w:val="left"/>
    </w:pPr>
    <w:rPr>
      <w:rFonts w:eastAsia="Arial Unicode MS"/>
      <w:b/>
      <w:bCs/>
      <w:kern w:val="0"/>
      <w:sz w:val="20"/>
    </w:rPr>
  </w:style>
  <w:style w:type="paragraph" w:customStyle="1" w:styleId="960">
    <w:name w:val="样式 表样式1 + 首行缩进:  2.25 字符1"/>
    <w:basedOn w:val="961"/>
    <w:uiPriority w:val="0"/>
    <w:pPr>
      <w:snapToGrid w:val="0"/>
      <w:ind w:left="-10" w:leftChars="-10" w:right="-10" w:rightChars="-10"/>
    </w:pPr>
    <w:rPr>
      <w:sz w:val="21"/>
      <w:szCs w:val="20"/>
      <w:lang w:eastAsia="zh-TW"/>
    </w:rPr>
  </w:style>
  <w:style w:type="paragraph" w:customStyle="1" w:styleId="961">
    <w:name w:val="表样式1"/>
    <w:basedOn w:val="1"/>
    <w:uiPriority w:val="0"/>
    <w:pPr>
      <w:spacing w:beforeLines="20"/>
      <w:jc w:val="center"/>
    </w:pPr>
    <w:rPr>
      <w:rFonts w:eastAsia="宋体"/>
      <w:color w:val="000000"/>
      <w:spacing w:val="-10"/>
      <w:kern w:val="0"/>
      <w:sz w:val="24"/>
      <w:szCs w:val="24"/>
      <w:u w:val="single"/>
    </w:rPr>
  </w:style>
  <w:style w:type="paragraph" w:customStyle="1" w:styleId="962">
    <w:name w:val="Char Char Char Char Char Char2 Char Char Char Char"/>
    <w:basedOn w:val="1"/>
    <w:uiPriority w:val="0"/>
    <w:rPr>
      <w:rFonts w:eastAsia="宋体"/>
      <w:sz w:val="21"/>
      <w:szCs w:val="24"/>
    </w:rPr>
  </w:style>
  <w:style w:type="paragraph" w:customStyle="1" w:styleId="963">
    <w:name w:val="Body Text 22"/>
    <w:basedOn w:val="1"/>
    <w:uiPriority w:val="0"/>
    <w:pPr>
      <w:adjustRightInd w:val="0"/>
      <w:spacing w:line="440" w:lineRule="atLeast"/>
      <w:ind w:firstLine="480"/>
      <w:textAlignment w:val="baseline"/>
    </w:pPr>
    <w:rPr>
      <w:sz w:val="24"/>
    </w:rPr>
  </w:style>
  <w:style w:type="paragraph" w:customStyle="1" w:styleId="964">
    <w:name w:val="Char Char Char Char Char Char1 Char Char Char Char1"/>
    <w:basedOn w:val="1"/>
    <w:uiPriority w:val="0"/>
    <w:rPr>
      <w:rFonts w:eastAsia="宋体"/>
      <w:sz w:val="24"/>
      <w:szCs w:val="24"/>
    </w:rPr>
  </w:style>
  <w:style w:type="paragraph" w:customStyle="1" w:styleId="965">
    <w:name w:val="font10"/>
    <w:basedOn w:val="1"/>
    <w:uiPriority w:val="0"/>
    <w:pPr>
      <w:widowControl/>
      <w:spacing w:before="100" w:beforeAutospacing="1" w:after="100" w:afterAutospacing="1"/>
      <w:jc w:val="left"/>
    </w:pPr>
    <w:rPr>
      <w:rFonts w:eastAsia="宋体"/>
      <w:kern w:val="0"/>
      <w:sz w:val="22"/>
      <w:szCs w:val="22"/>
    </w:rPr>
  </w:style>
  <w:style w:type="paragraph" w:customStyle="1" w:styleId="966">
    <w:name w:val="正文-biao"/>
    <w:basedOn w:val="1"/>
    <w:link w:val="1886"/>
    <w:uiPriority w:val="0"/>
    <w:pPr>
      <w:spacing w:before="60" w:line="460" w:lineRule="exact"/>
      <w:ind w:firstLine="482"/>
    </w:pPr>
    <w:rPr>
      <w:rFonts w:hAnsi="宋体" w:eastAsia="宋体"/>
      <w:sz w:val="24"/>
      <w:szCs w:val="24"/>
    </w:rPr>
  </w:style>
  <w:style w:type="paragraph" w:customStyle="1" w:styleId="967">
    <w:name w:val="Char Char Char Char Char Char Char Char Char"/>
    <w:basedOn w:val="1"/>
    <w:uiPriority w:val="0"/>
    <w:rPr>
      <w:rFonts w:eastAsia="宋体"/>
      <w:sz w:val="21"/>
    </w:rPr>
  </w:style>
  <w:style w:type="paragraph" w:customStyle="1" w:styleId="968">
    <w:name w:val="font13"/>
    <w:basedOn w:val="1"/>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969">
    <w:name w:val="无间隔1"/>
    <w:uiPriority w:val="0"/>
    <w:pPr>
      <w:widowControl w:val="0"/>
      <w:jc w:val="both"/>
    </w:pPr>
    <w:rPr>
      <w:rFonts w:ascii="Calibri" w:hAnsi="Calibri" w:eastAsia="宋体" w:cs="Calibri"/>
      <w:kern w:val="2"/>
      <w:sz w:val="21"/>
      <w:szCs w:val="21"/>
      <w:lang w:val="en-US" w:eastAsia="zh-CN" w:bidi="ar-SA"/>
    </w:rPr>
  </w:style>
  <w:style w:type="paragraph" w:customStyle="1" w:styleId="970">
    <w:name w:val="默认段落字体1"/>
    <w:basedOn w:val="1"/>
    <w:uiPriority w:val="0"/>
    <w:pPr>
      <w:spacing w:line="360" w:lineRule="auto"/>
      <w:ind w:firstLine="200" w:firstLineChars="200"/>
    </w:pPr>
    <w:rPr>
      <w:rFonts w:ascii="宋体" w:hAnsi="宋体" w:eastAsia="宋体" w:cs="宋体"/>
      <w:sz w:val="24"/>
      <w:szCs w:val="24"/>
    </w:rPr>
  </w:style>
  <w:style w:type="paragraph" w:customStyle="1" w:styleId="971">
    <w:name w:val="Body Text 21"/>
    <w:basedOn w:val="1"/>
    <w:uiPriority w:val="0"/>
    <w:pPr>
      <w:autoSpaceDE w:val="0"/>
      <w:autoSpaceDN w:val="0"/>
      <w:adjustRightInd w:val="0"/>
      <w:spacing w:line="480" w:lineRule="exact"/>
      <w:ind w:firstLine="540"/>
      <w:textAlignment w:val="baseline"/>
    </w:pPr>
    <w:rPr>
      <w:rFonts w:ascii="宋体" w:hAnsi="Tms Rmn" w:eastAsia="宋体"/>
      <w:kern w:val="0"/>
      <w:sz w:val="24"/>
    </w:rPr>
  </w:style>
  <w:style w:type="paragraph" w:customStyle="1" w:styleId="972">
    <w:name w:val="标题003"/>
    <w:basedOn w:val="1"/>
    <w:uiPriority w:val="0"/>
    <w:pPr>
      <w:spacing w:line="440" w:lineRule="exact"/>
      <w:outlineLvl w:val="2"/>
    </w:pPr>
    <w:rPr>
      <w:rFonts w:eastAsia="宋体"/>
      <w:bCs/>
      <w:sz w:val="24"/>
    </w:rPr>
  </w:style>
  <w:style w:type="paragraph" w:customStyle="1" w:styleId="973">
    <w:name w:val="表内格式"/>
    <w:basedOn w:val="1"/>
    <w:uiPriority w:val="0"/>
    <w:pPr>
      <w:spacing w:line="280" w:lineRule="exact"/>
      <w:jc w:val="center"/>
    </w:pPr>
    <w:rPr>
      <w:rFonts w:ascii="宋体" w:eastAsia="宋体"/>
      <w:sz w:val="18"/>
    </w:rPr>
  </w:style>
  <w:style w:type="paragraph" w:customStyle="1" w:styleId="974">
    <w:name w:val="ST20_1"/>
    <w:basedOn w:val="1"/>
    <w:uiPriority w:val="0"/>
    <w:pPr>
      <w:autoSpaceDE w:val="0"/>
      <w:autoSpaceDN w:val="0"/>
      <w:adjustRightInd w:val="0"/>
      <w:spacing w:line="312" w:lineRule="atLeast"/>
      <w:jc w:val="center"/>
      <w:textAlignment w:val="baseline"/>
    </w:pPr>
    <w:rPr>
      <w:rFonts w:ascii="宋体" w:hAnsi="Tms Rmn" w:eastAsia="宋体"/>
      <w:kern w:val="0"/>
      <w:sz w:val="24"/>
    </w:rPr>
  </w:style>
  <w:style w:type="paragraph" w:customStyle="1" w:styleId="975">
    <w:name w:val="正文 1"/>
    <w:basedOn w:val="1"/>
    <w:uiPriority w:val="0"/>
    <w:pPr>
      <w:adjustRightInd w:val="0"/>
      <w:snapToGrid w:val="0"/>
      <w:spacing w:line="440" w:lineRule="exact"/>
      <w:ind w:firstLine="200" w:firstLineChars="200"/>
    </w:pPr>
    <w:rPr>
      <w:rFonts w:eastAsia="宋体"/>
      <w:sz w:val="24"/>
      <w:szCs w:val="24"/>
    </w:rPr>
  </w:style>
  <w:style w:type="paragraph" w:customStyle="1" w:styleId="976">
    <w:name w:val="表格字体"/>
    <w:basedOn w:val="1"/>
    <w:uiPriority w:val="0"/>
    <w:pPr>
      <w:tabs>
        <w:tab w:val="left" w:pos="0"/>
        <w:tab w:val="left" w:pos="180"/>
      </w:tabs>
      <w:jc w:val="center"/>
    </w:pPr>
    <w:rPr>
      <w:rFonts w:ascii="宋体" w:hAnsi="宋体" w:eastAsia="宋体"/>
      <w:bCs/>
      <w:iCs/>
      <w:snapToGrid w:val="0"/>
      <w:kern w:val="0"/>
      <w:sz w:val="21"/>
      <w:szCs w:val="21"/>
    </w:rPr>
  </w:style>
  <w:style w:type="paragraph" w:customStyle="1" w:styleId="977">
    <w:name w:val="Char1 Char Char Char1"/>
    <w:basedOn w:val="1"/>
    <w:uiPriority w:val="0"/>
    <w:rPr>
      <w:rFonts w:eastAsia="宋体"/>
      <w:sz w:val="21"/>
      <w:szCs w:val="21"/>
    </w:rPr>
  </w:style>
  <w:style w:type="paragraph" w:customStyle="1" w:styleId="978">
    <w:name w:val="标题02"/>
    <w:basedOn w:val="1"/>
    <w:next w:val="1"/>
    <w:uiPriority w:val="0"/>
    <w:pPr>
      <w:adjustRightInd w:val="0"/>
      <w:snapToGrid w:val="0"/>
      <w:spacing w:line="440" w:lineRule="atLeast"/>
      <w:outlineLvl w:val="1"/>
    </w:pPr>
    <w:rPr>
      <w:rFonts w:eastAsia="宋体"/>
      <w:b/>
      <w:sz w:val="24"/>
    </w:rPr>
  </w:style>
  <w:style w:type="paragraph" w:customStyle="1" w:styleId="979">
    <w:name w:val="符号_01"/>
    <w:uiPriority w:val="0"/>
    <w:pPr>
      <w:tabs>
        <w:tab w:val="left" w:pos="2040"/>
        <w:tab w:val="right" w:leader="dot" w:pos="6896"/>
        <w:tab w:val="left" w:pos="7070"/>
      </w:tabs>
      <w:spacing w:afterLines="50" w:line="240" w:lineRule="atLeast"/>
      <w:ind w:left="2040" w:leftChars="800" w:right="420" w:rightChars="200" w:hanging="360" w:hangingChars="200"/>
      <w:jc w:val="both"/>
    </w:pPr>
    <w:rPr>
      <w:rFonts w:ascii="Garamond" w:hAnsi="Garamond" w:eastAsia="楷体_GB2312" w:cs="Times New Roman"/>
      <w:kern w:val="2"/>
      <w:sz w:val="28"/>
      <w:szCs w:val="28"/>
      <w:lang w:val="en-US" w:eastAsia="zh-CN" w:bidi="ar-SA"/>
    </w:rPr>
  </w:style>
  <w:style w:type="paragraph" w:customStyle="1" w:styleId="980">
    <w:name w:val="定表"/>
    <w:basedOn w:val="1"/>
    <w:uiPriority w:val="0"/>
    <w:pPr>
      <w:snapToGrid w:val="0"/>
      <w:spacing w:afterLines="50"/>
    </w:pPr>
    <w:rPr>
      <w:rFonts w:eastAsia="宋体"/>
      <w:sz w:val="21"/>
      <w:szCs w:val="24"/>
    </w:rPr>
  </w:style>
  <w:style w:type="paragraph" w:customStyle="1" w:styleId="981">
    <w:name w:val="font1"/>
    <w:basedOn w:val="1"/>
    <w:uiPriority w:val="0"/>
    <w:pPr>
      <w:widowControl/>
      <w:spacing w:before="100" w:beforeAutospacing="1" w:after="100" w:afterAutospacing="1"/>
      <w:jc w:val="left"/>
    </w:pPr>
    <w:rPr>
      <w:rFonts w:hint="eastAsia" w:ascii="宋体" w:hAnsi="宋体" w:eastAsia="宋体"/>
      <w:kern w:val="0"/>
      <w:sz w:val="24"/>
      <w:szCs w:val="24"/>
    </w:rPr>
  </w:style>
  <w:style w:type="paragraph" w:customStyle="1" w:styleId="982">
    <w:name w:val="标题03"/>
    <w:basedOn w:val="1"/>
    <w:uiPriority w:val="0"/>
    <w:pPr>
      <w:tabs>
        <w:tab w:val="left" w:pos="610"/>
        <w:tab w:val="left" w:pos="860"/>
        <w:tab w:val="left" w:pos="1075"/>
      </w:tabs>
      <w:snapToGrid w:val="0"/>
      <w:spacing w:before="100" w:beforeAutospacing="1" w:after="100" w:afterAutospacing="1" w:line="360" w:lineRule="auto"/>
      <w:jc w:val="left"/>
      <w:outlineLvl w:val="2"/>
    </w:pPr>
    <w:rPr>
      <w:rFonts w:eastAsia="宋体"/>
      <w:b/>
      <w:spacing w:val="2"/>
      <w:sz w:val="24"/>
    </w:rPr>
  </w:style>
  <w:style w:type="paragraph" w:customStyle="1" w:styleId="983">
    <w:name w:val="font12"/>
    <w:basedOn w:val="1"/>
    <w:uiPriority w:val="0"/>
    <w:pPr>
      <w:widowControl/>
      <w:spacing w:before="100" w:beforeAutospacing="1" w:after="100" w:afterAutospacing="1"/>
      <w:jc w:val="left"/>
    </w:pPr>
    <w:rPr>
      <w:rFonts w:eastAsia="Arial Unicode MS"/>
      <w:b/>
      <w:bCs/>
      <w:kern w:val="0"/>
      <w:sz w:val="24"/>
      <w:szCs w:val="24"/>
    </w:rPr>
  </w:style>
  <w:style w:type="paragraph" w:customStyle="1" w:styleId="984">
    <w:name w:val="标题01"/>
    <w:basedOn w:val="1"/>
    <w:uiPriority w:val="0"/>
    <w:pPr>
      <w:adjustRightInd w:val="0"/>
      <w:snapToGrid w:val="0"/>
      <w:spacing w:after="120" w:line="460" w:lineRule="atLeast"/>
      <w:ind w:firstLine="480"/>
      <w:jc w:val="center"/>
      <w:outlineLvl w:val="0"/>
    </w:pPr>
    <w:rPr>
      <w:rFonts w:eastAsia="宋体"/>
      <w:b/>
      <w:sz w:val="30"/>
    </w:rPr>
  </w:style>
  <w:style w:type="paragraph" w:customStyle="1" w:styleId="985">
    <w:name w:val="标题002"/>
    <w:basedOn w:val="1"/>
    <w:uiPriority w:val="0"/>
    <w:pPr>
      <w:adjustRightInd w:val="0"/>
      <w:spacing w:before="160" w:line="480" w:lineRule="exact"/>
      <w:textAlignment w:val="baseline"/>
      <w:outlineLvl w:val="1"/>
    </w:pPr>
    <w:rPr>
      <w:rFonts w:eastAsia="宋体"/>
      <w:b/>
      <w:kern w:val="0"/>
    </w:rPr>
  </w:style>
  <w:style w:type="paragraph" w:customStyle="1" w:styleId="986">
    <w:name w:val="font11"/>
    <w:basedOn w:val="1"/>
    <w:uiPriority w:val="0"/>
    <w:pPr>
      <w:widowControl/>
      <w:spacing w:before="100" w:beforeAutospacing="1" w:after="100" w:afterAutospacing="1"/>
      <w:jc w:val="left"/>
    </w:pPr>
    <w:rPr>
      <w:rFonts w:eastAsia="Arial Unicode MS"/>
      <w:kern w:val="0"/>
      <w:sz w:val="20"/>
    </w:rPr>
  </w:style>
  <w:style w:type="paragraph" w:customStyle="1" w:styleId="987">
    <w:name w:val="Char Char1 Char Char Char Char Char Char Char Char Char Char Char Char Char Char Char Char Char Char Char Char1 Char1"/>
    <w:basedOn w:val="1"/>
    <w:uiPriority w:val="0"/>
    <w:pPr>
      <w:spacing w:line="360" w:lineRule="auto"/>
      <w:ind w:firstLine="200" w:firstLineChars="200"/>
    </w:pPr>
    <w:rPr>
      <w:rFonts w:eastAsia="宋体"/>
      <w:b/>
      <w:color w:val="000000"/>
      <w:sz w:val="24"/>
    </w:rPr>
  </w:style>
  <w:style w:type="paragraph" w:customStyle="1" w:styleId="988">
    <w:name w:val="普通表格1"/>
    <w:basedOn w:val="45"/>
    <w:uiPriority w:val="0"/>
    <w:pPr>
      <w:snapToGrid w:val="0"/>
      <w:spacing w:line="380" w:lineRule="exact"/>
      <w:ind w:firstLine="200" w:firstLineChars="200"/>
    </w:pPr>
    <w:rPr>
      <w:rFonts w:ascii="Times New Roman" w:hAnsi="Times New Roman"/>
      <w:sz w:val="24"/>
    </w:rPr>
  </w:style>
  <w:style w:type="paragraph" w:customStyle="1" w:styleId="989">
    <w:name w:val="Char Char Char Char2"/>
    <w:basedOn w:val="1"/>
    <w:uiPriority w:val="0"/>
    <w:rPr>
      <w:rFonts w:eastAsia="宋体"/>
      <w:sz w:val="21"/>
      <w:szCs w:val="24"/>
    </w:rPr>
  </w:style>
  <w:style w:type="paragraph" w:customStyle="1" w:styleId="990">
    <w:name w:val="Char Char3 Char Char Char Char"/>
    <w:basedOn w:val="1"/>
    <w:uiPriority w:val="0"/>
    <w:pPr>
      <w:widowControl/>
      <w:spacing w:after="160" w:line="240" w:lineRule="exact"/>
      <w:jc w:val="left"/>
    </w:pPr>
    <w:rPr>
      <w:rFonts w:eastAsia="宋体"/>
      <w:sz w:val="21"/>
    </w:rPr>
  </w:style>
  <w:style w:type="paragraph" w:customStyle="1" w:styleId="991">
    <w:name w:val="Char Char Char Char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character" w:customStyle="1" w:styleId="992">
    <w:name w:val="t_tag"/>
    <w:uiPriority w:val="0"/>
  </w:style>
  <w:style w:type="paragraph" w:customStyle="1" w:styleId="993">
    <w:name w:val="Char Char Char Char 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character" w:customStyle="1" w:styleId="994">
    <w:name w:val="scayt-misspell"/>
    <w:uiPriority w:val="0"/>
  </w:style>
  <w:style w:type="paragraph" w:customStyle="1" w:styleId="995">
    <w:name w:val="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eastAsia="宋体"/>
      <w:sz w:val="21"/>
    </w:rPr>
  </w:style>
  <w:style w:type="paragraph" w:customStyle="1" w:styleId="996">
    <w:name w:val="本文正文"/>
    <w:basedOn w:val="1"/>
    <w:uiPriority w:val="0"/>
    <w:pPr>
      <w:widowControl/>
      <w:spacing w:line="480" w:lineRule="exact"/>
      <w:jc w:val="left"/>
    </w:pPr>
    <w:rPr>
      <w:rFonts w:ascii="宋体" w:hAnsi="宋体" w:eastAsia="宋体" w:cs="宋体"/>
      <w:kern w:val="0"/>
      <w:sz w:val="24"/>
      <w:szCs w:val="24"/>
    </w:rPr>
  </w:style>
  <w:style w:type="paragraph" w:customStyle="1" w:styleId="997">
    <w:name w:val="1.0"/>
    <w:basedOn w:val="1"/>
    <w:uiPriority w:val="0"/>
    <w:pPr>
      <w:ind w:left="540" w:hanging="540"/>
    </w:pPr>
    <w:rPr>
      <w:rFonts w:eastAsia="PMingLiU"/>
      <w:b/>
      <w:lang w:eastAsia="zh-TW"/>
    </w:rPr>
  </w:style>
  <w:style w:type="paragraph" w:customStyle="1" w:styleId="998">
    <w:name w:val="xl236"/>
    <w:basedOn w:val="1"/>
    <w:uiPriority w:val="0"/>
    <w:pPr>
      <w:widowControl/>
      <w:pBdr>
        <w:bottom w:val="single" w:color="auto" w:sz="8" w:space="0"/>
        <w:right w:val="single" w:color="auto" w:sz="8" w:space="0"/>
      </w:pBdr>
      <w:shd w:val="clear" w:color="auto" w:fill="FFFF99"/>
      <w:spacing w:before="100" w:beforeAutospacing="1" w:after="100" w:afterAutospacing="1"/>
      <w:jc w:val="center"/>
    </w:pPr>
    <w:rPr>
      <w:rFonts w:eastAsia="宋体"/>
      <w:kern w:val="0"/>
      <w:sz w:val="18"/>
      <w:szCs w:val="18"/>
    </w:rPr>
  </w:style>
  <w:style w:type="paragraph" w:customStyle="1" w:styleId="999">
    <w:name w:val="xl237"/>
    <w:basedOn w:val="1"/>
    <w:uiPriority w:val="0"/>
    <w:pPr>
      <w:widowControl/>
      <w:pBdr>
        <w:bottom w:val="single" w:color="auto" w:sz="8" w:space="0"/>
        <w:right w:val="single" w:color="auto" w:sz="8" w:space="0"/>
      </w:pBdr>
      <w:shd w:val="clear" w:color="auto" w:fill="FFFF99"/>
      <w:spacing w:before="100" w:beforeAutospacing="1" w:after="100" w:afterAutospacing="1"/>
      <w:jc w:val="center"/>
      <w:textAlignment w:val="bottom"/>
    </w:pPr>
    <w:rPr>
      <w:rFonts w:eastAsia="宋体"/>
      <w:kern w:val="0"/>
      <w:sz w:val="18"/>
      <w:szCs w:val="18"/>
    </w:rPr>
  </w:style>
  <w:style w:type="paragraph" w:customStyle="1" w:styleId="1000">
    <w:name w:val="xl238"/>
    <w:basedOn w:val="1"/>
    <w:uiPriority w:val="0"/>
    <w:pPr>
      <w:widowControl/>
      <w:pBdr>
        <w:bottom w:val="single" w:color="auto" w:sz="8" w:space="0"/>
        <w:right w:val="single" w:color="auto" w:sz="8" w:space="0"/>
      </w:pBdr>
      <w:shd w:val="clear" w:color="auto" w:fill="FFFF99"/>
      <w:spacing w:before="100" w:beforeAutospacing="1" w:after="100" w:afterAutospacing="1"/>
      <w:jc w:val="center"/>
    </w:pPr>
    <w:rPr>
      <w:rFonts w:eastAsia="宋体"/>
      <w:color w:val="FF0000"/>
      <w:kern w:val="0"/>
      <w:sz w:val="18"/>
      <w:szCs w:val="18"/>
    </w:rPr>
  </w:style>
  <w:style w:type="paragraph" w:customStyle="1" w:styleId="1001">
    <w:name w:val="xl239"/>
    <w:basedOn w:val="1"/>
    <w:uiPriority w:val="0"/>
    <w:pPr>
      <w:widowControl/>
      <w:pBdr>
        <w:bottom w:val="single" w:color="auto" w:sz="8" w:space="0"/>
        <w:right w:val="single" w:color="auto" w:sz="8" w:space="0"/>
      </w:pBdr>
      <w:shd w:val="clear" w:color="auto" w:fill="FFFF99"/>
      <w:spacing w:before="100" w:beforeAutospacing="1" w:after="100" w:afterAutospacing="1"/>
      <w:jc w:val="center"/>
      <w:textAlignment w:val="bottom"/>
    </w:pPr>
    <w:rPr>
      <w:rFonts w:eastAsia="宋体"/>
      <w:color w:val="0000FF"/>
      <w:kern w:val="0"/>
      <w:sz w:val="18"/>
      <w:szCs w:val="18"/>
    </w:rPr>
  </w:style>
  <w:style w:type="paragraph" w:customStyle="1" w:styleId="1002">
    <w:name w:val="xl240"/>
    <w:basedOn w:val="1"/>
    <w:uiPriority w:val="0"/>
    <w:pPr>
      <w:widowControl/>
      <w:pBdr>
        <w:bottom w:val="single" w:color="auto" w:sz="8" w:space="0"/>
        <w:right w:val="single" w:color="auto" w:sz="8" w:space="0"/>
      </w:pBdr>
      <w:shd w:val="clear" w:color="auto" w:fill="FFFF99"/>
      <w:spacing w:before="100" w:beforeAutospacing="1" w:after="100" w:afterAutospacing="1"/>
      <w:jc w:val="center"/>
      <w:textAlignment w:val="bottom"/>
    </w:pPr>
    <w:rPr>
      <w:rFonts w:eastAsia="宋体"/>
      <w:color w:val="FF0000"/>
      <w:kern w:val="0"/>
      <w:sz w:val="18"/>
      <w:szCs w:val="18"/>
    </w:rPr>
  </w:style>
  <w:style w:type="paragraph" w:customStyle="1" w:styleId="1003">
    <w:name w:val="xl241"/>
    <w:basedOn w:val="1"/>
    <w:uiPriority w:val="0"/>
    <w:pPr>
      <w:widowControl/>
      <w:pBdr>
        <w:bottom w:val="single" w:color="auto" w:sz="8" w:space="0"/>
        <w:right w:val="single" w:color="auto" w:sz="8" w:space="0"/>
      </w:pBdr>
      <w:shd w:val="clear" w:color="auto" w:fill="FFFF99"/>
      <w:spacing w:before="100" w:beforeAutospacing="1" w:after="100" w:afterAutospacing="1"/>
      <w:jc w:val="center"/>
      <w:textAlignment w:val="bottom"/>
    </w:pPr>
    <w:rPr>
      <w:rFonts w:eastAsia="宋体"/>
      <w:color w:val="0000FF"/>
      <w:kern w:val="0"/>
      <w:sz w:val="18"/>
      <w:szCs w:val="18"/>
    </w:rPr>
  </w:style>
  <w:style w:type="paragraph" w:customStyle="1" w:styleId="1004">
    <w:name w:val="xl242"/>
    <w:basedOn w:val="1"/>
    <w:uiPriority w:val="0"/>
    <w:pPr>
      <w:widowControl/>
      <w:pBdr>
        <w:bottom w:val="single" w:color="auto" w:sz="8" w:space="0"/>
        <w:right w:val="single" w:color="auto" w:sz="8" w:space="0"/>
      </w:pBdr>
      <w:shd w:val="clear" w:color="auto" w:fill="FFFF99"/>
      <w:spacing w:before="100" w:beforeAutospacing="1" w:after="100" w:afterAutospacing="1"/>
      <w:jc w:val="center"/>
      <w:textAlignment w:val="bottom"/>
    </w:pPr>
    <w:rPr>
      <w:rFonts w:eastAsia="宋体"/>
      <w:color w:val="FF0000"/>
      <w:kern w:val="0"/>
      <w:sz w:val="18"/>
      <w:szCs w:val="18"/>
    </w:rPr>
  </w:style>
  <w:style w:type="character" w:customStyle="1" w:styleId="1005">
    <w:name w:val="Char Char1 Char1"/>
    <w:uiPriority w:val="0"/>
    <w:rPr>
      <w:rFonts w:ascii="宋体" w:hAnsi="宋体" w:eastAsia="宋体" w:cs="宋体"/>
      <w:sz w:val="24"/>
      <w:szCs w:val="24"/>
      <w:lang w:val="en-US" w:eastAsia="en-US" w:bidi="en-US"/>
    </w:rPr>
  </w:style>
  <w:style w:type="paragraph" w:customStyle="1" w:styleId="1006">
    <w:name w:val="Char Char15"/>
    <w:basedOn w:val="1"/>
    <w:uiPriority w:val="0"/>
    <w:pPr>
      <w:widowControl/>
      <w:spacing w:after="160" w:line="240" w:lineRule="exact"/>
      <w:jc w:val="left"/>
    </w:pPr>
    <w:rPr>
      <w:rFonts w:ascii="Verdana" w:hAnsi="Verdana"/>
      <w:kern w:val="0"/>
      <w:sz w:val="24"/>
      <w:lang w:eastAsia="en-US"/>
    </w:rPr>
  </w:style>
  <w:style w:type="paragraph" w:customStyle="1" w:styleId="1007">
    <w:name w:val="Char Char7 Char Char1 Char Char Char Char"/>
    <w:basedOn w:val="1"/>
    <w:uiPriority w:val="0"/>
    <w:pPr>
      <w:spacing w:line="360" w:lineRule="auto"/>
      <w:ind w:firstLine="200" w:firstLineChars="200"/>
    </w:pPr>
    <w:rPr>
      <w:rFonts w:ascii="宋体" w:hAnsi="宋体" w:eastAsia="宋体" w:cs="宋体"/>
      <w:sz w:val="24"/>
      <w:szCs w:val="24"/>
    </w:rPr>
  </w:style>
  <w:style w:type="paragraph" w:customStyle="1" w:styleId="1008">
    <w:name w:val="列出段落1"/>
    <w:basedOn w:val="1"/>
    <w:qFormat/>
    <w:uiPriority w:val="34"/>
    <w:pPr>
      <w:ind w:firstLine="420" w:firstLineChars="200"/>
    </w:pPr>
    <w:rPr>
      <w:rFonts w:ascii="Calibri" w:hAnsi="Calibri" w:eastAsia="宋体"/>
      <w:sz w:val="21"/>
      <w:szCs w:val="21"/>
    </w:rPr>
  </w:style>
  <w:style w:type="paragraph" w:customStyle="1" w:styleId="1009">
    <w:name w:val="列项——（一级）"/>
    <w:uiPriority w:val="99"/>
    <w:pPr>
      <w:widowControl w:val="0"/>
      <w:tabs>
        <w:tab w:val="left" w:pos="360"/>
        <w:tab w:val="left" w:pos="854"/>
      </w:tabs>
      <w:ind w:left="840" w:leftChars="200" w:hanging="200" w:hangingChars="200"/>
      <w:jc w:val="both"/>
    </w:pPr>
    <w:rPr>
      <w:rFonts w:ascii="宋体" w:hAnsi="Times New Roman" w:eastAsia="宋体" w:cs="Times New Roman"/>
      <w:sz w:val="21"/>
      <w:lang w:val="en-US" w:eastAsia="zh-CN" w:bidi="ar-SA"/>
    </w:rPr>
  </w:style>
  <w:style w:type="paragraph" w:customStyle="1" w:styleId="1010">
    <w:name w:val="样式 样式 标题2 + 首行缩进:  1 字符 段前: 0.5 行 + 段前: 0.5 行"/>
    <w:basedOn w:val="1"/>
    <w:uiPriority w:val="0"/>
    <w:pPr>
      <w:spacing w:beforeLines="50" w:line="500" w:lineRule="atLeast"/>
      <w:ind w:firstLine="281" w:firstLineChars="100"/>
      <w:outlineLvl w:val="1"/>
    </w:pPr>
    <w:rPr>
      <w:rFonts w:eastAsia="宋体"/>
      <w:b/>
      <w:bCs/>
    </w:rPr>
  </w:style>
  <w:style w:type="character" w:customStyle="1" w:styleId="1011">
    <w:name w:val="fontstyle01"/>
    <w:qFormat/>
    <w:uiPriority w:val="0"/>
    <w:rPr>
      <w:rFonts w:hint="default" w:ascii="TT1DEo03" w:hAnsi="TT1DEo03"/>
      <w:color w:val="000000"/>
      <w:sz w:val="24"/>
      <w:szCs w:val="24"/>
    </w:rPr>
  </w:style>
  <w:style w:type="character" w:customStyle="1" w:styleId="1012">
    <w:name w:val="fontstyle11"/>
    <w:uiPriority w:val="0"/>
    <w:rPr>
      <w:rFonts w:hint="default" w:ascii="TT1DEo04" w:hAnsi="TT1DEo04"/>
      <w:color w:val="000000"/>
      <w:sz w:val="24"/>
      <w:szCs w:val="24"/>
    </w:rPr>
  </w:style>
  <w:style w:type="character" w:customStyle="1" w:styleId="1013">
    <w:name w:val="fontstyle21"/>
    <w:uiPriority w:val="0"/>
    <w:rPr>
      <w:rFonts w:hint="default" w:ascii="TT1DEo00" w:hAnsi="TT1DEo00"/>
      <w:color w:val="000000"/>
      <w:sz w:val="24"/>
      <w:szCs w:val="24"/>
    </w:rPr>
  </w:style>
  <w:style w:type="character" w:customStyle="1" w:styleId="1014">
    <w:name w:val="fontstyle31"/>
    <w:uiPriority w:val="0"/>
    <w:rPr>
      <w:rFonts w:hint="default" w:ascii="TT1DEo02" w:hAnsi="TT1DEo02"/>
      <w:color w:val="000000"/>
      <w:sz w:val="24"/>
      <w:szCs w:val="24"/>
    </w:rPr>
  </w:style>
  <w:style w:type="character" w:customStyle="1" w:styleId="1015">
    <w:name w:val="fontstyle41"/>
    <w:uiPriority w:val="0"/>
    <w:rPr>
      <w:rFonts w:hint="default" w:ascii="TT1DEo01" w:hAnsi="TT1DEo01"/>
      <w:color w:val="000000"/>
      <w:sz w:val="24"/>
      <w:szCs w:val="24"/>
    </w:rPr>
  </w:style>
  <w:style w:type="character" w:customStyle="1" w:styleId="1016">
    <w:name w:val="fontstyle61"/>
    <w:uiPriority w:val="0"/>
    <w:rPr>
      <w:rFonts w:hint="default" w:ascii="Calibri" w:hAnsi="Calibri" w:cs="Calibri"/>
      <w:color w:val="000000"/>
      <w:sz w:val="24"/>
      <w:szCs w:val="24"/>
    </w:rPr>
  </w:style>
  <w:style w:type="paragraph" w:customStyle="1" w:styleId="1017">
    <w:name w:val="Char Char2 Char Char Char Char"/>
    <w:basedOn w:val="1"/>
    <w:uiPriority w:val="0"/>
    <w:pPr>
      <w:spacing w:line="360" w:lineRule="auto"/>
      <w:ind w:firstLine="200" w:firstLineChars="200"/>
    </w:pPr>
    <w:rPr>
      <w:rFonts w:ascii="宋体" w:hAnsi="宋体" w:eastAsia="宋体" w:cs="宋体"/>
      <w:sz w:val="24"/>
      <w:szCs w:val="24"/>
    </w:rPr>
  </w:style>
  <w:style w:type="character" w:customStyle="1" w:styleId="1018">
    <w:name w:val="font41"/>
    <w:qFormat/>
    <w:uiPriority w:val="0"/>
    <w:rPr>
      <w:rFonts w:hint="eastAsia" w:ascii="宋体" w:hAnsi="宋体" w:eastAsia="宋体" w:cs="宋体"/>
      <w:color w:val="000000"/>
      <w:sz w:val="21"/>
      <w:szCs w:val="21"/>
      <w:u w:val="none"/>
    </w:rPr>
  </w:style>
  <w:style w:type="character" w:customStyle="1" w:styleId="1019">
    <w:name w:val="font01"/>
    <w:uiPriority w:val="0"/>
    <w:rPr>
      <w:rFonts w:hint="eastAsia" w:ascii="宋体" w:hAnsi="宋体" w:eastAsia="宋体" w:cs="宋体"/>
      <w:color w:val="000000"/>
      <w:sz w:val="22"/>
      <w:szCs w:val="22"/>
      <w:u w:val="none"/>
    </w:rPr>
  </w:style>
  <w:style w:type="paragraph" w:customStyle="1" w:styleId="1020">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eastAsia="宋体" w:cs="宋体"/>
      <w:sz w:val="21"/>
      <w:szCs w:val="22"/>
      <w:lang w:val="zh-CN"/>
    </w:rPr>
  </w:style>
  <w:style w:type="paragraph" w:customStyle="1" w:styleId="1021">
    <w:name w:val="书一级"/>
    <w:next w:val="835"/>
    <w:link w:val="1792"/>
    <w:qFormat/>
    <w:uiPriority w:val="0"/>
    <w:pPr>
      <w:spacing w:before="200" w:line="460" w:lineRule="exact"/>
      <w:jc w:val="center"/>
      <w:outlineLvl w:val="0"/>
    </w:pPr>
    <w:rPr>
      <w:rFonts w:ascii="Arial" w:hAnsi="Arial" w:eastAsia="宋体" w:cs="Times New Roman"/>
      <w:b/>
      <w:kern w:val="2"/>
      <w:sz w:val="36"/>
      <w:lang w:val="en-US" w:eastAsia="zh-CN" w:bidi="ar-SA"/>
    </w:rPr>
  </w:style>
  <w:style w:type="paragraph" w:customStyle="1" w:styleId="1022">
    <w:name w:val="书二级"/>
    <w:basedOn w:val="1021"/>
    <w:next w:val="835"/>
    <w:link w:val="1038"/>
    <w:qFormat/>
    <w:uiPriority w:val="0"/>
    <w:pPr>
      <w:spacing w:before="120"/>
      <w:jc w:val="left"/>
      <w:outlineLvl w:val="1"/>
    </w:pPr>
    <w:rPr>
      <w:sz w:val="28"/>
      <w:szCs w:val="24"/>
      <w:lang w:val="zh-CN" w:eastAsia="zh-CN"/>
    </w:rPr>
  </w:style>
  <w:style w:type="paragraph" w:customStyle="1" w:styleId="1023">
    <w:name w:val="书三级"/>
    <w:basedOn w:val="1022"/>
    <w:next w:val="835"/>
    <w:link w:val="1027"/>
    <w:qFormat/>
    <w:uiPriority w:val="0"/>
    <w:pPr>
      <w:outlineLvl w:val="2"/>
    </w:pPr>
    <w:rPr>
      <w:sz w:val="24"/>
    </w:rPr>
  </w:style>
  <w:style w:type="paragraph" w:customStyle="1" w:styleId="1024">
    <w:name w:val="书四级"/>
    <w:basedOn w:val="1023"/>
    <w:next w:val="835"/>
    <w:link w:val="1036"/>
    <w:qFormat/>
    <w:uiPriority w:val="0"/>
    <w:pPr>
      <w:outlineLvl w:val="3"/>
    </w:pPr>
  </w:style>
  <w:style w:type="paragraph" w:customStyle="1" w:styleId="1025">
    <w:name w:val="书表头"/>
    <w:basedOn w:val="1024"/>
    <w:link w:val="1026"/>
    <w:qFormat/>
    <w:uiPriority w:val="0"/>
    <w:pPr>
      <w:spacing w:before="60"/>
      <w:jc w:val="center"/>
      <w:outlineLvl w:val="4"/>
    </w:pPr>
  </w:style>
  <w:style w:type="character" w:customStyle="1" w:styleId="1026">
    <w:name w:val="书表头 Char"/>
    <w:link w:val="1025"/>
    <w:qFormat/>
    <w:uiPriority w:val="0"/>
    <w:rPr>
      <w:rFonts w:ascii="Arial" w:hAnsi="Arial"/>
      <w:b/>
      <w:kern w:val="2"/>
      <w:sz w:val="24"/>
      <w:szCs w:val="24"/>
      <w:lang w:val="zh-CN" w:eastAsia="zh-CN"/>
    </w:rPr>
  </w:style>
  <w:style w:type="character" w:customStyle="1" w:styleId="1027">
    <w:name w:val="书三级 Char"/>
    <w:link w:val="1023"/>
    <w:uiPriority w:val="0"/>
    <w:rPr>
      <w:rFonts w:ascii="Arial" w:hAnsi="Arial"/>
      <w:b/>
      <w:kern w:val="2"/>
      <w:sz w:val="24"/>
      <w:szCs w:val="24"/>
      <w:lang w:val="zh-CN" w:eastAsia="zh-CN"/>
    </w:rPr>
  </w:style>
  <w:style w:type="paragraph" w:customStyle="1" w:styleId="1028">
    <w:name w:val="1标题4级"/>
    <w:basedOn w:val="1"/>
    <w:uiPriority w:val="0"/>
    <w:pPr>
      <w:keepNext/>
      <w:widowControl/>
      <w:snapToGrid w:val="0"/>
      <w:spacing w:line="420" w:lineRule="auto"/>
      <w:jc w:val="left"/>
      <w:outlineLvl w:val="2"/>
    </w:pPr>
    <w:rPr>
      <w:rFonts w:ascii="Calibri" w:hAnsi="Calibri" w:eastAsia="黑体"/>
      <w:b/>
      <w:sz w:val="24"/>
      <w:szCs w:val="22"/>
    </w:rPr>
  </w:style>
  <w:style w:type="character" w:customStyle="1" w:styleId="1029">
    <w:name w:val="pzg正文 Char"/>
    <w:link w:val="1030"/>
    <w:uiPriority w:val="0"/>
    <w:rPr>
      <w:kern w:val="2"/>
      <w:sz w:val="24"/>
      <w:szCs w:val="24"/>
    </w:rPr>
  </w:style>
  <w:style w:type="paragraph" w:customStyle="1" w:styleId="1030">
    <w:name w:val="pzg正文"/>
    <w:basedOn w:val="1"/>
    <w:link w:val="1029"/>
    <w:qFormat/>
    <w:uiPriority w:val="0"/>
    <w:pPr>
      <w:ind w:firstLine="449" w:firstLineChars="200"/>
    </w:pPr>
    <w:rPr>
      <w:rFonts w:eastAsia="宋体"/>
      <w:sz w:val="24"/>
      <w:szCs w:val="24"/>
      <w:lang w:val="zh-CN" w:eastAsia="zh-CN"/>
    </w:rPr>
  </w:style>
  <w:style w:type="paragraph" w:customStyle="1" w:styleId="1031">
    <w:name w:val="Char Char11"/>
    <w:basedOn w:val="1"/>
    <w:uiPriority w:val="0"/>
    <w:pPr>
      <w:spacing w:line="440" w:lineRule="exact"/>
      <w:ind w:firstLine="200"/>
    </w:pPr>
    <w:rPr>
      <w:rFonts w:ascii="宋体" w:hAnsi="宋体" w:eastAsia="宋体" w:cs="宋体"/>
      <w:sz w:val="21"/>
    </w:rPr>
  </w:style>
  <w:style w:type="character" w:customStyle="1" w:styleId="1032">
    <w:name w:val="列出段落 字符"/>
    <w:link w:val="466"/>
    <w:uiPriority w:val="34"/>
    <w:rPr>
      <w:rFonts w:ascii="Calibri" w:hAnsi="Calibri"/>
      <w:kern w:val="2"/>
      <w:sz w:val="21"/>
      <w:szCs w:val="22"/>
    </w:rPr>
  </w:style>
  <w:style w:type="character" w:customStyle="1" w:styleId="1033">
    <w:name w:val="样式 正文文本 （首行缩紧） Char"/>
    <w:link w:val="1034"/>
    <w:uiPriority w:val="0"/>
    <w:rPr>
      <w:rFonts w:cs="宋体"/>
      <w:kern w:val="2"/>
      <w:sz w:val="24"/>
    </w:rPr>
  </w:style>
  <w:style w:type="paragraph" w:customStyle="1" w:styleId="1034">
    <w:name w:val="样式 正文文本 （首行缩紧）"/>
    <w:basedOn w:val="33"/>
    <w:link w:val="1033"/>
    <w:uiPriority w:val="0"/>
    <w:pPr>
      <w:spacing w:after="0"/>
      <w:ind w:firstLine="504" w:firstLineChars="200"/>
    </w:pPr>
    <w:rPr>
      <w:rFonts w:eastAsia="宋体"/>
      <w:sz w:val="24"/>
    </w:rPr>
  </w:style>
  <w:style w:type="paragraph" w:customStyle="1" w:styleId="1035">
    <w:name w:val="应填表格"/>
    <w:basedOn w:val="1"/>
    <w:uiPriority w:val="0"/>
    <w:pPr>
      <w:adjustRightInd w:val="0"/>
      <w:spacing w:before="40" w:after="40"/>
      <w:jc w:val="left"/>
      <w:textAlignment w:val="baseline"/>
    </w:pPr>
    <w:rPr>
      <w:rFonts w:eastAsia="宋体"/>
      <w:kern w:val="0"/>
      <w:sz w:val="24"/>
    </w:rPr>
  </w:style>
  <w:style w:type="character" w:customStyle="1" w:styleId="1036">
    <w:name w:val="书四级 Char"/>
    <w:link w:val="1024"/>
    <w:uiPriority w:val="0"/>
    <w:rPr>
      <w:rFonts w:ascii="Arial" w:hAnsi="Arial"/>
      <w:b/>
      <w:kern w:val="2"/>
      <w:sz w:val="24"/>
      <w:szCs w:val="24"/>
      <w:lang w:val="zh-CN" w:eastAsia="zh-CN"/>
    </w:rPr>
  </w:style>
  <w:style w:type="paragraph" w:customStyle="1" w:styleId="1037">
    <w:name w:val="标题3.5"/>
    <w:basedOn w:val="1"/>
    <w:uiPriority w:val="0"/>
    <w:rPr>
      <w:sz w:val="24"/>
      <w:szCs w:val="24"/>
    </w:rPr>
  </w:style>
  <w:style w:type="character" w:customStyle="1" w:styleId="1038">
    <w:name w:val="书二级 Char"/>
    <w:link w:val="1022"/>
    <w:uiPriority w:val="0"/>
    <w:rPr>
      <w:rFonts w:ascii="Arial" w:hAnsi="Arial"/>
      <w:b/>
      <w:kern w:val="2"/>
      <w:sz w:val="28"/>
      <w:szCs w:val="24"/>
      <w:lang w:val="zh-CN" w:eastAsia="zh-CN"/>
    </w:rPr>
  </w:style>
  <w:style w:type="paragraph" w:customStyle="1" w:styleId="1039">
    <w:name w:val="char"/>
    <w:basedOn w:val="1"/>
    <w:uiPriority w:val="0"/>
    <w:pPr>
      <w:widowControl/>
      <w:spacing w:after="160" w:line="240" w:lineRule="exact"/>
      <w:jc w:val="left"/>
    </w:pPr>
    <w:rPr>
      <w:rFonts w:ascii="Verdana" w:hAnsi="Verdana" w:cs="”“Times New Roman”“"/>
      <w:kern w:val="0"/>
      <w:sz w:val="24"/>
      <w:lang w:eastAsia="en-US"/>
    </w:rPr>
  </w:style>
  <w:style w:type="character" w:customStyle="1" w:styleId="1040">
    <w:name w:val="表格内文本 Char"/>
    <w:link w:val="1041"/>
    <w:uiPriority w:val="0"/>
    <w:rPr>
      <w:rFonts w:eastAsia="仿宋"/>
      <w:sz w:val="21"/>
      <w:szCs w:val="30"/>
      <w:lang w:val="zh-CN" w:eastAsia="zh-CN"/>
    </w:rPr>
  </w:style>
  <w:style w:type="paragraph" w:customStyle="1" w:styleId="1041">
    <w:name w:val="表格内文本"/>
    <w:basedOn w:val="1"/>
    <w:link w:val="1040"/>
    <w:qFormat/>
    <w:uiPriority w:val="0"/>
    <w:pPr>
      <w:tabs>
        <w:tab w:val="left" w:pos="0"/>
        <w:tab w:val="left" w:pos="1740"/>
      </w:tabs>
      <w:adjustRightInd w:val="0"/>
      <w:snapToGrid w:val="0"/>
      <w:jc w:val="left"/>
    </w:pPr>
    <w:rPr>
      <w:rFonts w:eastAsia="仿宋"/>
      <w:kern w:val="0"/>
      <w:sz w:val="21"/>
      <w:szCs w:val="30"/>
      <w:lang w:val="zh-CN" w:eastAsia="zh-CN"/>
    </w:rPr>
  </w:style>
  <w:style w:type="character" w:customStyle="1" w:styleId="1042">
    <w:name w:val="普通(网站) 字符"/>
    <w:basedOn w:val="132"/>
    <w:link w:val="81"/>
    <w:uiPriority w:val="99"/>
    <w:rPr>
      <w:rFonts w:ascii="Arial Unicode MS" w:hAnsi="Arial Unicode MS" w:eastAsia="Times New Roman"/>
      <w:sz w:val="24"/>
      <w:szCs w:val="24"/>
    </w:rPr>
  </w:style>
  <w:style w:type="character" w:customStyle="1" w:styleId="1043">
    <w:name w:val="A正文 Char Char"/>
    <w:link w:val="1044"/>
    <w:uiPriority w:val="0"/>
    <w:rPr>
      <w:rFonts w:eastAsia="仿宋_GB2312"/>
      <w:sz w:val="24"/>
      <w:szCs w:val="24"/>
    </w:rPr>
  </w:style>
  <w:style w:type="paragraph" w:customStyle="1" w:styleId="1044">
    <w:name w:val="A正文"/>
    <w:basedOn w:val="1"/>
    <w:link w:val="1043"/>
    <w:uiPriority w:val="0"/>
    <w:pPr>
      <w:widowControl/>
      <w:overflowPunct w:val="0"/>
      <w:autoSpaceDE w:val="0"/>
      <w:autoSpaceDN w:val="0"/>
      <w:adjustRightInd w:val="0"/>
      <w:spacing w:line="360" w:lineRule="auto"/>
      <w:ind w:firstLine="200" w:firstLineChars="200"/>
      <w:jc w:val="left"/>
      <w:textAlignment w:val="baseline"/>
    </w:pPr>
    <w:rPr>
      <w:kern w:val="0"/>
      <w:sz w:val="24"/>
      <w:szCs w:val="24"/>
    </w:rPr>
  </w:style>
  <w:style w:type="paragraph" w:customStyle="1" w:styleId="1045">
    <w:name w:val="表格内字体"/>
    <w:link w:val="1046"/>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1046">
    <w:name w:val="表格内字体 Char"/>
    <w:link w:val="1045"/>
    <w:uiPriority w:val="0"/>
    <w:rPr>
      <w:snapToGrid w:val="0"/>
      <w:kern w:val="21"/>
      <w:sz w:val="21"/>
      <w:szCs w:val="21"/>
    </w:rPr>
  </w:style>
  <w:style w:type="paragraph" w:customStyle="1" w:styleId="1047">
    <w:name w:val="图头表头"/>
    <w:basedOn w:val="1"/>
    <w:link w:val="1048"/>
    <w:qFormat/>
    <w:uiPriority w:val="0"/>
    <w:pPr>
      <w:adjustRightInd w:val="0"/>
      <w:snapToGrid w:val="0"/>
      <w:spacing w:line="360" w:lineRule="auto"/>
      <w:jc w:val="center"/>
      <w:textAlignment w:val="baseline"/>
    </w:pPr>
    <w:rPr>
      <w:rFonts w:eastAsia="宋体"/>
      <w:b/>
      <w:bCs/>
      <w:snapToGrid w:val="0"/>
      <w:kern w:val="0"/>
      <w:sz w:val="21"/>
      <w:szCs w:val="24"/>
    </w:rPr>
  </w:style>
  <w:style w:type="character" w:customStyle="1" w:styleId="1048">
    <w:name w:val="图头表头 Char"/>
    <w:link w:val="1047"/>
    <w:uiPriority w:val="0"/>
    <w:rPr>
      <w:b/>
      <w:bCs/>
      <w:snapToGrid w:val="0"/>
      <w:sz w:val="21"/>
      <w:szCs w:val="24"/>
    </w:rPr>
  </w:style>
  <w:style w:type="character" w:customStyle="1" w:styleId="1049">
    <w:name w:val="正文文本 + 10 pt"/>
    <w:uiPriority w:val="0"/>
    <w:rPr>
      <w:rFonts w:ascii="宋体" w:hAnsi="宋体" w:eastAsia="宋体" w:cs="宋体"/>
      <w:b/>
      <w:bCs/>
      <w:color w:val="000000"/>
      <w:spacing w:val="0"/>
      <w:w w:val="100"/>
      <w:position w:val="0"/>
      <w:sz w:val="20"/>
      <w:szCs w:val="20"/>
      <w:u w:val="none"/>
      <w:lang w:val="zh-TW"/>
    </w:rPr>
  </w:style>
  <w:style w:type="character" w:customStyle="1" w:styleId="1050">
    <w:name w:val="正文文本 (2) + 9 pt"/>
    <w:uiPriority w:val="99"/>
    <w:rPr>
      <w:rFonts w:ascii="MingLiU" w:hAnsi="MingLiU" w:eastAsia="MingLiU" w:cs="MingLiU"/>
      <w:b/>
      <w:bCs/>
      <w:color w:val="000000"/>
      <w:spacing w:val="20"/>
      <w:w w:val="100"/>
      <w:position w:val="0"/>
      <w:sz w:val="18"/>
      <w:szCs w:val="18"/>
      <w:u w:val="none"/>
      <w:shd w:val="clear" w:color="auto" w:fill="FFFFFF"/>
      <w:lang w:val="zh-CN" w:eastAsia="zh-CN" w:bidi="zh-CN"/>
    </w:rPr>
  </w:style>
  <w:style w:type="character" w:customStyle="1" w:styleId="1051">
    <w:name w:val="正文文本 (2) + 粗体"/>
    <w:uiPriority w:val="0"/>
    <w:rPr>
      <w:rFonts w:ascii="MingLiU" w:hAnsi="MingLiU" w:eastAsia="MingLiU" w:cs="MingLiU"/>
      <w:b/>
      <w:bCs/>
      <w:color w:val="000000"/>
      <w:spacing w:val="0"/>
      <w:w w:val="100"/>
      <w:position w:val="0"/>
      <w:sz w:val="22"/>
      <w:szCs w:val="22"/>
      <w:u w:val="none"/>
      <w:shd w:val="clear" w:color="auto" w:fill="FFFFFF"/>
      <w:lang w:val="zh-CN" w:eastAsia="zh-CN" w:bidi="zh-CN"/>
    </w:rPr>
  </w:style>
  <w:style w:type="character" w:customStyle="1" w:styleId="1052">
    <w:name w:val="正文文本 (2) + Times New Roman"/>
    <w:uiPriority w:val="0"/>
    <w:rPr>
      <w:rFonts w:ascii="Times New Roman" w:hAnsi="Times New Roman" w:eastAsia="Times New Roman" w:cs="Times New Roman"/>
      <w:color w:val="000000"/>
      <w:spacing w:val="0"/>
      <w:w w:val="100"/>
      <w:position w:val="0"/>
      <w:sz w:val="20"/>
      <w:szCs w:val="20"/>
      <w:u w:val="none"/>
      <w:shd w:val="clear" w:color="auto" w:fill="FFFFFF"/>
      <w:lang w:val="en-US" w:eastAsia="en-US" w:bidi="en-US"/>
    </w:rPr>
  </w:style>
  <w:style w:type="paragraph" w:customStyle="1" w:styleId="1053">
    <w:name w:val="环评正文"/>
    <w:basedOn w:val="1"/>
    <w:link w:val="1054"/>
    <w:uiPriority w:val="0"/>
    <w:pPr>
      <w:widowControl/>
      <w:spacing w:line="360" w:lineRule="auto"/>
      <w:jc w:val="left"/>
    </w:pPr>
    <w:rPr>
      <w:rFonts w:ascii="宋体" w:hAnsi="宋体" w:eastAsia="宋体" w:cs="宋体"/>
      <w:sz w:val="24"/>
    </w:rPr>
  </w:style>
  <w:style w:type="character" w:customStyle="1" w:styleId="1054">
    <w:name w:val="环评正文 Char"/>
    <w:link w:val="1053"/>
    <w:uiPriority w:val="0"/>
    <w:rPr>
      <w:rFonts w:ascii="宋体" w:hAnsi="宋体" w:cs="宋体"/>
      <w:kern w:val="2"/>
      <w:sz w:val="24"/>
    </w:rPr>
  </w:style>
  <w:style w:type="paragraph" w:customStyle="1" w:styleId="1055">
    <w:name w:val="正文wwwww"/>
    <w:basedOn w:val="1"/>
    <w:next w:val="1"/>
    <w:link w:val="1056"/>
    <w:qFormat/>
    <w:uiPriority w:val="0"/>
    <w:pPr>
      <w:widowControl/>
      <w:snapToGrid w:val="0"/>
      <w:spacing w:line="360" w:lineRule="auto"/>
      <w:ind w:firstLine="482"/>
      <w:jc w:val="left"/>
    </w:pPr>
    <w:rPr>
      <w:rFonts w:ascii="Arial" w:hAnsi="Arial" w:eastAsia="宋体" w:cs="宋体"/>
      <w:kern w:val="0"/>
      <w:sz w:val="24"/>
      <w:szCs w:val="24"/>
      <w:lang w:val="zh-CN" w:eastAsia="zh-CN"/>
    </w:rPr>
  </w:style>
  <w:style w:type="character" w:customStyle="1" w:styleId="1056">
    <w:name w:val="正文wwwww Char"/>
    <w:link w:val="1055"/>
    <w:uiPriority w:val="0"/>
    <w:rPr>
      <w:rFonts w:ascii="Arial" w:hAnsi="Arial" w:cs="宋体"/>
      <w:sz w:val="24"/>
      <w:szCs w:val="24"/>
      <w:lang w:val="zh-CN" w:eastAsia="zh-CN"/>
    </w:rPr>
  </w:style>
  <w:style w:type="paragraph" w:customStyle="1" w:styleId="1057">
    <w:name w:val="Char Char Char4"/>
    <w:basedOn w:val="1"/>
    <w:uiPriority w:val="0"/>
    <w:pPr>
      <w:widowControl/>
      <w:tabs>
        <w:tab w:val="left" w:pos="432"/>
      </w:tabs>
      <w:ind w:left="432" w:hanging="432"/>
      <w:jc w:val="left"/>
    </w:pPr>
    <w:rPr>
      <w:rFonts w:ascii="Tahoma" w:hAnsi="Tahoma" w:eastAsia="宋体"/>
      <w:sz w:val="20"/>
    </w:rPr>
  </w:style>
  <w:style w:type="paragraph" w:customStyle="1" w:styleId="1058">
    <w:name w:val="正文（首行缩进）"/>
    <w:basedOn w:val="33"/>
    <w:uiPriority w:val="0"/>
    <w:pPr>
      <w:widowControl/>
      <w:spacing w:after="0" w:line="300" w:lineRule="auto"/>
      <w:ind w:firstLine="200" w:firstLineChars="200"/>
    </w:pPr>
    <w:rPr>
      <w:rFonts w:eastAsia="宋体"/>
      <w:kern w:val="0"/>
      <w:sz w:val="21"/>
      <w:szCs w:val="24"/>
      <w:lang w:val="en-US" w:eastAsia="zh-CN"/>
    </w:rPr>
  </w:style>
  <w:style w:type="character" w:customStyle="1" w:styleId="1059">
    <w:name w:val="line1"/>
    <w:uiPriority w:val="0"/>
    <w:rPr>
      <w:sz w:val="18"/>
      <w:szCs w:val="18"/>
    </w:rPr>
  </w:style>
  <w:style w:type="paragraph" w:customStyle="1" w:styleId="1060">
    <w:name w:val="表题"/>
    <w:basedOn w:val="1"/>
    <w:uiPriority w:val="0"/>
    <w:pPr>
      <w:widowControl/>
      <w:snapToGrid w:val="0"/>
      <w:jc w:val="center"/>
    </w:pPr>
    <w:rPr>
      <w:rFonts w:eastAsia="黑体"/>
      <w:sz w:val="20"/>
    </w:rPr>
  </w:style>
  <w:style w:type="paragraph" w:customStyle="1" w:styleId="1061">
    <w:name w:val="opsom1"/>
    <w:basedOn w:val="23"/>
    <w:uiPriority w:val="0"/>
    <w:pPr>
      <w:widowControl/>
      <w:ind w:left="284" w:hanging="284"/>
      <w:jc w:val="left"/>
    </w:pPr>
    <w:rPr>
      <w:rFonts w:ascii="Arial" w:hAnsi="Arial" w:eastAsia="Times New Roman"/>
      <w:smallCaps w:val="0"/>
      <w:kern w:val="0"/>
      <w:sz w:val="22"/>
      <w:szCs w:val="20"/>
      <w:lang w:val="nl" w:eastAsia="en-US"/>
    </w:rPr>
  </w:style>
  <w:style w:type="character" w:customStyle="1" w:styleId="1062">
    <w:name w:val="19号令 Char"/>
    <w:uiPriority w:val="0"/>
    <w:rPr>
      <w:rFonts w:ascii="宋体" w:hAnsi="宋体" w:eastAsia="宋体" w:cs="Arial Unicode MS"/>
      <w:color w:val="000000"/>
      <w:sz w:val="22"/>
      <w:szCs w:val="22"/>
      <w:lang w:val="en-US" w:eastAsia="zh-CN" w:bidi="ar-SA"/>
    </w:rPr>
  </w:style>
  <w:style w:type="paragraph" w:customStyle="1" w:styleId="1063">
    <w:name w:val="Char Char1 Char Char Char Char Char Char Char Char Char Char Char Char Char Char Char Char Char Char Char Char1 Char4"/>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064">
    <w:name w:val="Char Char3"/>
    <w:basedOn w:val="1"/>
    <w:semiHidden/>
    <w:uiPriority w:val="0"/>
    <w:pPr>
      <w:widowControl/>
      <w:tabs>
        <w:tab w:val="left" w:pos="426"/>
      </w:tabs>
      <w:ind w:left="426" w:hanging="420"/>
      <w:jc w:val="left"/>
    </w:pPr>
    <w:rPr>
      <w:rFonts w:eastAsia="宋体"/>
      <w:sz w:val="20"/>
      <w:szCs w:val="24"/>
    </w:rPr>
  </w:style>
  <w:style w:type="paragraph" w:customStyle="1" w:styleId="1065">
    <w:name w:val="Char Char Char Char5"/>
    <w:basedOn w:val="1"/>
    <w:uiPriority w:val="0"/>
    <w:pPr>
      <w:widowControl/>
      <w:spacing w:line="360" w:lineRule="auto"/>
      <w:ind w:firstLine="200" w:firstLineChars="200"/>
      <w:jc w:val="left"/>
    </w:pPr>
    <w:rPr>
      <w:rFonts w:ascii="宋体" w:hAnsi="宋体" w:eastAsia="宋体" w:cs="宋体"/>
      <w:sz w:val="20"/>
      <w:szCs w:val="24"/>
    </w:rPr>
  </w:style>
  <w:style w:type="character" w:customStyle="1" w:styleId="1066">
    <w:name w:val="content"/>
    <w:uiPriority w:val="0"/>
    <w:rPr>
      <w:color w:val="000000"/>
      <w:sz w:val="21"/>
      <w:szCs w:val="21"/>
    </w:rPr>
  </w:style>
  <w:style w:type="paragraph" w:customStyle="1" w:styleId="1067">
    <w:name w:val="Char Char Char Char Char Char Char Char"/>
    <w:basedOn w:val="1"/>
    <w:uiPriority w:val="0"/>
    <w:pPr>
      <w:widowControl/>
      <w:jc w:val="left"/>
    </w:pPr>
    <w:rPr>
      <w:rFonts w:ascii="Tahoma" w:hAnsi="Tahoma" w:eastAsia="宋体" w:cs="Tahoma"/>
      <w:snapToGrid w:val="0"/>
      <w:color w:val="000000"/>
      <w:kern w:val="0"/>
      <w:sz w:val="20"/>
      <w:szCs w:val="24"/>
    </w:rPr>
  </w:style>
  <w:style w:type="paragraph" w:customStyle="1" w:styleId="1068">
    <w:name w:val="bt2"/>
    <w:basedOn w:val="1"/>
    <w:uiPriority w:val="0"/>
    <w:pPr>
      <w:widowControl/>
      <w:autoSpaceDE w:val="0"/>
      <w:autoSpaceDN w:val="0"/>
      <w:adjustRightInd w:val="0"/>
      <w:spacing w:line="360" w:lineRule="auto"/>
      <w:jc w:val="left"/>
    </w:pPr>
    <w:rPr>
      <w:rFonts w:ascii="宋体" w:eastAsia="宋体"/>
      <w:b/>
      <w:kern w:val="0"/>
    </w:rPr>
  </w:style>
  <w:style w:type="character" w:customStyle="1" w:styleId="1069">
    <w:name w:val="text_body1"/>
    <w:uiPriority w:val="0"/>
    <w:rPr>
      <w:rFonts w:hint="default" w:ascii="Verdana" w:hAnsi="Verdana"/>
      <w:sz w:val="21"/>
      <w:szCs w:val="21"/>
    </w:rPr>
  </w:style>
  <w:style w:type="character" w:customStyle="1" w:styleId="1070">
    <w:name w:val="style1191"/>
    <w:uiPriority w:val="0"/>
    <w:rPr>
      <w:rFonts w:hint="default" w:ascii="Arial" w:hAnsi="Arial" w:cs="Arial"/>
      <w:color w:val="000000"/>
      <w:sz w:val="18"/>
      <w:szCs w:val="18"/>
    </w:rPr>
  </w:style>
  <w:style w:type="character" w:customStyle="1" w:styleId="1071">
    <w:name w:val="style1141"/>
    <w:uiPriority w:val="0"/>
    <w:rPr>
      <w:rFonts w:hint="default" w:ascii="Arial" w:hAnsi="Arial" w:cs="Arial"/>
      <w:color w:val="000000"/>
      <w:sz w:val="18"/>
      <w:szCs w:val="18"/>
    </w:rPr>
  </w:style>
  <w:style w:type="paragraph" w:customStyle="1" w:styleId="1072">
    <w:name w:val="五号表格"/>
    <w:basedOn w:val="1"/>
    <w:uiPriority w:val="0"/>
    <w:pPr>
      <w:widowControl/>
      <w:spacing w:line="360" w:lineRule="auto"/>
      <w:jc w:val="center"/>
    </w:pPr>
    <w:rPr>
      <w:rFonts w:eastAsia="宋体"/>
      <w:kern w:val="0"/>
      <w:sz w:val="20"/>
    </w:rPr>
  </w:style>
  <w:style w:type="character" w:customStyle="1" w:styleId="1073">
    <w:name w:val="td1"/>
    <w:uiPriority w:val="0"/>
    <w:rPr>
      <w:color w:val="000000"/>
      <w:sz w:val="21"/>
      <w:szCs w:val="21"/>
    </w:rPr>
  </w:style>
  <w:style w:type="paragraph" w:customStyle="1" w:styleId="1074">
    <w:name w:val="Char Char Char Char Char Char Char Char Char Char2"/>
    <w:basedOn w:val="1"/>
    <w:uiPriority w:val="0"/>
    <w:pPr>
      <w:widowControl/>
      <w:jc w:val="left"/>
    </w:pPr>
    <w:rPr>
      <w:rFonts w:eastAsia="宋体"/>
      <w:sz w:val="20"/>
      <w:szCs w:val="24"/>
    </w:rPr>
  </w:style>
  <w:style w:type="paragraph" w:customStyle="1" w:styleId="1075">
    <w:name w:val="Char31"/>
    <w:basedOn w:val="1"/>
    <w:uiPriority w:val="0"/>
    <w:pPr>
      <w:widowControl/>
      <w:jc w:val="left"/>
    </w:pPr>
    <w:rPr>
      <w:rFonts w:eastAsia="宋体"/>
      <w:sz w:val="20"/>
      <w:szCs w:val="24"/>
    </w:rPr>
  </w:style>
  <w:style w:type="paragraph" w:customStyle="1" w:styleId="1076">
    <w:name w:val="样式 (中文) 仿宋_GB2312 四号"/>
    <w:basedOn w:val="1"/>
    <w:uiPriority w:val="0"/>
    <w:pPr>
      <w:widowControl/>
      <w:spacing w:line="440" w:lineRule="exact"/>
      <w:ind w:firstLine="480" w:firstLineChars="200"/>
      <w:jc w:val="left"/>
    </w:pPr>
    <w:rPr>
      <w:rFonts w:eastAsia="宋体"/>
      <w:sz w:val="20"/>
      <w:szCs w:val="24"/>
    </w:rPr>
  </w:style>
  <w:style w:type="character" w:customStyle="1" w:styleId="1077">
    <w:name w:val="简单回函地址 Char"/>
    <w:link w:val="462"/>
    <w:uiPriority w:val="0"/>
    <w:rPr>
      <w:kern w:val="2"/>
      <w:sz w:val="21"/>
    </w:rPr>
  </w:style>
  <w:style w:type="paragraph" w:customStyle="1" w:styleId="1078">
    <w:name w:val="表格2（柞行）"/>
    <w:basedOn w:val="438"/>
    <w:uiPriority w:val="0"/>
    <w:pPr>
      <w:overflowPunct/>
      <w:spacing w:line="240" w:lineRule="auto"/>
      <w:ind w:left="-42" w:leftChars="-20" w:right="-20" w:rightChars="-20"/>
      <w:textAlignment w:val="auto"/>
    </w:pPr>
    <w:rPr>
      <w:szCs w:val="20"/>
      <w:lang w:val="en-US" w:eastAsia="zh-CN"/>
    </w:rPr>
  </w:style>
  <w:style w:type="paragraph" w:customStyle="1" w:styleId="1079">
    <w:name w:val="acee正文"/>
    <w:basedOn w:val="1"/>
    <w:uiPriority w:val="0"/>
    <w:pPr>
      <w:widowControl/>
      <w:spacing w:line="480" w:lineRule="exact"/>
      <w:ind w:firstLine="640" w:firstLineChars="200"/>
      <w:jc w:val="left"/>
    </w:pPr>
    <w:rPr>
      <w:rFonts w:ascii="仿宋_GB2312" w:hAnsi="宋体"/>
      <w:sz w:val="32"/>
    </w:rPr>
  </w:style>
  <w:style w:type="character" w:customStyle="1" w:styleId="1080">
    <w:name w:val="图框 Char"/>
    <w:link w:val="1081"/>
    <w:uiPriority w:val="0"/>
    <w:rPr>
      <w:rFonts w:ascii="Arial" w:hAnsi="Arial"/>
      <w:kern w:val="2"/>
      <w:sz w:val="21"/>
    </w:rPr>
  </w:style>
  <w:style w:type="paragraph" w:customStyle="1" w:styleId="1081">
    <w:name w:val="图框"/>
    <w:basedOn w:val="1"/>
    <w:link w:val="1080"/>
    <w:uiPriority w:val="0"/>
    <w:pPr>
      <w:widowControl/>
      <w:jc w:val="center"/>
    </w:pPr>
    <w:rPr>
      <w:rFonts w:ascii="Arial" w:hAnsi="Arial" w:eastAsia="宋体"/>
      <w:sz w:val="21"/>
    </w:rPr>
  </w:style>
  <w:style w:type="character" w:customStyle="1" w:styleId="1082">
    <w:name w:val="正文文本 2 Char1"/>
    <w:basedOn w:val="132"/>
    <w:semiHidden/>
    <w:uiPriority w:val="99"/>
  </w:style>
  <w:style w:type="character" w:customStyle="1" w:styleId="1083">
    <w:name w:val="lh22px"/>
    <w:basedOn w:val="132"/>
    <w:uiPriority w:val="0"/>
  </w:style>
  <w:style w:type="paragraph" w:customStyle="1" w:styleId="1084">
    <w:name w:val="样式 样式 普通(网站) + Times New Roman 四号 加粗 自动设置 段前: 自动 段后: 自动 行距: 固......"/>
    <w:basedOn w:val="1"/>
    <w:uiPriority w:val="0"/>
    <w:pPr>
      <w:widowControl/>
      <w:spacing w:line="360" w:lineRule="auto"/>
      <w:ind w:firstLine="562" w:firstLineChars="200"/>
      <w:jc w:val="left"/>
    </w:pPr>
    <w:rPr>
      <w:rFonts w:ascii="仿宋_GB2312" w:hAnsi="宋体"/>
      <w:b/>
      <w:szCs w:val="28"/>
    </w:rPr>
  </w:style>
  <w:style w:type="paragraph" w:customStyle="1" w:styleId="1085">
    <w:name w:val="Char Char Char Char Char Char2"/>
    <w:basedOn w:val="1"/>
    <w:uiPriority w:val="0"/>
    <w:pPr>
      <w:widowControl/>
      <w:spacing w:after="160" w:line="240" w:lineRule="exact"/>
      <w:jc w:val="left"/>
    </w:pPr>
    <w:rPr>
      <w:rFonts w:ascii="Tahoma" w:hAnsi="Tahoma" w:eastAsia="宋体"/>
      <w:kern w:val="0"/>
      <w:sz w:val="20"/>
      <w:lang w:eastAsia="en-US"/>
    </w:rPr>
  </w:style>
  <w:style w:type="paragraph" w:customStyle="1" w:styleId="1086">
    <w:name w:val="Char Char1 Char Char Char Char Char Char Char Char Char Char Char Char1"/>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087">
    <w:name w:val="Char Char2 Char Char Char Char1"/>
    <w:basedOn w:val="1"/>
    <w:uiPriority w:val="0"/>
    <w:pPr>
      <w:widowControl/>
      <w:spacing w:line="360" w:lineRule="auto"/>
      <w:ind w:firstLine="200" w:firstLineChars="200"/>
      <w:jc w:val="left"/>
    </w:pPr>
    <w:rPr>
      <w:rFonts w:ascii="宋体" w:hAnsi="宋体" w:eastAsia="宋体" w:cs="宋体"/>
      <w:sz w:val="20"/>
      <w:szCs w:val="24"/>
    </w:rPr>
  </w:style>
  <w:style w:type="character" w:customStyle="1" w:styleId="1088">
    <w:name w:val="题注 Char2"/>
    <w:uiPriority w:val="0"/>
    <w:rPr>
      <w:rFonts w:ascii="Arial" w:hAnsi="Arial" w:cs="Arial"/>
      <w:b/>
      <w:kern w:val="2"/>
      <w:sz w:val="21"/>
      <w:szCs w:val="21"/>
    </w:rPr>
  </w:style>
  <w:style w:type="character" w:customStyle="1" w:styleId="1089">
    <w:name w:val="表格备注"/>
    <w:uiPriority w:val="0"/>
    <w:rPr>
      <w:rFonts w:ascii="华文楷体" w:hAnsi="华文楷体" w:eastAsia="楷体_GB2312"/>
      <w:kern w:val="0"/>
      <w:sz w:val="21"/>
    </w:rPr>
  </w:style>
  <w:style w:type="table" w:customStyle="1" w:styleId="1090">
    <w:name w:val="三线表1"/>
    <w:basedOn w:val="87"/>
    <w:uiPriority w:val="0"/>
    <w:pPr>
      <w:jc w:val="center"/>
    </w:pPr>
    <w:rPr>
      <w:sz w:val="21"/>
    </w:rPr>
    <w:tblPr>
      <w:tblBorders>
        <w:top w:val="single" w:color="auto" w:sz="12" w:space="0"/>
        <w:bottom w:val="single" w:color="auto" w:sz="12" w:space="0"/>
        <w:insideH w:val="single" w:color="auto" w:sz="4" w:space="0"/>
        <w:insideV w:val="single" w:color="auto" w:sz="4" w:space="0"/>
      </w:tblBorders>
      <w:tblLayout w:type="fixed"/>
    </w:tblPr>
    <w:tcPr>
      <w:vAlign w:val="center"/>
    </w:tcPr>
    <w:tblStylePr w:type="firstRow">
      <w:rPr>
        <w:rFonts w:eastAsia="宋体"/>
        <w:sz w:val="21"/>
      </w:rPr>
      <w:tcPr>
        <w:tcBorders>
          <w:bottom w:val="single" w:color="auto" w:sz="12" w:space="0"/>
        </w:tcBorders>
      </w:tcPr>
    </w:tblStylePr>
  </w:style>
  <w:style w:type="paragraph" w:customStyle="1" w:styleId="1091">
    <w:name w:val="Char Char Char Char Char Char1 Char"/>
    <w:basedOn w:val="1"/>
    <w:uiPriority w:val="0"/>
    <w:pPr>
      <w:widowControl/>
      <w:jc w:val="left"/>
    </w:pPr>
    <w:rPr>
      <w:rFonts w:eastAsia="宋体"/>
      <w:sz w:val="21"/>
      <w:szCs w:val="24"/>
    </w:rPr>
  </w:style>
  <w:style w:type="character" w:customStyle="1" w:styleId="1092">
    <w:name w:val="viewbt"/>
    <w:basedOn w:val="132"/>
    <w:uiPriority w:val="0"/>
  </w:style>
  <w:style w:type="paragraph" w:customStyle="1" w:styleId="1093">
    <w:name w:val="Char Char Char Char Char Char Char Char Char Char Char Char Char2"/>
    <w:basedOn w:val="1"/>
    <w:uiPriority w:val="0"/>
    <w:pPr>
      <w:widowControl/>
      <w:tabs>
        <w:tab w:val="left" w:pos="432"/>
      </w:tabs>
      <w:ind w:left="432" w:hanging="432"/>
      <w:jc w:val="left"/>
    </w:pPr>
    <w:rPr>
      <w:rFonts w:ascii="Tahoma" w:hAnsi="Tahoma" w:eastAsia="宋体"/>
      <w:sz w:val="20"/>
    </w:rPr>
  </w:style>
  <w:style w:type="paragraph" w:customStyle="1" w:styleId="1094">
    <w:name w:val="Char Char Char3 Char"/>
    <w:basedOn w:val="1"/>
    <w:uiPriority w:val="0"/>
    <w:pPr>
      <w:widowControl/>
      <w:jc w:val="left"/>
    </w:pPr>
    <w:rPr>
      <w:rFonts w:eastAsia="宋体"/>
      <w:sz w:val="21"/>
      <w:szCs w:val="24"/>
    </w:rPr>
  </w:style>
  <w:style w:type="paragraph" w:customStyle="1" w:styleId="1095">
    <w:name w:val="样式 样式 标题 3标题 3 Char标题 一小节标题头条标题1.1.1小标题3h33rd levelH3l3... + 段前:..."/>
    <w:basedOn w:val="1"/>
    <w:uiPriority w:val="0"/>
    <w:pPr>
      <w:keepNext/>
      <w:keepLines/>
      <w:widowControl/>
      <w:spacing w:before="60" w:line="460" w:lineRule="exact"/>
      <w:jc w:val="left"/>
      <w:outlineLvl w:val="2"/>
    </w:pPr>
    <w:rPr>
      <w:rFonts w:eastAsia="宋体" w:cs="宋体"/>
      <w:b/>
      <w:bCs/>
      <w:color w:val="0099FF"/>
      <w:sz w:val="20"/>
    </w:rPr>
  </w:style>
  <w:style w:type="paragraph" w:customStyle="1" w:styleId="1096">
    <w:name w:val="Char1 Char Char Char2"/>
    <w:basedOn w:val="1"/>
    <w:uiPriority w:val="0"/>
    <w:pPr>
      <w:widowControl/>
      <w:jc w:val="left"/>
    </w:pPr>
    <w:rPr>
      <w:rFonts w:eastAsia="宋体"/>
      <w:sz w:val="21"/>
      <w:szCs w:val="24"/>
    </w:rPr>
  </w:style>
  <w:style w:type="paragraph" w:customStyle="1" w:styleId="1097">
    <w:name w:val="中文正文"/>
    <w:basedOn w:val="1"/>
    <w:link w:val="1098"/>
    <w:uiPriority w:val="0"/>
    <w:pPr>
      <w:widowControl/>
      <w:autoSpaceDE w:val="0"/>
      <w:autoSpaceDN w:val="0"/>
      <w:adjustRightInd w:val="0"/>
      <w:spacing w:line="360" w:lineRule="auto"/>
      <w:ind w:firstLine="200" w:firstLineChars="200"/>
      <w:jc w:val="left"/>
    </w:pPr>
    <w:rPr>
      <w:rFonts w:eastAsia="宋体"/>
      <w:color w:val="000000"/>
      <w:kern w:val="0"/>
      <w:sz w:val="24"/>
      <w:szCs w:val="24"/>
    </w:rPr>
  </w:style>
  <w:style w:type="character" w:customStyle="1" w:styleId="1098">
    <w:name w:val="中文正文 Char"/>
    <w:link w:val="1097"/>
    <w:uiPriority w:val="0"/>
    <w:rPr>
      <w:color w:val="000000"/>
      <w:sz w:val="24"/>
      <w:szCs w:val="24"/>
    </w:rPr>
  </w:style>
  <w:style w:type="character" w:customStyle="1" w:styleId="1099">
    <w:name w:val="spelle"/>
    <w:basedOn w:val="132"/>
    <w:uiPriority w:val="0"/>
  </w:style>
  <w:style w:type="character" w:customStyle="1" w:styleId="1100">
    <w:name w:val="正文首行缩进2 Char Char"/>
    <w:uiPriority w:val="0"/>
    <w:rPr>
      <w:rFonts w:ascii="宋体"/>
      <w:sz w:val="24"/>
      <w:szCs w:val="24"/>
    </w:rPr>
  </w:style>
  <w:style w:type="paragraph" w:customStyle="1" w:styleId="1101">
    <w:name w:val="Char Char Char Char Char Char1 Char Char Char Char2"/>
    <w:basedOn w:val="1"/>
    <w:uiPriority w:val="0"/>
    <w:pPr>
      <w:widowControl/>
      <w:jc w:val="left"/>
    </w:pPr>
    <w:rPr>
      <w:rFonts w:eastAsia="宋体"/>
      <w:sz w:val="20"/>
      <w:szCs w:val="24"/>
    </w:rPr>
  </w:style>
  <w:style w:type="paragraph" w:customStyle="1" w:styleId="1102">
    <w:name w:val="Char Char Char Char Char Char Char1"/>
    <w:basedOn w:val="1"/>
    <w:uiPriority w:val="0"/>
    <w:pPr>
      <w:widowControl/>
      <w:tabs>
        <w:tab w:val="left" w:pos="432"/>
      </w:tabs>
      <w:ind w:left="432" w:hanging="432"/>
      <w:jc w:val="left"/>
    </w:pPr>
    <w:rPr>
      <w:rFonts w:ascii="Tahoma" w:hAnsi="Tahoma" w:eastAsia="宋体"/>
      <w:sz w:val="20"/>
    </w:rPr>
  </w:style>
  <w:style w:type="paragraph" w:customStyle="1" w:styleId="1103">
    <w:name w:val="Char Char1 Char Char"/>
    <w:basedOn w:val="1"/>
    <w:uiPriority w:val="0"/>
    <w:pPr>
      <w:widowControl/>
      <w:ind w:left="-48"/>
      <w:jc w:val="left"/>
    </w:pPr>
    <w:rPr>
      <w:rFonts w:eastAsia="宋体"/>
      <w:sz w:val="21"/>
      <w:szCs w:val="24"/>
    </w:rPr>
  </w:style>
  <w:style w:type="character" w:customStyle="1" w:styleId="1104">
    <w:name w:val="F文字-上标"/>
    <w:uiPriority w:val="0"/>
    <w:rPr>
      <w:rFonts w:ascii="Bodoni MT Condensed" w:hAnsi="Bodoni MT Condensed" w:eastAsia="宋体"/>
      <w:sz w:val="24"/>
      <w:szCs w:val="24"/>
      <w:vertAlign w:val="superscript"/>
    </w:rPr>
  </w:style>
  <w:style w:type="paragraph" w:customStyle="1" w:styleId="1105">
    <w:name w:val="Char Char2 Char Char Char Char Char Char Char Char Char Char Char Char"/>
    <w:basedOn w:val="1"/>
    <w:uiPriority w:val="0"/>
    <w:pPr>
      <w:widowControl/>
      <w:jc w:val="left"/>
    </w:pPr>
    <w:rPr>
      <w:rFonts w:ascii="宋体" w:hAnsi="宋体" w:eastAsia="宋体" w:cs="Courier New"/>
      <w:sz w:val="32"/>
      <w:szCs w:val="32"/>
    </w:rPr>
  </w:style>
  <w:style w:type="character" w:customStyle="1" w:styleId="1106">
    <w:name w:val="fontcontent1"/>
    <w:uiPriority w:val="0"/>
    <w:rPr>
      <w:color w:val="333333"/>
      <w:sz w:val="21"/>
      <w:szCs w:val="21"/>
      <w:u w:val="none"/>
    </w:rPr>
  </w:style>
  <w:style w:type="character" w:customStyle="1" w:styleId="1107">
    <w:name w:val="font011"/>
    <w:uiPriority w:val="0"/>
    <w:rPr>
      <w:color w:val="333333"/>
      <w:sz w:val="18"/>
      <w:szCs w:val="18"/>
      <w:u w:val="none"/>
    </w:rPr>
  </w:style>
  <w:style w:type="paragraph" w:customStyle="1" w:styleId="1108">
    <w:name w:val="fontcontent"/>
    <w:basedOn w:val="1"/>
    <w:uiPriority w:val="0"/>
    <w:pPr>
      <w:widowControl/>
      <w:spacing w:line="360" w:lineRule="auto"/>
      <w:jc w:val="left"/>
    </w:pPr>
    <w:rPr>
      <w:rFonts w:ascii="宋体" w:hAnsi="宋体" w:eastAsia="宋体" w:cs="宋体"/>
      <w:color w:val="333333"/>
      <w:kern w:val="0"/>
      <w:sz w:val="21"/>
      <w:szCs w:val="21"/>
    </w:rPr>
  </w:style>
  <w:style w:type="character" w:customStyle="1" w:styleId="1109">
    <w:name w:val="标题6"/>
    <w:basedOn w:val="132"/>
    <w:uiPriority w:val="0"/>
  </w:style>
  <w:style w:type="paragraph" w:customStyle="1" w:styleId="1110">
    <w:name w:val="报告书标题2"/>
    <w:basedOn w:val="1"/>
    <w:next w:val="1"/>
    <w:uiPriority w:val="0"/>
    <w:pPr>
      <w:widowControl/>
      <w:spacing w:before="50" w:beforeLines="50" w:after="50" w:afterLines="50" w:line="360" w:lineRule="auto"/>
      <w:jc w:val="left"/>
    </w:pPr>
    <w:rPr>
      <w:rFonts w:eastAsia="黑体"/>
      <w:b/>
      <w:szCs w:val="24"/>
    </w:rPr>
  </w:style>
  <w:style w:type="character" w:customStyle="1" w:styleId="1111">
    <w:name w:val="style88"/>
    <w:basedOn w:val="132"/>
    <w:uiPriority w:val="0"/>
  </w:style>
  <w:style w:type="paragraph" w:customStyle="1" w:styleId="1112">
    <w:name w:val="样式 标题 3 +"/>
    <w:basedOn w:val="5"/>
    <w:uiPriority w:val="0"/>
    <w:pPr>
      <w:keepNext w:val="0"/>
      <w:keepLines w:val="0"/>
      <w:widowControl/>
      <w:numPr>
        <w:ilvl w:val="0"/>
        <w:numId w:val="0"/>
      </w:numPr>
      <w:spacing w:before="0" w:after="175" w:afterLines="50" w:line="500" w:lineRule="exact"/>
      <w:ind w:left="720" w:hanging="432"/>
      <w:jc w:val="left"/>
    </w:pPr>
    <w:rPr>
      <w:rFonts w:ascii="Times New Roman" w:eastAsia="宋体"/>
      <w:kern w:val="2"/>
      <w:sz w:val="20"/>
      <w:szCs w:val="24"/>
      <w:lang w:val="en-US" w:eastAsia="zh-CN"/>
    </w:rPr>
  </w:style>
  <w:style w:type="paragraph" w:customStyle="1" w:styleId="1113">
    <w:name w:val="样式 标题 1 + 黑色"/>
    <w:basedOn w:val="2"/>
    <w:qFormat/>
    <w:uiPriority w:val="0"/>
    <w:pPr>
      <w:pageBreakBefore w:val="0"/>
      <w:widowControl/>
      <w:tabs>
        <w:tab w:val="clear" w:pos="1080"/>
      </w:tabs>
      <w:adjustRightInd w:val="0"/>
      <w:snapToGrid w:val="0"/>
      <w:spacing w:before="340" w:after="330" w:line="20" w:lineRule="exact"/>
      <w:ind w:left="0" w:firstLine="0"/>
      <w:jc w:val="left"/>
    </w:pPr>
    <w:rPr>
      <w:bCs/>
      <w:sz w:val="32"/>
      <w:szCs w:val="44"/>
      <w:lang w:val="en-US" w:eastAsia="zh-CN"/>
    </w:rPr>
  </w:style>
  <w:style w:type="paragraph" w:customStyle="1" w:styleId="1114">
    <w:name w:val="样式 样式 标题 1标题章标题 1 Char标题章 Char Char Char Char标题 1 Char Char + 两...."/>
    <w:basedOn w:val="1"/>
    <w:uiPriority w:val="0"/>
    <w:pPr>
      <w:widowControl/>
      <w:spacing w:line="360" w:lineRule="auto"/>
      <w:jc w:val="left"/>
    </w:pPr>
    <w:rPr>
      <w:rFonts w:ascii="Arial" w:hAnsi="Arial" w:eastAsia="宋体"/>
      <w:sz w:val="20"/>
      <w:szCs w:val="24"/>
    </w:rPr>
  </w:style>
  <w:style w:type="paragraph" w:customStyle="1" w:styleId="1115">
    <w:name w:val="Char Char Char1 Char2"/>
    <w:basedOn w:val="1"/>
    <w:uiPriority w:val="0"/>
    <w:pPr>
      <w:widowControl/>
      <w:jc w:val="left"/>
    </w:pPr>
    <w:rPr>
      <w:rFonts w:eastAsia="宋体"/>
      <w:sz w:val="21"/>
      <w:szCs w:val="24"/>
    </w:rPr>
  </w:style>
  <w:style w:type="paragraph" w:customStyle="1" w:styleId="1116">
    <w:name w:val="样式26"/>
    <w:basedOn w:val="6"/>
    <w:link w:val="1941"/>
    <w:qFormat/>
    <w:uiPriority w:val="0"/>
    <w:pPr>
      <w:widowControl/>
      <w:numPr>
        <w:ilvl w:val="0"/>
        <w:numId w:val="0"/>
      </w:numPr>
      <w:spacing w:after="120"/>
      <w:ind w:left="864" w:hanging="144"/>
      <w:jc w:val="left"/>
      <w:textAlignment w:val="baseline"/>
    </w:pPr>
    <w:rPr>
      <w:rFonts w:eastAsia="宋体"/>
      <w:b w:val="0"/>
      <w:sz w:val="20"/>
      <w:lang w:val="en-US" w:eastAsia="zh-CN"/>
    </w:rPr>
  </w:style>
  <w:style w:type="paragraph" w:customStyle="1" w:styleId="1117">
    <w:name w:val="正文00000"/>
    <w:basedOn w:val="1"/>
    <w:link w:val="1118"/>
    <w:uiPriority w:val="0"/>
    <w:pPr>
      <w:widowControl/>
      <w:adjustRightInd w:val="0"/>
      <w:snapToGrid w:val="0"/>
      <w:spacing w:line="440" w:lineRule="atLeast"/>
      <w:ind w:firstLine="482"/>
      <w:jc w:val="left"/>
    </w:pPr>
    <w:rPr>
      <w:rFonts w:eastAsia="宋体"/>
      <w:sz w:val="20"/>
    </w:rPr>
  </w:style>
  <w:style w:type="character" w:customStyle="1" w:styleId="1118">
    <w:name w:val="正文00000 Char"/>
    <w:link w:val="1117"/>
    <w:uiPriority w:val="0"/>
    <w:rPr>
      <w:kern w:val="2"/>
    </w:rPr>
  </w:style>
  <w:style w:type="paragraph" w:customStyle="1" w:styleId="1119">
    <w:name w:val="正文文本缩进 22"/>
    <w:basedOn w:val="1"/>
    <w:uiPriority w:val="0"/>
    <w:pPr>
      <w:widowControl/>
      <w:adjustRightInd w:val="0"/>
      <w:spacing w:line="560" w:lineRule="exact"/>
      <w:ind w:firstLine="570"/>
      <w:jc w:val="left"/>
      <w:textAlignment w:val="baseline"/>
    </w:pPr>
    <w:rPr>
      <w:rFonts w:eastAsia="宋体"/>
    </w:rPr>
  </w:style>
  <w:style w:type="character" w:customStyle="1" w:styleId="1120">
    <w:name w:val="14bit1"/>
    <w:uiPriority w:val="0"/>
    <w:rPr>
      <w:sz w:val="21"/>
      <w:szCs w:val="21"/>
    </w:rPr>
  </w:style>
  <w:style w:type="paragraph" w:customStyle="1" w:styleId="1121">
    <w:name w:val="Char Char Char Char Char Char Char Char Char Char Char Char Char Char Char Char Char Char Char Char Char Char Char Char Char Char Char Char Char Char Char Char Char Char Char Char Char Char Char Char Char Char Char2"/>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122">
    <w:name w:val="正文 仿宋小四 1.5倍行距"/>
    <w:basedOn w:val="1"/>
    <w:link w:val="1123"/>
    <w:uiPriority w:val="0"/>
    <w:pPr>
      <w:widowControl/>
      <w:snapToGrid w:val="0"/>
      <w:spacing w:line="360" w:lineRule="auto"/>
      <w:ind w:firstLine="525"/>
      <w:jc w:val="left"/>
    </w:pPr>
    <w:rPr>
      <w:rFonts w:ascii="Dotum" w:hAnsi="Dotum"/>
      <w:kern w:val="0"/>
      <w:sz w:val="20"/>
      <w:szCs w:val="24"/>
    </w:rPr>
  </w:style>
  <w:style w:type="character" w:customStyle="1" w:styleId="1123">
    <w:name w:val="正文 仿宋小四 1.5倍行距 Char"/>
    <w:link w:val="1122"/>
    <w:uiPriority w:val="0"/>
    <w:rPr>
      <w:rFonts w:ascii="Dotum" w:hAnsi="Dotum" w:eastAsia="仿宋_GB2312"/>
      <w:szCs w:val="24"/>
    </w:rPr>
  </w:style>
  <w:style w:type="paragraph" w:customStyle="1" w:styleId="1124">
    <w:name w:val="表底说明"/>
    <w:basedOn w:val="1"/>
    <w:uiPriority w:val="0"/>
    <w:pPr>
      <w:widowControl/>
      <w:jc w:val="left"/>
    </w:pPr>
    <w:rPr>
      <w:rFonts w:eastAsia="宋体"/>
      <w:sz w:val="18"/>
      <w:szCs w:val="24"/>
    </w:rPr>
  </w:style>
  <w:style w:type="paragraph" w:customStyle="1" w:styleId="1125">
    <w:name w:val="表格标签"/>
    <w:basedOn w:val="1122"/>
    <w:uiPriority w:val="0"/>
    <w:pPr>
      <w:jc w:val="center"/>
    </w:pPr>
    <w:rPr>
      <w:sz w:val="21"/>
    </w:rPr>
  </w:style>
  <w:style w:type="paragraph" w:customStyle="1" w:styleId="1126">
    <w:name w:val="Char Char Char Char Char Char Char Char Char1 Char"/>
    <w:basedOn w:val="1"/>
    <w:uiPriority w:val="0"/>
    <w:pPr>
      <w:widowControl/>
      <w:spacing w:line="360" w:lineRule="auto"/>
      <w:jc w:val="left"/>
    </w:pPr>
    <w:rPr>
      <w:rFonts w:ascii="仿宋_GB2312" w:hAnsi="Arial" w:cs="Arial"/>
      <w:b/>
      <w:sz w:val="20"/>
    </w:rPr>
  </w:style>
  <w:style w:type="paragraph" w:customStyle="1" w:styleId="1127">
    <w:name w:val="条文细目3-21到99"/>
    <w:basedOn w:val="1"/>
    <w:uiPriority w:val="0"/>
    <w:pPr>
      <w:widowControl/>
      <w:adjustRightInd w:val="0"/>
      <w:spacing w:before="156" w:beforeLines="50" w:line="280" w:lineRule="atLeast"/>
      <w:ind w:left="1428" w:leftChars="680"/>
      <w:jc w:val="left"/>
      <w:textAlignment w:val="baseline"/>
    </w:pPr>
    <w:rPr>
      <w:rFonts w:ascii="Arial" w:hAnsi="Arial" w:eastAsia="宋体" w:cs="宋体"/>
      <w:sz w:val="20"/>
      <w:szCs w:val="21"/>
    </w:rPr>
  </w:style>
  <w:style w:type="paragraph" w:customStyle="1" w:styleId="1128">
    <w:name w:val="报告表标题1"/>
    <w:basedOn w:val="2"/>
    <w:uiPriority w:val="0"/>
    <w:pPr>
      <w:pageBreakBefore w:val="0"/>
      <w:widowControl/>
      <w:tabs>
        <w:tab w:val="clear" w:pos="1080"/>
      </w:tabs>
      <w:adjustRightInd w:val="0"/>
      <w:snapToGrid w:val="0"/>
      <w:spacing w:before="340" w:after="330" w:line="20" w:lineRule="exact"/>
      <w:ind w:left="0" w:firstLine="0"/>
      <w:jc w:val="left"/>
    </w:pPr>
    <w:rPr>
      <w:bCs/>
      <w:sz w:val="32"/>
      <w:szCs w:val="44"/>
      <w:lang w:val="en-US" w:eastAsia="zh-CN"/>
    </w:rPr>
  </w:style>
  <w:style w:type="paragraph" w:customStyle="1" w:styleId="1129">
    <w:name w:val="zw"/>
    <w:uiPriority w:val="0"/>
    <w:pPr>
      <w:spacing w:line="360" w:lineRule="auto"/>
      <w:ind w:firstLine="567"/>
      <w:jc w:val="both"/>
    </w:pPr>
    <w:rPr>
      <w:rFonts w:ascii="Dotum" w:hAnsi="Dotum" w:eastAsia="仿宋_GB2312" w:cs="Times New Roman"/>
      <w:sz w:val="24"/>
      <w:lang w:val="en-US" w:eastAsia="zh-CN" w:bidi="ar-SA"/>
    </w:rPr>
  </w:style>
  <w:style w:type="paragraph" w:customStyle="1" w:styleId="1130">
    <w:name w:val="bg"/>
    <w:basedOn w:val="1129"/>
    <w:uiPriority w:val="0"/>
    <w:pPr>
      <w:spacing w:line="240" w:lineRule="auto"/>
      <w:ind w:firstLine="0"/>
      <w:jc w:val="center"/>
    </w:pPr>
  </w:style>
  <w:style w:type="paragraph" w:customStyle="1" w:styleId="1131">
    <w:name w:val="Char Char1 Char Char Char Char Char Char Char Char Char Char Char Char Char Char Char Char Char Char2"/>
    <w:basedOn w:val="1"/>
    <w:uiPriority w:val="0"/>
    <w:pPr>
      <w:widowControl/>
      <w:spacing w:line="360" w:lineRule="auto"/>
      <w:ind w:firstLine="200" w:firstLineChars="200"/>
      <w:jc w:val="left"/>
    </w:pPr>
    <w:rPr>
      <w:rFonts w:ascii="宋体" w:hAnsi="宋体" w:eastAsia="宋体" w:cs="宋体"/>
      <w:snapToGrid w:val="0"/>
      <w:sz w:val="20"/>
      <w:szCs w:val="21"/>
    </w:rPr>
  </w:style>
  <w:style w:type="paragraph" w:customStyle="1" w:styleId="1132">
    <w:name w:val="样式 目录 3 +"/>
    <w:basedOn w:val="44"/>
    <w:semiHidden/>
    <w:uiPriority w:val="0"/>
    <w:pPr>
      <w:widowControl/>
      <w:tabs>
        <w:tab w:val="right" w:leader="dot" w:pos="8640"/>
        <w:tab w:val="right" w:leader="dot" w:pos="9060"/>
      </w:tabs>
      <w:spacing w:line="500" w:lineRule="exact"/>
      <w:ind w:left="400" w:leftChars="375"/>
    </w:pPr>
    <w:rPr>
      <w:rFonts w:cs="宋体"/>
      <w:i w:val="0"/>
      <w:iCs w:val="0"/>
      <w:snapToGrid w:val="0"/>
      <w:sz w:val="20"/>
      <w:szCs w:val="20"/>
    </w:rPr>
  </w:style>
  <w:style w:type="paragraph" w:customStyle="1" w:styleId="1133">
    <w:name w:val="中文报告书样式"/>
    <w:basedOn w:val="1"/>
    <w:link w:val="1134"/>
    <w:uiPriority w:val="0"/>
    <w:pPr>
      <w:widowControl/>
      <w:adjustRightInd w:val="0"/>
      <w:spacing w:line="480" w:lineRule="atLeast"/>
      <w:ind w:firstLine="482"/>
      <w:jc w:val="left"/>
      <w:textAlignment w:val="baseline"/>
    </w:pPr>
    <w:rPr>
      <w:rFonts w:eastAsia="宋体"/>
      <w:snapToGrid w:val="0"/>
      <w:kern w:val="24"/>
      <w:sz w:val="20"/>
    </w:rPr>
  </w:style>
  <w:style w:type="character" w:customStyle="1" w:styleId="1134">
    <w:name w:val="中文报告书样式 Char"/>
    <w:link w:val="1133"/>
    <w:uiPriority w:val="0"/>
    <w:rPr>
      <w:snapToGrid w:val="0"/>
      <w:kern w:val="24"/>
    </w:rPr>
  </w:style>
  <w:style w:type="paragraph" w:customStyle="1" w:styleId="1135">
    <w:name w:val="中文报告书"/>
    <w:basedOn w:val="1"/>
    <w:uiPriority w:val="0"/>
    <w:pPr>
      <w:widowControl/>
      <w:adjustRightInd w:val="0"/>
      <w:spacing w:after="80" w:line="420" w:lineRule="atLeast"/>
      <w:jc w:val="left"/>
      <w:textAlignment w:val="baseline"/>
    </w:pPr>
    <w:rPr>
      <w:rFonts w:eastAsia="宋体"/>
      <w:snapToGrid w:val="0"/>
      <w:kern w:val="0"/>
      <w:sz w:val="20"/>
    </w:rPr>
  </w:style>
  <w:style w:type="character" w:customStyle="1" w:styleId="1136">
    <w:name w:val="text"/>
    <w:basedOn w:val="132"/>
    <w:uiPriority w:val="0"/>
  </w:style>
  <w:style w:type="paragraph" w:customStyle="1" w:styleId="1137">
    <w:name w:val="表格文本1-楷五居中"/>
    <w:basedOn w:val="1"/>
    <w:uiPriority w:val="0"/>
    <w:pPr>
      <w:widowControl/>
      <w:adjustRightInd w:val="0"/>
      <w:spacing w:line="0" w:lineRule="atLeast"/>
      <w:jc w:val="center"/>
      <w:textAlignment w:val="baseline"/>
    </w:pPr>
    <w:rPr>
      <w:rFonts w:ascii="楷体_GB2312" w:hAnsi="宋体" w:eastAsia="楷体_GB2312"/>
      <w:bCs/>
      <w:sz w:val="21"/>
      <w:szCs w:val="21"/>
    </w:rPr>
  </w:style>
  <w:style w:type="paragraph" w:customStyle="1" w:styleId="1138">
    <w:name w:val="缩进"/>
    <w:basedOn w:val="1"/>
    <w:uiPriority w:val="0"/>
    <w:pPr>
      <w:widowControl/>
      <w:autoSpaceDE w:val="0"/>
      <w:autoSpaceDN w:val="0"/>
      <w:adjustRightInd w:val="0"/>
      <w:spacing w:line="400" w:lineRule="atLeast"/>
      <w:ind w:firstLine="425"/>
      <w:jc w:val="left"/>
      <w:textAlignment w:val="baseline"/>
    </w:pPr>
    <w:rPr>
      <w:rFonts w:eastAsia="宋体"/>
      <w:sz w:val="20"/>
    </w:rPr>
  </w:style>
  <w:style w:type="character" w:customStyle="1" w:styleId="1139">
    <w:name w:val="表底说明 Char"/>
    <w:uiPriority w:val="0"/>
    <w:rPr>
      <w:rFonts w:eastAsia="宋体"/>
      <w:kern w:val="2"/>
      <w:sz w:val="18"/>
      <w:szCs w:val="24"/>
      <w:lang w:val="en-US" w:eastAsia="zh-CN" w:bidi="ar-SA"/>
    </w:rPr>
  </w:style>
  <w:style w:type="paragraph" w:customStyle="1" w:styleId="1140">
    <w:name w:val="封面3"/>
    <w:basedOn w:val="1"/>
    <w:uiPriority w:val="0"/>
    <w:pPr>
      <w:widowControl/>
      <w:jc w:val="center"/>
    </w:pPr>
    <w:rPr>
      <w:rFonts w:ascii="宋体" w:hAnsi="宋体" w:eastAsia="宋体"/>
      <w:b/>
      <w:sz w:val="72"/>
      <w:szCs w:val="72"/>
    </w:rPr>
  </w:style>
  <w:style w:type="paragraph" w:customStyle="1" w:styleId="1141">
    <w:name w:val="样式3-21到100"/>
    <w:basedOn w:val="1"/>
    <w:uiPriority w:val="0"/>
    <w:pPr>
      <w:widowControl/>
      <w:spacing w:line="520" w:lineRule="exact"/>
      <w:ind w:firstLine="420" w:firstLineChars="200"/>
      <w:jc w:val="center"/>
    </w:pPr>
    <w:rPr>
      <w:rFonts w:ascii="黑体" w:hAnsi="宋体" w:eastAsia="黑体"/>
      <w:bCs/>
      <w:color w:val="000000"/>
      <w:sz w:val="21"/>
      <w:szCs w:val="21"/>
    </w:rPr>
  </w:style>
  <w:style w:type="paragraph" w:customStyle="1" w:styleId="1142">
    <w:name w:val="封面2"/>
    <w:basedOn w:val="1"/>
    <w:uiPriority w:val="0"/>
    <w:pPr>
      <w:widowControl/>
      <w:jc w:val="center"/>
    </w:pPr>
    <w:rPr>
      <w:rFonts w:eastAsia="宋体"/>
      <w:b/>
      <w:sz w:val="44"/>
      <w:szCs w:val="24"/>
    </w:rPr>
  </w:style>
  <w:style w:type="paragraph" w:customStyle="1" w:styleId="1143">
    <w:name w:val="封面4"/>
    <w:basedOn w:val="1144"/>
    <w:uiPriority w:val="0"/>
  </w:style>
  <w:style w:type="paragraph" w:customStyle="1" w:styleId="1144">
    <w:name w:val="封面1"/>
    <w:basedOn w:val="1"/>
    <w:uiPriority w:val="0"/>
    <w:pPr>
      <w:widowControl/>
      <w:spacing w:line="300" w:lineRule="auto"/>
      <w:jc w:val="left"/>
    </w:pPr>
    <w:rPr>
      <w:rFonts w:eastAsia="宋体"/>
      <w:b/>
      <w:bCs/>
      <w:color w:val="000000"/>
      <w:sz w:val="32"/>
      <w:szCs w:val="24"/>
      <w:bdr w:val="single" w:color="auto" w:sz="4" w:space="0"/>
    </w:rPr>
  </w:style>
  <w:style w:type="paragraph" w:customStyle="1" w:styleId="1145">
    <w:name w:val="责任页"/>
    <w:basedOn w:val="1"/>
    <w:uiPriority w:val="0"/>
    <w:pPr>
      <w:widowControl/>
      <w:spacing w:line="300" w:lineRule="auto"/>
      <w:jc w:val="left"/>
    </w:pPr>
    <w:rPr>
      <w:rFonts w:eastAsia="宋体"/>
      <w:szCs w:val="24"/>
    </w:rPr>
  </w:style>
  <w:style w:type="paragraph" w:customStyle="1" w:styleId="1146">
    <w:name w:val="封面5"/>
    <w:basedOn w:val="1"/>
    <w:uiPriority w:val="0"/>
    <w:pPr>
      <w:widowControl/>
      <w:snapToGrid w:val="0"/>
      <w:jc w:val="left"/>
    </w:pPr>
    <w:rPr>
      <w:rFonts w:eastAsia="宋体"/>
      <w:sz w:val="21"/>
      <w:szCs w:val="24"/>
    </w:rPr>
  </w:style>
  <w:style w:type="paragraph" w:customStyle="1" w:styleId="1147">
    <w:name w:val="公式"/>
    <w:basedOn w:val="1"/>
    <w:uiPriority w:val="0"/>
    <w:pPr>
      <w:widowControl/>
      <w:adjustRightInd w:val="0"/>
      <w:spacing w:line="288" w:lineRule="auto"/>
      <w:jc w:val="center"/>
      <w:textAlignment w:val="baseline"/>
    </w:pPr>
    <w:rPr>
      <w:rFonts w:eastAsia="宋体"/>
      <w:kern w:val="0"/>
      <w:sz w:val="20"/>
      <w:szCs w:val="24"/>
    </w:rPr>
  </w:style>
  <w:style w:type="paragraph" w:customStyle="1" w:styleId="1148">
    <w:name w:val="自制表格"/>
    <w:basedOn w:val="1"/>
    <w:next w:val="1"/>
    <w:uiPriority w:val="0"/>
    <w:pPr>
      <w:widowControl/>
      <w:spacing w:after="120"/>
      <w:jc w:val="left"/>
    </w:pPr>
    <w:rPr>
      <w:rFonts w:ascii="宋体" w:eastAsia="宋体"/>
      <w:kern w:val="10"/>
    </w:rPr>
  </w:style>
  <w:style w:type="paragraph" w:customStyle="1" w:styleId="1149">
    <w:name w:val="表格名和图名"/>
    <w:basedOn w:val="1"/>
    <w:uiPriority w:val="0"/>
    <w:pPr>
      <w:widowControl/>
      <w:spacing w:line="360" w:lineRule="auto"/>
      <w:jc w:val="center"/>
    </w:pPr>
    <w:rPr>
      <w:rFonts w:eastAsia="宋体"/>
      <w:b/>
      <w:color w:val="000000"/>
      <w:sz w:val="20"/>
      <w:szCs w:val="24"/>
    </w:rPr>
  </w:style>
  <w:style w:type="paragraph" w:customStyle="1" w:styleId="1150">
    <w:name w:val="正文样式"/>
    <w:basedOn w:val="1"/>
    <w:link w:val="1654"/>
    <w:qFormat/>
    <w:uiPriority w:val="0"/>
    <w:pPr>
      <w:widowControl/>
      <w:jc w:val="left"/>
    </w:pPr>
    <w:rPr>
      <w:rFonts w:eastAsia="宋体"/>
      <w:spacing w:val="4"/>
      <w:sz w:val="20"/>
      <w:szCs w:val="24"/>
    </w:rPr>
  </w:style>
  <w:style w:type="character" w:customStyle="1" w:styleId="1151">
    <w:name w:val="aspmaker1"/>
    <w:uiPriority w:val="0"/>
    <w:rPr>
      <w:rFonts w:hint="default" w:ascii="Verdana" w:hAnsi="Verdana"/>
      <w:sz w:val="20"/>
      <w:szCs w:val="20"/>
    </w:rPr>
  </w:style>
  <w:style w:type="character" w:customStyle="1" w:styleId="1152">
    <w:name w:val="neiyetest1"/>
    <w:uiPriority w:val="0"/>
    <w:rPr>
      <w:rFonts w:hint="default" w:ascii="ˎ̥" w:hAnsi="ˎ̥"/>
      <w:color w:val="000000"/>
      <w:sz w:val="20"/>
      <w:szCs w:val="20"/>
    </w:rPr>
  </w:style>
  <w:style w:type="character" w:customStyle="1" w:styleId="1153">
    <w:name w:val="slink1"/>
    <w:uiPriority w:val="0"/>
    <w:rPr>
      <w:rFonts w:hint="default" w:ascii="ˎ̥" w:hAnsi="ˎ̥"/>
      <w:sz w:val="18"/>
      <w:szCs w:val="18"/>
      <w:u w:val="none"/>
    </w:rPr>
  </w:style>
  <w:style w:type="paragraph" w:customStyle="1" w:styleId="1154">
    <w:name w:val="TAB"/>
    <w:basedOn w:val="33"/>
    <w:uiPriority w:val="0"/>
    <w:pPr>
      <w:widowControl/>
      <w:spacing w:before="60" w:after="60"/>
      <w:jc w:val="left"/>
    </w:pPr>
    <w:rPr>
      <w:rFonts w:ascii="Arial" w:hAnsi="Arial" w:eastAsia="宋体"/>
      <w:kern w:val="0"/>
      <w:sz w:val="18"/>
      <w:lang w:val="en-US" w:eastAsia="fr-FR"/>
    </w:rPr>
  </w:style>
  <w:style w:type="character" w:customStyle="1" w:styleId="1155">
    <w:name w:val="about-left1"/>
    <w:uiPriority w:val="0"/>
    <w:rPr>
      <w:color w:val="3A3A3A"/>
      <w:spacing w:val="15"/>
      <w:sz w:val="18"/>
      <w:szCs w:val="18"/>
      <w:u w:val="none"/>
    </w:rPr>
  </w:style>
  <w:style w:type="paragraph" w:customStyle="1" w:styleId="1156">
    <w:name w:val="1名"/>
    <w:basedOn w:val="1"/>
    <w:uiPriority w:val="0"/>
    <w:pPr>
      <w:widowControl/>
      <w:spacing w:before="120"/>
      <w:jc w:val="left"/>
    </w:pPr>
    <w:rPr>
      <w:rFonts w:ascii="宋体" w:eastAsia="宋体"/>
    </w:rPr>
  </w:style>
  <w:style w:type="paragraph" w:customStyle="1" w:styleId="1157">
    <w:name w:val="封面正文"/>
    <w:uiPriority w:val="0"/>
    <w:pPr>
      <w:jc w:val="both"/>
    </w:pPr>
    <w:rPr>
      <w:rFonts w:ascii="Times New Roman" w:hAnsi="Times New Roman" w:eastAsia="宋体" w:cs="Times New Roman"/>
      <w:lang w:val="en-US" w:eastAsia="zh-CN" w:bidi="ar-SA"/>
    </w:rPr>
  </w:style>
  <w:style w:type="paragraph" w:customStyle="1" w:styleId="1158">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159">
    <w:name w:val="我的目录"/>
    <w:basedOn w:val="1"/>
    <w:uiPriority w:val="0"/>
    <w:pPr>
      <w:widowControl/>
      <w:tabs>
        <w:tab w:val="right" w:leader="middleDot" w:pos="9800"/>
      </w:tabs>
      <w:spacing w:line="500" w:lineRule="exact"/>
      <w:jc w:val="left"/>
    </w:pPr>
    <w:rPr>
      <w:rFonts w:ascii="楷体_GB2312" w:eastAsia="楷体_GB2312"/>
      <w:sz w:val="20"/>
      <w:szCs w:val="24"/>
    </w:rPr>
  </w:style>
  <w:style w:type="paragraph" w:customStyle="1" w:styleId="1160">
    <w:name w:val="1 Char"/>
    <w:basedOn w:val="1"/>
    <w:uiPriority w:val="0"/>
    <w:pPr>
      <w:widowControl/>
      <w:jc w:val="left"/>
    </w:pPr>
    <w:rPr>
      <w:rFonts w:eastAsia="宋体"/>
      <w:sz w:val="21"/>
      <w:szCs w:val="24"/>
    </w:rPr>
  </w:style>
  <w:style w:type="paragraph" w:customStyle="1" w:styleId="1161">
    <w:name w:val="样式 正文01 +"/>
    <w:basedOn w:val="6"/>
    <w:uiPriority w:val="0"/>
    <w:pPr>
      <w:widowControl/>
      <w:numPr>
        <w:ilvl w:val="0"/>
        <w:numId w:val="0"/>
      </w:numPr>
      <w:spacing w:after="120"/>
      <w:ind w:left="864" w:hanging="144"/>
      <w:jc w:val="left"/>
      <w:textAlignment w:val="baseline"/>
    </w:pPr>
    <w:rPr>
      <w:rFonts w:eastAsia="宋体"/>
      <w:b w:val="0"/>
      <w:sz w:val="20"/>
      <w:lang w:val="en-US" w:eastAsia="zh-CN"/>
    </w:rPr>
  </w:style>
  <w:style w:type="character" w:customStyle="1" w:styleId="1162">
    <w:name w:val="Header Char"/>
    <w:semiHidden/>
    <w:locked/>
    <w:uiPriority w:val="0"/>
    <w:rPr>
      <w:rFonts w:ascii="Times New Roman" w:hAnsi="Times New Roman" w:eastAsia="仿宋_GB2312" w:cs="Times New Roman"/>
      <w:sz w:val="18"/>
      <w:szCs w:val="18"/>
    </w:rPr>
  </w:style>
  <w:style w:type="paragraph" w:customStyle="1" w:styleId="1163">
    <w:name w:val="报告条标题"/>
    <w:basedOn w:val="1"/>
    <w:next w:val="1"/>
    <w:uiPriority w:val="0"/>
    <w:pPr>
      <w:widowControl/>
      <w:spacing w:before="120" w:after="120" w:line="400" w:lineRule="exact"/>
      <w:jc w:val="left"/>
    </w:pPr>
    <w:rPr>
      <w:rFonts w:ascii="黑体" w:eastAsia="黑体"/>
      <w:sz w:val="20"/>
    </w:rPr>
  </w:style>
  <w:style w:type="character" w:customStyle="1" w:styleId="1164">
    <w:name w:val="fs"/>
    <w:basedOn w:val="132"/>
    <w:uiPriority w:val="0"/>
  </w:style>
  <w:style w:type="paragraph" w:customStyle="1" w:styleId="1165">
    <w:name w:val="样式 (中文) 仿宋_GB2312 四号1"/>
    <w:basedOn w:val="1"/>
    <w:link w:val="1166"/>
    <w:uiPriority w:val="0"/>
    <w:pPr>
      <w:widowControl/>
      <w:ind w:firstLine="520" w:firstLineChars="200"/>
      <w:jc w:val="left"/>
    </w:pPr>
    <w:rPr>
      <w:rFonts w:cs="宋体"/>
    </w:rPr>
  </w:style>
  <w:style w:type="character" w:customStyle="1" w:styleId="1166">
    <w:name w:val="样式 (中文) 仿宋_GB2312 四号1 Char"/>
    <w:link w:val="1165"/>
    <w:uiPriority w:val="0"/>
    <w:rPr>
      <w:rFonts w:eastAsia="仿宋_GB2312" w:cs="宋体"/>
      <w:kern w:val="2"/>
      <w:sz w:val="28"/>
    </w:rPr>
  </w:style>
  <w:style w:type="paragraph" w:customStyle="1" w:styleId="1167">
    <w:name w:val="样式 样式 (中文) 仿宋_GB2312 四号1 + 首行缩进:  2 字符"/>
    <w:basedOn w:val="1165"/>
    <w:uiPriority w:val="0"/>
    <w:pPr>
      <w:tabs>
        <w:tab w:val="left" w:pos="1800"/>
      </w:tabs>
      <w:adjustRightInd w:val="0"/>
      <w:snapToGrid w:val="0"/>
      <w:ind w:firstLine="360"/>
    </w:pPr>
    <w:rPr>
      <w:rFonts w:ascii="Arial" w:hAnsi="宋体" w:eastAsia="宋体" w:cs="Arial"/>
      <w:sz w:val="18"/>
      <w:szCs w:val="18"/>
    </w:rPr>
  </w:style>
  <w:style w:type="paragraph" w:customStyle="1" w:styleId="1168">
    <w:name w:val="表内设置"/>
    <w:basedOn w:val="1"/>
    <w:next w:val="1"/>
    <w:qFormat/>
    <w:uiPriority w:val="0"/>
    <w:pPr>
      <w:widowControl/>
      <w:jc w:val="left"/>
    </w:pPr>
    <w:rPr>
      <w:rFonts w:ascii="宋体" w:hAnsi="宋体" w:eastAsia="宋体"/>
      <w:sz w:val="20"/>
      <w:szCs w:val="22"/>
    </w:rPr>
  </w:style>
  <w:style w:type="paragraph" w:customStyle="1" w:styleId="1169">
    <w:name w:val="样式 (中文) 仿宋_GB2312 四号 行距: 多倍行距 1.25 字行"/>
    <w:basedOn w:val="1"/>
    <w:link w:val="1170"/>
    <w:uiPriority w:val="0"/>
    <w:pPr>
      <w:widowControl/>
      <w:spacing w:line="300" w:lineRule="auto"/>
      <w:ind w:firstLine="520" w:firstLineChars="200"/>
      <w:jc w:val="left"/>
    </w:pPr>
    <w:rPr>
      <w:rFonts w:cs="宋体"/>
    </w:rPr>
  </w:style>
  <w:style w:type="character" w:customStyle="1" w:styleId="1170">
    <w:name w:val="样式 (中文) 仿宋_GB2312 四号 行距: 多倍行距 1.25 字行 Char"/>
    <w:link w:val="1169"/>
    <w:uiPriority w:val="0"/>
    <w:rPr>
      <w:rFonts w:eastAsia="仿宋_GB2312" w:cs="宋体"/>
      <w:kern w:val="2"/>
      <w:sz w:val="28"/>
    </w:rPr>
  </w:style>
  <w:style w:type="paragraph" w:customStyle="1" w:styleId="1171">
    <w:name w:val="Char Char Char Char Char Char Char Char Char Char Char Char Char Char Char Char Char Char Char Char Char Char Char Char Char Char Char Char Char Char Char1"/>
    <w:basedOn w:val="1"/>
    <w:uiPriority w:val="0"/>
    <w:pPr>
      <w:widowControl/>
      <w:spacing w:line="360" w:lineRule="auto"/>
      <w:ind w:firstLine="200" w:firstLineChars="200"/>
      <w:jc w:val="left"/>
    </w:pPr>
    <w:rPr>
      <w:rFonts w:ascii="宋体" w:hAnsi="宋体" w:eastAsia="宋体" w:cs="宋体"/>
      <w:sz w:val="20"/>
      <w:szCs w:val="24"/>
    </w:rPr>
  </w:style>
  <w:style w:type="character" w:customStyle="1" w:styleId="1172">
    <w:name w:val="highlight1"/>
    <w:uiPriority w:val="0"/>
    <w:rPr>
      <w:sz w:val="30"/>
      <w:szCs w:val="30"/>
    </w:rPr>
  </w:style>
  <w:style w:type="character" w:customStyle="1" w:styleId="1173">
    <w:name w:val="Char Char10"/>
    <w:uiPriority w:val="0"/>
    <w:rPr>
      <w:kern w:val="2"/>
      <w:sz w:val="24"/>
    </w:rPr>
  </w:style>
  <w:style w:type="paragraph" w:customStyle="1" w:styleId="1174">
    <w:name w:val="正文文字一"/>
    <w:basedOn w:val="1"/>
    <w:uiPriority w:val="0"/>
    <w:pPr>
      <w:widowControl/>
      <w:spacing w:line="520" w:lineRule="exact"/>
      <w:ind w:firstLine="567"/>
      <w:jc w:val="left"/>
    </w:pPr>
    <w:rPr>
      <w:rFonts w:eastAsia="宋体"/>
      <w:szCs w:val="24"/>
    </w:rPr>
  </w:style>
  <w:style w:type="character" w:customStyle="1" w:styleId="1175">
    <w:name w:val="Char Char111"/>
    <w:uiPriority w:val="0"/>
    <w:rPr>
      <w:rFonts w:ascii="宋体" w:hAnsi="宋体"/>
      <w:color w:val="000000"/>
      <w:kern w:val="2"/>
      <w:sz w:val="24"/>
    </w:rPr>
  </w:style>
  <w:style w:type="character" w:customStyle="1" w:styleId="1176">
    <w:name w:val="正文文本缩进 Char2"/>
    <w:uiPriority w:val="0"/>
  </w:style>
  <w:style w:type="character" w:customStyle="1" w:styleId="1177">
    <w:name w:val="结束语 字符"/>
    <w:link w:val="31"/>
    <w:uiPriority w:val="0"/>
    <w:rPr>
      <w:rFonts w:ascii="Arial" w:hAnsi="Arial" w:cs="Arial"/>
      <w:kern w:val="2"/>
      <w:sz w:val="21"/>
    </w:rPr>
  </w:style>
  <w:style w:type="character" w:customStyle="1" w:styleId="1178">
    <w:name w:val="样式 正文（首行缩进两字） + 加粗 Char"/>
    <w:uiPriority w:val="0"/>
    <w:rPr>
      <w:rFonts w:eastAsia="宋体"/>
      <w:b/>
      <w:bCs/>
      <w:kern w:val="2"/>
      <w:sz w:val="24"/>
      <w:szCs w:val="24"/>
      <w:lang w:val="en-US" w:eastAsia="zh-CN" w:bidi="ar-SA"/>
    </w:rPr>
  </w:style>
  <w:style w:type="character" w:customStyle="1" w:styleId="1179">
    <w:name w:val="ll"/>
    <w:basedOn w:val="132"/>
    <w:uiPriority w:val="0"/>
  </w:style>
  <w:style w:type="paragraph" w:customStyle="1" w:styleId="1180">
    <w:name w:val="报告图题"/>
    <w:basedOn w:val="1"/>
    <w:next w:val="1"/>
    <w:uiPriority w:val="0"/>
    <w:pPr>
      <w:widowControl/>
      <w:spacing w:before="120" w:after="120" w:line="400" w:lineRule="exact"/>
      <w:jc w:val="center"/>
    </w:pPr>
    <w:rPr>
      <w:rFonts w:ascii="黑体" w:eastAsia="黑体"/>
      <w:sz w:val="21"/>
    </w:rPr>
  </w:style>
  <w:style w:type="character" w:customStyle="1" w:styleId="1181">
    <w:name w:val="报告图题 Char"/>
    <w:uiPriority w:val="0"/>
    <w:rPr>
      <w:rFonts w:ascii="黑体" w:eastAsia="黑体"/>
      <w:kern w:val="2"/>
      <w:sz w:val="21"/>
      <w:lang w:val="en-US" w:eastAsia="zh-CN" w:bidi="ar-SA"/>
    </w:rPr>
  </w:style>
  <w:style w:type="paragraph" w:customStyle="1" w:styleId="1182">
    <w:name w:val="报告表中"/>
    <w:basedOn w:val="1"/>
    <w:uiPriority w:val="0"/>
    <w:pPr>
      <w:widowControl/>
      <w:jc w:val="center"/>
    </w:pPr>
    <w:rPr>
      <w:rFonts w:eastAsia="宋体"/>
      <w:sz w:val="18"/>
    </w:rPr>
  </w:style>
  <w:style w:type="character" w:customStyle="1" w:styleId="1183">
    <w:name w:val="报告表中 Char"/>
    <w:uiPriority w:val="0"/>
    <w:rPr>
      <w:rFonts w:eastAsia="宋体"/>
      <w:kern w:val="2"/>
      <w:sz w:val="18"/>
      <w:lang w:val="en-US" w:eastAsia="zh-CN" w:bidi="ar-SA"/>
    </w:rPr>
  </w:style>
  <w:style w:type="paragraph" w:customStyle="1" w:styleId="1184">
    <w:name w:val="报告小节标题"/>
    <w:basedOn w:val="5"/>
    <w:next w:val="1"/>
    <w:uiPriority w:val="0"/>
    <w:pPr>
      <w:keepNext w:val="0"/>
      <w:keepLines w:val="0"/>
      <w:widowControl/>
      <w:numPr>
        <w:ilvl w:val="0"/>
        <w:numId w:val="0"/>
      </w:numPr>
      <w:spacing w:before="0" w:after="175" w:afterLines="50" w:line="500" w:lineRule="exact"/>
      <w:ind w:left="720" w:hanging="432"/>
      <w:jc w:val="left"/>
    </w:pPr>
    <w:rPr>
      <w:rFonts w:ascii="Times New Roman" w:eastAsia="宋体"/>
      <w:kern w:val="2"/>
      <w:sz w:val="20"/>
      <w:szCs w:val="24"/>
      <w:lang w:val="en-US" w:eastAsia="zh-CN"/>
    </w:rPr>
  </w:style>
  <w:style w:type="character" w:customStyle="1" w:styleId="1185">
    <w:name w:val="报告小节标题 Char"/>
    <w:uiPriority w:val="0"/>
    <w:rPr>
      <w:rFonts w:eastAsia="黑体"/>
      <w:kern w:val="2"/>
      <w:sz w:val="28"/>
      <w:lang w:val="en-US" w:eastAsia="zh-CN" w:bidi="ar-SA"/>
    </w:rPr>
  </w:style>
  <w:style w:type="paragraph" w:customStyle="1" w:styleId="1186">
    <w:name w:val="报告章标题"/>
    <w:basedOn w:val="2"/>
    <w:next w:val="1"/>
    <w:uiPriority w:val="0"/>
    <w:pPr>
      <w:pageBreakBefore w:val="0"/>
      <w:widowControl/>
      <w:tabs>
        <w:tab w:val="clear" w:pos="1080"/>
      </w:tabs>
      <w:adjustRightInd w:val="0"/>
      <w:snapToGrid w:val="0"/>
      <w:spacing w:before="340" w:after="330" w:line="20" w:lineRule="exact"/>
      <w:ind w:left="0" w:firstLine="0"/>
      <w:jc w:val="left"/>
    </w:pPr>
    <w:rPr>
      <w:bCs/>
      <w:sz w:val="32"/>
      <w:szCs w:val="44"/>
      <w:lang w:val="en-US" w:eastAsia="zh-CN"/>
    </w:rPr>
  </w:style>
  <w:style w:type="paragraph" w:customStyle="1" w:styleId="1187">
    <w:name w:val="报告节标题"/>
    <w:basedOn w:val="3"/>
    <w:next w:val="1"/>
    <w:uiPriority w:val="0"/>
    <w:pPr>
      <w:widowControl/>
      <w:numPr>
        <w:ilvl w:val="0"/>
        <w:numId w:val="0"/>
      </w:numPr>
      <w:spacing w:before="260" w:after="260" w:line="416" w:lineRule="auto"/>
      <w:jc w:val="left"/>
    </w:pPr>
    <w:rPr>
      <w:rFonts w:ascii="Times New Roman" w:hAnsi="Times New Roman" w:eastAsia="宋体"/>
      <w:b/>
      <w:bCs/>
      <w:kern w:val="0"/>
      <w:szCs w:val="32"/>
      <w:lang w:val="en-US" w:eastAsia="zh-CN"/>
    </w:rPr>
  </w:style>
  <w:style w:type="character" w:customStyle="1" w:styleId="1188">
    <w:name w:val="报告节标题 Char"/>
    <w:uiPriority w:val="0"/>
    <w:rPr>
      <w:rFonts w:ascii="Arial" w:hAnsi="Arial" w:eastAsia="黑体"/>
      <w:kern w:val="2"/>
      <w:sz w:val="30"/>
      <w:lang w:val="en-US" w:eastAsia="zh-CN" w:bidi="ar-SA"/>
    </w:rPr>
  </w:style>
  <w:style w:type="character" w:customStyle="1" w:styleId="1189">
    <w:name w:val="报告条标题 Char"/>
    <w:uiPriority w:val="0"/>
    <w:rPr>
      <w:rFonts w:ascii="黑体" w:eastAsia="黑体"/>
      <w:kern w:val="2"/>
      <w:sz w:val="24"/>
      <w:lang w:val="en-US" w:eastAsia="zh-CN" w:bidi="ar-SA"/>
    </w:rPr>
  </w:style>
  <w:style w:type="paragraph" w:customStyle="1" w:styleId="1190">
    <w:name w:val="报告图表标题"/>
    <w:basedOn w:val="1"/>
    <w:uiPriority w:val="0"/>
    <w:pPr>
      <w:widowControl/>
      <w:spacing w:before="120" w:after="120"/>
      <w:jc w:val="center"/>
    </w:pPr>
    <w:rPr>
      <w:rFonts w:ascii="黑体" w:hAnsi="华文楷体" w:eastAsia="黑体"/>
      <w:sz w:val="20"/>
    </w:rPr>
  </w:style>
  <w:style w:type="paragraph" w:customStyle="1" w:styleId="1191">
    <w:name w:val="10"/>
    <w:basedOn w:val="1"/>
    <w:next w:val="81"/>
    <w:uiPriority w:val="0"/>
    <w:pPr>
      <w:widowControl/>
      <w:spacing w:before="100" w:beforeAutospacing="1" w:after="100" w:afterAutospacing="1"/>
      <w:jc w:val="left"/>
    </w:pPr>
    <w:rPr>
      <w:rFonts w:ascii="宋体" w:hAnsi="宋体" w:eastAsia="宋体"/>
      <w:kern w:val="0"/>
      <w:sz w:val="20"/>
      <w:szCs w:val="24"/>
    </w:rPr>
  </w:style>
  <w:style w:type="paragraph" w:customStyle="1" w:styleId="1192">
    <w:name w:val="报告短公式"/>
    <w:basedOn w:val="1"/>
    <w:next w:val="1"/>
    <w:uiPriority w:val="0"/>
    <w:pPr>
      <w:widowControl/>
      <w:tabs>
        <w:tab w:val="left" w:pos="567"/>
        <w:tab w:val="left" w:pos="1134"/>
        <w:tab w:val="left" w:pos="1701"/>
        <w:tab w:val="left" w:pos="2268"/>
        <w:tab w:val="left" w:pos="2835"/>
        <w:tab w:val="left" w:pos="3402"/>
        <w:tab w:val="left" w:pos="3969"/>
        <w:tab w:val="left" w:pos="4536"/>
        <w:tab w:val="left" w:pos="7371"/>
      </w:tabs>
      <w:adjustRightInd w:val="0"/>
      <w:snapToGrid w:val="0"/>
      <w:spacing w:before="200" w:after="200" w:line="360" w:lineRule="auto"/>
      <w:jc w:val="left"/>
    </w:pPr>
    <w:rPr>
      <w:rFonts w:eastAsia="宋体"/>
      <w:sz w:val="18"/>
    </w:rPr>
  </w:style>
  <w:style w:type="paragraph" w:customStyle="1" w:styleId="1193">
    <w:name w:val="报告表注"/>
    <w:next w:val="1"/>
    <w:uiPriority w:val="0"/>
    <w:pPr>
      <w:spacing w:line="240" w:lineRule="exact"/>
      <w:ind w:firstLine="425"/>
      <w:jc w:val="both"/>
    </w:pPr>
    <w:rPr>
      <w:rFonts w:ascii="Times New Roman" w:hAnsi="Times New Roman" w:eastAsia="宋体" w:cs="Times New Roman"/>
      <w:sz w:val="15"/>
      <w:lang w:val="en-US" w:eastAsia="zh-CN" w:bidi="ar-SA"/>
    </w:rPr>
  </w:style>
  <w:style w:type="paragraph" w:customStyle="1" w:styleId="1194">
    <w:name w:val="报告页眉"/>
    <w:basedOn w:val="1"/>
    <w:uiPriority w:val="0"/>
    <w:pPr>
      <w:widowControl/>
      <w:jc w:val="left"/>
    </w:pPr>
    <w:rPr>
      <w:rFonts w:eastAsia="宋体"/>
      <w:sz w:val="18"/>
    </w:rPr>
  </w:style>
  <w:style w:type="character" w:customStyle="1" w:styleId="1195">
    <w:name w:val="报告页眉 Char"/>
    <w:uiPriority w:val="0"/>
    <w:rPr>
      <w:rFonts w:eastAsia="宋体"/>
      <w:kern w:val="2"/>
      <w:sz w:val="18"/>
      <w:lang w:val="en-US" w:eastAsia="zh-CN" w:bidi="ar-SA"/>
    </w:rPr>
  </w:style>
  <w:style w:type="paragraph" w:customStyle="1" w:styleId="1196">
    <w:name w:val="图例说明"/>
    <w:basedOn w:val="1"/>
    <w:uiPriority w:val="0"/>
    <w:pPr>
      <w:widowControl/>
      <w:adjustRightInd w:val="0"/>
      <w:snapToGrid w:val="0"/>
      <w:spacing w:line="560" w:lineRule="exact"/>
      <w:ind w:firstLine="200" w:firstLineChars="200"/>
      <w:jc w:val="center"/>
      <w:textAlignment w:val="baseline"/>
    </w:pPr>
    <w:rPr>
      <w:rFonts w:ascii="宋体" w:hAnsi="宋体"/>
      <w:kern w:val="0"/>
      <w:sz w:val="18"/>
    </w:rPr>
  </w:style>
  <w:style w:type="paragraph" w:customStyle="1" w:styleId="1197">
    <w:name w:val="标4"/>
    <w:basedOn w:val="1"/>
    <w:uiPriority w:val="0"/>
    <w:pPr>
      <w:widowControl/>
      <w:ind w:firstLine="3372"/>
      <w:jc w:val="left"/>
    </w:pPr>
    <w:rPr>
      <w:rFonts w:ascii="黑体" w:hAnsi="华文楷体" w:eastAsia="黑体"/>
      <w:bCs/>
      <w:sz w:val="36"/>
      <w:szCs w:val="36"/>
    </w:rPr>
  </w:style>
  <w:style w:type="paragraph" w:customStyle="1" w:styleId="1198">
    <w:name w:val="核正文"/>
    <w:basedOn w:val="4"/>
    <w:uiPriority w:val="0"/>
    <w:pPr>
      <w:widowControl/>
      <w:adjustRightInd w:val="0"/>
      <w:spacing w:line="360" w:lineRule="auto"/>
      <w:ind w:firstLine="0"/>
      <w:jc w:val="left"/>
    </w:pPr>
    <w:rPr>
      <w:rFonts w:ascii="Times New Roman" w:hAnsi="Times New Roman" w:cs="Times New Roman"/>
      <w:spacing w:val="0"/>
      <w:sz w:val="28"/>
      <w:szCs w:val="28"/>
    </w:rPr>
  </w:style>
  <w:style w:type="paragraph" w:customStyle="1" w:styleId="1199">
    <w:name w:val="表5"/>
    <w:uiPriority w:val="0"/>
    <w:pPr>
      <w:jc w:val="center"/>
    </w:pPr>
    <w:rPr>
      <w:rFonts w:ascii="Times New Roman" w:hAnsi="宋体" w:eastAsia="宋体" w:cs="Times New Roman"/>
      <w:color w:val="000000"/>
      <w:sz w:val="21"/>
      <w:szCs w:val="21"/>
      <w:lang w:val="en-US" w:eastAsia="zh-CN" w:bidi="ar-SA"/>
    </w:rPr>
  </w:style>
  <w:style w:type="paragraph" w:customStyle="1" w:styleId="1200">
    <w:name w:val="核正文 Char"/>
    <w:basedOn w:val="4"/>
    <w:uiPriority w:val="0"/>
    <w:pPr>
      <w:widowControl/>
      <w:adjustRightInd w:val="0"/>
      <w:spacing w:line="360" w:lineRule="auto"/>
      <w:ind w:firstLine="538" w:firstLineChars="192"/>
      <w:jc w:val="left"/>
    </w:pPr>
    <w:rPr>
      <w:rFonts w:ascii="宋体" w:hAnsi="宋体" w:cs="Times New Roman"/>
      <w:color w:val="000000"/>
      <w:spacing w:val="0"/>
      <w:sz w:val="28"/>
      <w:szCs w:val="28"/>
    </w:rPr>
  </w:style>
  <w:style w:type="paragraph" w:customStyle="1" w:styleId="1201">
    <w:name w:val="t14"/>
    <w:basedOn w:val="1"/>
    <w:uiPriority w:val="0"/>
    <w:pPr>
      <w:widowControl/>
      <w:autoSpaceDE w:val="0"/>
      <w:autoSpaceDN w:val="0"/>
      <w:adjustRightInd w:val="0"/>
      <w:spacing w:line="240" w:lineRule="atLeast"/>
      <w:jc w:val="left"/>
    </w:pPr>
    <w:rPr>
      <w:rFonts w:eastAsia="宋体"/>
      <w:kern w:val="0"/>
      <w:sz w:val="20"/>
    </w:rPr>
  </w:style>
  <w:style w:type="paragraph" w:customStyle="1" w:styleId="1202">
    <w:name w:val="报告参考文献标题"/>
    <w:basedOn w:val="395"/>
    <w:next w:val="1"/>
    <w:uiPriority w:val="0"/>
    <w:pPr>
      <w:widowControl/>
      <w:spacing w:line="400" w:lineRule="exact"/>
      <w:ind w:firstLine="0"/>
      <w:jc w:val="center"/>
    </w:pPr>
    <w:rPr>
      <w:rFonts w:eastAsia="黑体"/>
      <w:b/>
      <w:sz w:val="20"/>
      <w:szCs w:val="20"/>
    </w:rPr>
  </w:style>
  <w:style w:type="paragraph" w:customStyle="1" w:styleId="1203">
    <w:name w:val="报告表头"/>
    <w:basedOn w:val="1"/>
    <w:next w:val="1"/>
    <w:uiPriority w:val="0"/>
    <w:pPr>
      <w:widowControl/>
      <w:jc w:val="center"/>
    </w:pPr>
    <w:rPr>
      <w:rFonts w:eastAsia="黑体"/>
      <w:b/>
      <w:sz w:val="18"/>
    </w:rPr>
  </w:style>
  <w:style w:type="paragraph" w:customStyle="1" w:styleId="1204">
    <w:name w:val="报告参考文献"/>
    <w:basedOn w:val="1"/>
    <w:uiPriority w:val="0"/>
    <w:pPr>
      <w:widowControl/>
      <w:spacing w:line="400" w:lineRule="exact"/>
      <w:ind w:left="425" w:hanging="425"/>
      <w:jc w:val="left"/>
    </w:pPr>
    <w:rPr>
      <w:rFonts w:eastAsia="宋体"/>
      <w:sz w:val="20"/>
    </w:rPr>
  </w:style>
  <w:style w:type="paragraph" w:customStyle="1" w:styleId="1205">
    <w:name w:val="文档结构图1"/>
    <w:basedOn w:val="1"/>
    <w:uiPriority w:val="0"/>
    <w:pPr>
      <w:widowControl/>
      <w:shd w:val="clear" w:color="auto" w:fill="000080"/>
      <w:jc w:val="left"/>
    </w:pPr>
    <w:rPr>
      <w:rFonts w:eastAsia="宋体"/>
      <w:sz w:val="20"/>
    </w:rPr>
  </w:style>
  <w:style w:type="paragraph" w:customStyle="1" w:styleId="1206">
    <w:name w:val="1表格头"/>
    <w:basedOn w:val="840"/>
    <w:uiPriority w:val="0"/>
    <w:pPr>
      <w:widowControl/>
      <w:spacing w:line="420" w:lineRule="auto"/>
      <w:outlineLvl w:val="3"/>
    </w:pPr>
    <w:rPr>
      <w:rFonts w:eastAsia="黑体"/>
      <w:b/>
      <w:sz w:val="24"/>
    </w:rPr>
  </w:style>
  <w:style w:type="paragraph" w:customStyle="1" w:styleId="1207">
    <w:name w:val="1说明"/>
    <w:basedOn w:val="1"/>
    <w:uiPriority w:val="0"/>
    <w:pPr>
      <w:widowControl/>
      <w:snapToGrid w:val="0"/>
      <w:spacing w:line="420" w:lineRule="auto"/>
      <w:ind w:firstLine="454"/>
      <w:jc w:val="left"/>
      <w:outlineLvl w:val="4"/>
    </w:pPr>
    <w:rPr>
      <w:rFonts w:eastAsia="宋体"/>
      <w:spacing w:val="4"/>
      <w:sz w:val="21"/>
      <w:szCs w:val="24"/>
    </w:rPr>
  </w:style>
  <w:style w:type="paragraph" w:customStyle="1" w:styleId="1208">
    <w:name w:val="小四"/>
    <w:basedOn w:val="1"/>
    <w:uiPriority w:val="0"/>
    <w:pPr>
      <w:widowControl/>
      <w:spacing w:line="360" w:lineRule="auto"/>
      <w:jc w:val="center"/>
    </w:pPr>
    <w:rPr>
      <w:rFonts w:ascii="宋体" w:hAnsi="宋体" w:eastAsia="宋体"/>
      <w:sz w:val="20"/>
      <w:szCs w:val="28"/>
    </w:rPr>
  </w:style>
  <w:style w:type="paragraph" w:customStyle="1" w:styleId="1209">
    <w:name w:val="表格五号"/>
    <w:uiPriority w:val="0"/>
    <w:pPr>
      <w:jc w:val="center"/>
      <w:textAlignment w:val="center"/>
    </w:pPr>
    <w:rPr>
      <w:rFonts w:ascii="Times New Roman" w:hAnsi="Times New Roman" w:eastAsia="宋体" w:cs="Times New Roman"/>
      <w:sz w:val="24"/>
      <w:szCs w:val="24"/>
      <w:lang w:val="en-US" w:eastAsia="zh-CN" w:bidi="ar-SA"/>
    </w:rPr>
  </w:style>
  <w:style w:type="paragraph" w:customStyle="1" w:styleId="1210">
    <w:name w:val="图表"/>
    <w:basedOn w:val="73"/>
    <w:uiPriority w:val="0"/>
    <w:pPr>
      <w:widowControl/>
      <w:spacing w:line="240" w:lineRule="auto"/>
      <w:ind w:left="0"/>
      <w:jc w:val="left"/>
    </w:pPr>
    <w:rPr>
      <w:b w:val="0"/>
      <w:kern w:val="0"/>
      <w:sz w:val="20"/>
      <w:szCs w:val="20"/>
    </w:rPr>
  </w:style>
  <w:style w:type="character" w:customStyle="1" w:styleId="1211">
    <w:name w:val="表头 Char Char"/>
    <w:uiPriority w:val="0"/>
    <w:rPr>
      <w:rFonts w:ascii="宋体" w:eastAsia="黑体"/>
      <w:kern w:val="2"/>
      <w:sz w:val="24"/>
      <w:lang w:val="en-US" w:eastAsia="zh-CN" w:bidi="ar-SA"/>
    </w:rPr>
  </w:style>
  <w:style w:type="paragraph" w:customStyle="1" w:styleId="1212">
    <w:name w:val="黄小林正文"/>
    <w:basedOn w:val="1"/>
    <w:uiPriority w:val="0"/>
    <w:pPr>
      <w:widowControl/>
      <w:ind w:firstLine="520" w:firstLineChars="200"/>
      <w:jc w:val="left"/>
    </w:pPr>
    <w:rPr>
      <w:rFonts w:eastAsia="宋体"/>
    </w:rPr>
  </w:style>
  <w:style w:type="paragraph" w:customStyle="1" w:styleId="1213">
    <w:name w:val="黄小林图题"/>
    <w:basedOn w:val="1"/>
    <w:uiPriority w:val="0"/>
    <w:pPr>
      <w:widowControl/>
      <w:jc w:val="center"/>
      <w:outlineLvl w:val="0"/>
    </w:pPr>
    <w:rPr>
      <w:rFonts w:eastAsia="宋体"/>
    </w:rPr>
  </w:style>
  <w:style w:type="paragraph" w:customStyle="1" w:styleId="1214">
    <w:name w:val="黄小林图"/>
    <w:basedOn w:val="1212"/>
    <w:next w:val="1212"/>
    <w:uiPriority w:val="0"/>
    <w:pPr>
      <w:ind w:firstLine="0" w:firstLineChars="0"/>
      <w:jc w:val="center"/>
    </w:pPr>
  </w:style>
  <w:style w:type="paragraph" w:customStyle="1" w:styleId="1215">
    <w:name w:val="xl121"/>
    <w:basedOn w:val="1"/>
    <w:uiPriority w:val="0"/>
    <w:pPr>
      <w:widowControl/>
      <w:pBdr>
        <w:left w:val="single" w:color="auto" w:sz="4" w:space="0"/>
        <w:right w:val="single" w:color="auto" w:sz="8" w:space="0"/>
      </w:pBdr>
      <w:spacing w:before="100" w:beforeAutospacing="1" w:after="100" w:afterAutospacing="1"/>
      <w:jc w:val="center"/>
      <w:textAlignment w:val="center"/>
    </w:pPr>
    <w:rPr>
      <w:rFonts w:ascii="宋体" w:hAnsi="宋体" w:eastAsia="宋体"/>
      <w:kern w:val="0"/>
      <w:sz w:val="20"/>
      <w:szCs w:val="24"/>
    </w:rPr>
  </w:style>
  <w:style w:type="paragraph" w:customStyle="1" w:styleId="1216">
    <w:name w:val="xl122"/>
    <w:basedOn w:val="1"/>
    <w:uiPriority w:val="0"/>
    <w:pPr>
      <w:widowControl/>
      <w:pBdr>
        <w:left w:val="single" w:color="auto" w:sz="4" w:space="0"/>
        <w:right w:val="single" w:color="auto" w:sz="8" w:space="0"/>
      </w:pBdr>
      <w:spacing w:before="100" w:beforeAutospacing="1" w:after="100" w:afterAutospacing="1"/>
      <w:jc w:val="center"/>
      <w:textAlignment w:val="center"/>
    </w:pPr>
    <w:rPr>
      <w:rFonts w:eastAsia="宋体"/>
      <w:kern w:val="0"/>
      <w:sz w:val="20"/>
      <w:szCs w:val="24"/>
    </w:rPr>
  </w:style>
  <w:style w:type="paragraph" w:customStyle="1" w:styleId="1217">
    <w:name w:val="xl123"/>
    <w:basedOn w:val="1"/>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eastAsia="宋体"/>
      <w:kern w:val="0"/>
      <w:sz w:val="20"/>
      <w:szCs w:val="24"/>
    </w:rPr>
  </w:style>
  <w:style w:type="paragraph" w:customStyle="1" w:styleId="1218">
    <w:name w:val="xl124"/>
    <w:basedOn w:val="1"/>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宋体" w:hAnsi="宋体" w:eastAsia="宋体"/>
      <w:kern w:val="0"/>
      <w:sz w:val="20"/>
      <w:szCs w:val="24"/>
    </w:rPr>
  </w:style>
  <w:style w:type="paragraph" w:customStyle="1" w:styleId="1219">
    <w:name w:val="xl125"/>
    <w:basedOn w:val="1"/>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20">
    <w:name w:val="xl126"/>
    <w:basedOn w:val="1"/>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21">
    <w:name w:val="xl127"/>
    <w:basedOn w:val="1"/>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22">
    <w:name w:val="xl128"/>
    <w:basedOn w:val="1"/>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eastAsia="宋体"/>
      <w:kern w:val="0"/>
      <w:sz w:val="20"/>
      <w:szCs w:val="24"/>
    </w:rPr>
  </w:style>
  <w:style w:type="paragraph" w:customStyle="1" w:styleId="1223">
    <w:name w:val="xl129"/>
    <w:basedOn w:val="1"/>
    <w:uiPriority w:val="0"/>
    <w:pPr>
      <w:widowControl/>
      <w:pBdr>
        <w:left w:val="single" w:color="auto" w:sz="4" w:space="0"/>
        <w:right w:val="single" w:color="auto" w:sz="8" w:space="0"/>
      </w:pBdr>
      <w:spacing w:before="100" w:beforeAutospacing="1" w:after="100" w:afterAutospacing="1"/>
      <w:jc w:val="center"/>
      <w:textAlignment w:val="center"/>
    </w:pPr>
    <w:rPr>
      <w:rFonts w:ascii="宋体" w:hAnsi="宋体" w:eastAsia="宋体"/>
      <w:kern w:val="0"/>
      <w:sz w:val="20"/>
      <w:szCs w:val="24"/>
    </w:rPr>
  </w:style>
  <w:style w:type="paragraph" w:customStyle="1" w:styleId="1224">
    <w:name w:val="xl130"/>
    <w:basedOn w:val="1"/>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eastAsia="宋体"/>
      <w:kern w:val="0"/>
      <w:sz w:val="20"/>
      <w:szCs w:val="24"/>
    </w:rPr>
  </w:style>
  <w:style w:type="paragraph" w:customStyle="1" w:styleId="1225">
    <w:name w:val="xl131"/>
    <w:basedOn w:val="1"/>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eastAsia="宋体"/>
      <w:kern w:val="0"/>
      <w:sz w:val="20"/>
    </w:rPr>
  </w:style>
  <w:style w:type="paragraph" w:customStyle="1" w:styleId="1226">
    <w:name w:val="xl132"/>
    <w:basedOn w:val="1"/>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eastAsia="宋体"/>
      <w:kern w:val="0"/>
      <w:sz w:val="20"/>
    </w:rPr>
  </w:style>
  <w:style w:type="paragraph" w:customStyle="1" w:styleId="1227">
    <w:name w:val="xl133"/>
    <w:basedOn w:val="1"/>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eastAsia="宋体"/>
      <w:kern w:val="0"/>
      <w:sz w:val="20"/>
    </w:rPr>
  </w:style>
  <w:style w:type="paragraph" w:customStyle="1" w:styleId="1228">
    <w:name w:val="xl134"/>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0"/>
      <w:szCs w:val="24"/>
    </w:rPr>
  </w:style>
  <w:style w:type="paragraph" w:customStyle="1" w:styleId="1229">
    <w:name w:val="xl13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0"/>
      <w:szCs w:val="24"/>
    </w:rPr>
  </w:style>
  <w:style w:type="paragraph" w:customStyle="1" w:styleId="1230">
    <w:name w:val="xl136"/>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ascii="宋体" w:hAnsi="宋体" w:eastAsia="宋体"/>
      <w:kern w:val="0"/>
      <w:sz w:val="20"/>
      <w:szCs w:val="24"/>
    </w:rPr>
  </w:style>
  <w:style w:type="paragraph" w:customStyle="1" w:styleId="1231">
    <w:name w:val="xl137"/>
    <w:basedOn w:val="1"/>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32">
    <w:name w:val="xl138"/>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33">
    <w:name w:val="xl139"/>
    <w:basedOn w:val="1"/>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eastAsia="宋体"/>
      <w:kern w:val="0"/>
      <w:sz w:val="20"/>
      <w:szCs w:val="24"/>
    </w:rPr>
  </w:style>
  <w:style w:type="paragraph" w:customStyle="1" w:styleId="1234">
    <w:name w:val="xl140"/>
    <w:basedOn w:val="1"/>
    <w:uiPriority w:val="0"/>
    <w:pPr>
      <w:widowControl/>
      <w:pBdr>
        <w:bottom w:val="single" w:color="auto" w:sz="8" w:space="0"/>
      </w:pBdr>
      <w:spacing w:before="100" w:beforeAutospacing="1" w:after="100" w:afterAutospacing="1"/>
      <w:jc w:val="right"/>
      <w:textAlignment w:val="center"/>
    </w:pPr>
    <w:rPr>
      <w:rFonts w:ascii="宋体" w:hAnsi="宋体" w:eastAsia="宋体"/>
      <w:kern w:val="0"/>
      <w:szCs w:val="28"/>
    </w:rPr>
  </w:style>
  <w:style w:type="paragraph" w:customStyle="1" w:styleId="1235">
    <w:name w:val="xl141"/>
    <w:basedOn w:val="1"/>
    <w:uiPriority w:val="0"/>
    <w:pPr>
      <w:widowControl/>
      <w:pBdr>
        <w:bottom w:val="single" w:color="auto" w:sz="8" w:space="0"/>
      </w:pBdr>
      <w:spacing w:before="100" w:beforeAutospacing="1" w:after="100" w:afterAutospacing="1"/>
      <w:jc w:val="right"/>
      <w:textAlignment w:val="center"/>
    </w:pPr>
    <w:rPr>
      <w:rFonts w:ascii="宋体" w:hAnsi="宋体" w:eastAsia="宋体"/>
      <w:kern w:val="0"/>
      <w:sz w:val="20"/>
      <w:szCs w:val="24"/>
    </w:rPr>
  </w:style>
  <w:style w:type="paragraph" w:customStyle="1" w:styleId="1236">
    <w:name w:val="xl142"/>
    <w:basedOn w:val="1"/>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eastAsia="宋体"/>
      <w:kern w:val="0"/>
      <w:sz w:val="21"/>
      <w:szCs w:val="21"/>
    </w:rPr>
  </w:style>
  <w:style w:type="paragraph" w:customStyle="1" w:styleId="1237">
    <w:name w:val="院报告/二级标题"/>
    <w:basedOn w:val="1"/>
    <w:next w:val="1"/>
    <w:uiPriority w:val="0"/>
    <w:pPr>
      <w:widowControl/>
      <w:adjustRightInd w:val="0"/>
      <w:spacing w:before="240" w:after="240" w:line="360" w:lineRule="atLeast"/>
      <w:jc w:val="left"/>
      <w:textAlignment w:val="baseline"/>
    </w:pPr>
    <w:rPr>
      <w:rFonts w:eastAsia="宋体"/>
      <w:bCs/>
      <w:kern w:val="0"/>
      <w:szCs w:val="28"/>
    </w:rPr>
  </w:style>
  <w:style w:type="character" w:customStyle="1" w:styleId="1238">
    <w:name w:val="abstract_page_text1"/>
    <w:uiPriority w:val="0"/>
    <w:rPr>
      <w:rFonts w:hint="default" w:ascii="Arial" w:hAnsi="Arial" w:cs="Arial"/>
      <w:color w:val="000000"/>
      <w:sz w:val="16"/>
      <w:szCs w:val="16"/>
    </w:rPr>
  </w:style>
  <w:style w:type="paragraph" w:customStyle="1" w:styleId="1239">
    <w:name w:val="INE Normal"/>
    <w:basedOn w:val="1"/>
    <w:uiPriority w:val="0"/>
    <w:pPr>
      <w:widowControl/>
      <w:jc w:val="center"/>
    </w:pPr>
    <w:rPr>
      <w:rFonts w:ascii="宋体" w:hAnsi="宋体" w:eastAsia="宋体" w:cs="Arial"/>
      <w:bCs/>
      <w:kern w:val="0"/>
      <w:sz w:val="20"/>
      <w:szCs w:val="24"/>
    </w:rPr>
  </w:style>
  <w:style w:type="paragraph" w:customStyle="1" w:styleId="1240">
    <w:name w:val="3级"/>
    <w:uiPriority w:val="0"/>
    <w:pPr>
      <w:widowControl w:val="0"/>
      <w:spacing w:before="120" w:after="120"/>
      <w:jc w:val="both"/>
      <w:outlineLvl w:val="2"/>
    </w:pPr>
    <w:rPr>
      <w:rFonts w:ascii="Arial Narrow" w:hAnsi="Arial Narrow" w:eastAsia="宋体" w:cs="Times New Roman"/>
      <w:sz w:val="28"/>
      <w:lang w:val="en-US" w:eastAsia="zh-CN" w:bidi="ar-SA"/>
    </w:rPr>
  </w:style>
  <w:style w:type="paragraph" w:customStyle="1" w:styleId="1241">
    <w:name w:val="表中文字居中"/>
    <w:basedOn w:val="1"/>
    <w:uiPriority w:val="0"/>
    <w:pPr>
      <w:widowControl/>
      <w:spacing w:before="156" w:beforeLines="50" w:line="360" w:lineRule="auto"/>
      <w:jc w:val="center"/>
    </w:pPr>
    <w:rPr>
      <w:rFonts w:ascii="宋体" w:hAnsi="宋体" w:eastAsia="宋体"/>
      <w:b/>
      <w:bCs/>
      <w:sz w:val="36"/>
      <w:szCs w:val="36"/>
    </w:rPr>
  </w:style>
  <w:style w:type="table" w:customStyle="1" w:styleId="1242">
    <w:name w:val="MD表格样式"/>
    <w:basedOn w:val="87"/>
    <w:uiPriority w:val="0"/>
    <w:rPr>
      <w:rFonts w:eastAsia="仿宋_GB2312"/>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Pr>
    <w:trPr>
      <w:jc w:val="center"/>
    </w:trPr>
    <w:tcPr>
      <w:vAlign w:val="center"/>
    </w:tcPr>
  </w:style>
  <w:style w:type="character" w:customStyle="1" w:styleId="1243">
    <w:name w:val="md下标"/>
    <w:uiPriority w:val="0"/>
    <w:rPr>
      <w:rFonts w:ascii="Times New Roman" w:hAnsi="Times New Roman" w:eastAsia="仿宋_GB2312"/>
      <w:sz w:val="24"/>
      <w:szCs w:val="24"/>
      <w:vertAlign w:val="subscript"/>
    </w:rPr>
  </w:style>
  <w:style w:type="paragraph" w:customStyle="1" w:styleId="1244">
    <w:name w:val="md表格题目"/>
    <w:basedOn w:val="1"/>
    <w:uiPriority w:val="0"/>
    <w:pPr>
      <w:widowControl/>
      <w:overflowPunct w:val="0"/>
      <w:autoSpaceDE w:val="0"/>
      <w:autoSpaceDN w:val="0"/>
      <w:adjustRightInd w:val="0"/>
      <w:jc w:val="center"/>
      <w:textAlignment w:val="baseline"/>
    </w:pPr>
    <w:rPr>
      <w:kern w:val="0"/>
      <w:sz w:val="20"/>
      <w:szCs w:val="24"/>
    </w:rPr>
  </w:style>
  <w:style w:type="character" w:customStyle="1" w:styleId="1245">
    <w:name w:val="F文字-下标"/>
    <w:uiPriority w:val="0"/>
    <w:rPr>
      <w:rFonts w:ascii="Times New Roman" w:hAnsi="Times New Roman" w:eastAsia="仿宋_GB2312"/>
      <w:sz w:val="24"/>
      <w:szCs w:val="24"/>
      <w:vertAlign w:val="subscript"/>
    </w:rPr>
  </w:style>
  <w:style w:type="paragraph" w:customStyle="1" w:styleId="1246">
    <w:name w:val="F文字-标准规范"/>
    <w:basedOn w:val="1"/>
    <w:uiPriority w:val="0"/>
    <w:pPr>
      <w:widowControl/>
      <w:numPr>
        <w:ilvl w:val="0"/>
        <w:numId w:val="6"/>
      </w:numPr>
      <w:tabs>
        <w:tab w:val="right" w:leader="dot" w:pos="9000"/>
      </w:tabs>
      <w:overflowPunct w:val="0"/>
      <w:autoSpaceDE w:val="0"/>
      <w:autoSpaceDN w:val="0"/>
      <w:adjustRightInd w:val="0"/>
      <w:jc w:val="left"/>
      <w:textAlignment w:val="center"/>
    </w:pPr>
    <w:rPr>
      <w:kern w:val="0"/>
      <w:sz w:val="20"/>
      <w:szCs w:val="24"/>
    </w:rPr>
  </w:style>
  <w:style w:type="paragraph" w:customStyle="1" w:styleId="1247">
    <w:name w:val="md一级标题"/>
    <w:basedOn w:val="2"/>
    <w:next w:val="1"/>
    <w:uiPriority w:val="0"/>
    <w:pPr>
      <w:pageBreakBefore w:val="0"/>
      <w:widowControl/>
      <w:tabs>
        <w:tab w:val="clear" w:pos="1080"/>
      </w:tabs>
      <w:adjustRightInd w:val="0"/>
      <w:snapToGrid w:val="0"/>
      <w:spacing w:before="340" w:after="330" w:line="20" w:lineRule="exact"/>
      <w:ind w:left="0" w:firstLine="0"/>
      <w:jc w:val="left"/>
    </w:pPr>
    <w:rPr>
      <w:bCs/>
      <w:sz w:val="32"/>
      <w:szCs w:val="44"/>
      <w:lang w:val="en-US" w:eastAsia="zh-CN"/>
    </w:rPr>
  </w:style>
  <w:style w:type="paragraph" w:customStyle="1" w:styleId="1248">
    <w:name w:val="正文文本1"/>
    <w:basedOn w:val="1"/>
    <w:uiPriority w:val="0"/>
    <w:pPr>
      <w:widowControl/>
      <w:spacing w:line="360" w:lineRule="auto"/>
      <w:ind w:left="420" w:leftChars="200" w:right="420" w:rightChars="200" w:firstLine="480" w:firstLineChars="200"/>
      <w:jc w:val="left"/>
    </w:pPr>
    <w:rPr>
      <w:sz w:val="20"/>
      <w:szCs w:val="24"/>
    </w:rPr>
  </w:style>
  <w:style w:type="table" w:customStyle="1" w:styleId="1249">
    <w:name w:val="t表格 样式"/>
    <w:basedOn w:val="87"/>
    <w:uiPriority w:val="0"/>
    <w:pPr>
      <w:jc w:val="center"/>
    </w:pPr>
    <w:rPr>
      <w:rFonts w:eastAsia="仿宋_GB2312"/>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28" w:type="dxa"/>
        <w:bottom w:w="28" w:type="dxa"/>
      </w:tblCellMar>
    </w:tblPr>
    <w:trPr>
      <w:jc w:val="center"/>
    </w:trPr>
    <w:tcPr>
      <w:vAlign w:val="center"/>
    </w:tcPr>
  </w:style>
  <w:style w:type="paragraph" w:customStyle="1" w:styleId="1250">
    <w:name w:val="t表格题目"/>
    <w:basedOn w:val="1044"/>
    <w:uiPriority w:val="0"/>
    <w:pPr>
      <w:spacing w:line="240" w:lineRule="auto"/>
      <w:ind w:firstLine="0" w:firstLineChars="0"/>
      <w:jc w:val="center"/>
    </w:pPr>
    <w:rPr>
      <w:sz w:val="21"/>
    </w:rPr>
  </w:style>
  <w:style w:type="paragraph" w:customStyle="1" w:styleId="1251">
    <w:name w:val="正文居中"/>
    <w:basedOn w:val="1"/>
    <w:uiPriority w:val="0"/>
    <w:pPr>
      <w:widowControl/>
      <w:adjustRightInd w:val="0"/>
      <w:snapToGrid w:val="0"/>
      <w:spacing w:line="360" w:lineRule="auto"/>
      <w:jc w:val="center"/>
    </w:pPr>
    <w:rPr>
      <w:rFonts w:ascii="宋体" w:hAnsi="宋体" w:eastAsia="宋体"/>
      <w:kern w:val="0"/>
      <w:sz w:val="20"/>
      <w:szCs w:val="24"/>
    </w:rPr>
  </w:style>
  <w:style w:type="paragraph" w:customStyle="1" w:styleId="1252">
    <w:name w:val="Char Char Char Char Char Char3 Char Char Char Char Char Char Char"/>
    <w:basedOn w:val="1"/>
    <w:next w:val="1"/>
    <w:uiPriority w:val="0"/>
    <w:pPr>
      <w:widowControl/>
      <w:jc w:val="left"/>
    </w:pPr>
    <w:rPr>
      <w:rFonts w:eastAsia="黑体"/>
      <w:szCs w:val="24"/>
    </w:rPr>
  </w:style>
  <w:style w:type="paragraph" w:customStyle="1" w:styleId="1253">
    <w:name w:val="正文文字1"/>
    <w:basedOn w:val="1"/>
    <w:uiPriority w:val="0"/>
    <w:pPr>
      <w:widowControl/>
      <w:spacing w:line="360" w:lineRule="auto"/>
      <w:ind w:firstLine="200" w:firstLineChars="200"/>
      <w:jc w:val="left"/>
    </w:pPr>
    <w:rPr>
      <w:sz w:val="32"/>
      <w:szCs w:val="24"/>
    </w:rPr>
  </w:style>
  <w:style w:type="paragraph" w:customStyle="1" w:styleId="1254">
    <w:name w:val="一"/>
    <w:basedOn w:val="40"/>
    <w:uiPriority w:val="0"/>
    <w:pPr>
      <w:widowControl/>
      <w:spacing w:after="0" w:line="360" w:lineRule="auto"/>
      <w:ind w:firstLine="200" w:firstLineChars="200"/>
    </w:pPr>
    <w:rPr>
      <w:szCs w:val="24"/>
    </w:rPr>
  </w:style>
  <w:style w:type="paragraph" w:customStyle="1" w:styleId="1255">
    <w:name w:val="正文缩进2"/>
    <w:basedOn w:val="1"/>
    <w:next w:val="1"/>
    <w:link w:val="1449"/>
    <w:uiPriority w:val="0"/>
    <w:pPr>
      <w:widowControl/>
      <w:ind w:firstLine="567"/>
      <w:jc w:val="left"/>
    </w:pPr>
    <w:rPr>
      <w:rFonts w:eastAsia="宋体"/>
    </w:rPr>
  </w:style>
  <w:style w:type="character" w:customStyle="1" w:styleId="1256">
    <w:name w:val="正文文本 Char Char Char"/>
    <w:uiPriority w:val="0"/>
    <w:rPr>
      <w:rFonts w:eastAsia="宋体"/>
      <w:sz w:val="21"/>
      <w:szCs w:val="21"/>
      <w:lang w:val="en-US" w:eastAsia="zh-CN" w:bidi="ar-SA"/>
    </w:rPr>
  </w:style>
  <w:style w:type="paragraph" w:customStyle="1" w:styleId="1257">
    <w:name w:val="表文A"/>
    <w:uiPriority w:val="0"/>
    <w:pPr>
      <w:tabs>
        <w:tab w:val="left" w:pos="0"/>
      </w:tabs>
      <w:adjustRightInd w:val="0"/>
      <w:snapToGrid w:val="0"/>
      <w:spacing w:line="264" w:lineRule="auto"/>
      <w:jc w:val="center"/>
    </w:pPr>
    <w:rPr>
      <w:rFonts w:ascii="Times New Roman" w:hAnsi="Times New Roman" w:eastAsia="宋体" w:cs="Times New Roman"/>
      <w:snapToGrid w:val="0"/>
      <w:sz w:val="21"/>
      <w:lang w:val="en-US" w:eastAsia="zh-CN" w:bidi="ar-SA"/>
    </w:rPr>
  </w:style>
  <w:style w:type="paragraph" w:customStyle="1" w:styleId="1258">
    <w:name w:val="正文A"/>
    <w:link w:val="1260"/>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1259">
    <w:name w:val="标题D"/>
    <w:uiPriority w:val="0"/>
    <w:pPr>
      <w:adjustRightInd w:val="0"/>
      <w:snapToGrid w:val="0"/>
      <w:spacing w:before="240" w:line="360" w:lineRule="auto"/>
      <w:outlineLvl w:val="3"/>
    </w:pPr>
    <w:rPr>
      <w:rFonts w:ascii="Times New Roman" w:hAnsi="Times New Roman" w:eastAsia="宋体" w:cs="Times New Roman"/>
      <w:b/>
      <w:sz w:val="24"/>
      <w:lang w:val="en-US" w:eastAsia="zh-CN" w:bidi="ar-SA"/>
    </w:rPr>
  </w:style>
  <w:style w:type="character" w:customStyle="1" w:styleId="1260">
    <w:name w:val="正文A Char2"/>
    <w:link w:val="1258"/>
    <w:uiPriority w:val="0"/>
    <w:rPr>
      <w:snapToGrid w:val="0"/>
      <w:sz w:val="24"/>
    </w:rPr>
  </w:style>
  <w:style w:type="paragraph" w:customStyle="1" w:styleId="1261">
    <w:name w:val="标题D + Arial 小四 宋体"/>
    <w:basedOn w:val="1"/>
    <w:uiPriority w:val="0"/>
    <w:pPr>
      <w:widowControl/>
      <w:tabs>
        <w:tab w:val="left" w:pos="0"/>
      </w:tabs>
      <w:adjustRightInd w:val="0"/>
      <w:spacing w:before="120" w:after="48" w:line="360" w:lineRule="auto"/>
      <w:jc w:val="left"/>
      <w:outlineLvl w:val="3"/>
    </w:pPr>
    <w:rPr>
      <w:rFonts w:ascii="Arial" w:hAnsi="Arial" w:eastAsia="宋体" w:cs="宋体"/>
      <w:b/>
      <w:bCs/>
      <w:snapToGrid w:val="0"/>
      <w:kern w:val="0"/>
      <w:sz w:val="20"/>
    </w:rPr>
  </w:style>
  <w:style w:type="paragraph" w:customStyle="1" w:styleId="1262">
    <w:name w:val="表文C"/>
    <w:basedOn w:val="1"/>
    <w:uiPriority w:val="0"/>
    <w:pPr>
      <w:widowControl/>
      <w:tabs>
        <w:tab w:val="left" w:pos="0"/>
      </w:tabs>
      <w:adjustRightInd w:val="0"/>
      <w:snapToGrid w:val="0"/>
      <w:jc w:val="center"/>
    </w:pPr>
    <w:rPr>
      <w:rFonts w:eastAsia="宋体"/>
      <w:snapToGrid w:val="0"/>
      <w:kern w:val="0"/>
      <w:sz w:val="21"/>
    </w:rPr>
  </w:style>
  <w:style w:type="paragraph" w:customStyle="1" w:styleId="1263">
    <w:name w:val="表名A"/>
    <w:basedOn w:val="1"/>
    <w:uiPriority w:val="0"/>
    <w:pPr>
      <w:widowControl/>
      <w:tabs>
        <w:tab w:val="left" w:pos="0"/>
      </w:tabs>
      <w:adjustRightInd w:val="0"/>
      <w:snapToGrid w:val="0"/>
      <w:spacing w:before="80" w:beforeLines="80" w:after="20" w:afterLines="20"/>
      <w:jc w:val="center"/>
    </w:pPr>
    <w:rPr>
      <w:rFonts w:eastAsia="宋体"/>
      <w:b/>
      <w:snapToGrid w:val="0"/>
      <w:kern w:val="0"/>
      <w:sz w:val="21"/>
    </w:rPr>
  </w:style>
  <w:style w:type="paragraph" w:customStyle="1" w:styleId="1264">
    <w:name w:val="Char Char Char1 Char Char Char Char Char Char Char Char Char Char Char Char Char"/>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265">
    <w:name w:val="正文5"/>
    <w:uiPriority w:val="0"/>
    <w:pPr>
      <w:widowControl w:val="0"/>
      <w:adjustRightInd w:val="0"/>
      <w:spacing w:line="0" w:lineRule="atLeast"/>
      <w:textAlignment w:val="baseline"/>
    </w:pPr>
    <w:rPr>
      <w:rFonts w:ascii="宋体" w:hAnsi="Times New Roman" w:eastAsia="宋体" w:cs="Times New Roman"/>
      <w:sz w:val="34"/>
      <w:lang w:val="en-US" w:eastAsia="zh-CN" w:bidi="ar-SA"/>
    </w:rPr>
  </w:style>
  <w:style w:type="paragraph" w:customStyle="1" w:styleId="1266">
    <w:name w:val="页脚2"/>
    <w:basedOn w:val="55"/>
    <w:qFormat/>
    <w:uiPriority w:val="0"/>
    <w:pPr>
      <w:widowControl/>
    </w:pPr>
    <w:rPr>
      <w:rFonts w:eastAsia="宋体"/>
      <w:kern w:val="0"/>
      <w:lang w:val="en-US" w:eastAsia="zh-CN"/>
    </w:rPr>
  </w:style>
  <w:style w:type="character" w:customStyle="1" w:styleId="1267">
    <w:name w:val="Char Char13"/>
    <w:uiPriority w:val="0"/>
    <w:rPr>
      <w:rFonts w:eastAsia="宋体"/>
      <w:sz w:val="21"/>
      <w:lang w:val="en-US" w:eastAsia="zh-CN" w:bidi="ar-SA"/>
    </w:rPr>
  </w:style>
  <w:style w:type="paragraph" w:customStyle="1" w:styleId="1268">
    <w:name w:val="xl2917089"/>
    <w:basedOn w:val="1"/>
    <w:uiPriority w:val="0"/>
    <w:pPr>
      <w:widowControl/>
      <w:pBdr>
        <w:left w:val="single" w:color="auto" w:sz="4" w:space="1"/>
        <w:right w:val="single" w:color="auto" w:sz="4" w:space="1"/>
      </w:pBdr>
      <w:spacing w:before="100" w:beforeAutospacing="1" w:after="100" w:afterAutospacing="1"/>
      <w:jc w:val="center"/>
      <w:textAlignment w:val="center"/>
    </w:pPr>
    <w:rPr>
      <w:rFonts w:hint="eastAsia" w:ascii="宋体" w:hAnsi="宋体" w:eastAsia="宋体"/>
      <w:kern w:val="0"/>
      <w:sz w:val="20"/>
      <w:szCs w:val="24"/>
    </w:rPr>
  </w:style>
  <w:style w:type="paragraph" w:customStyle="1" w:styleId="1269">
    <w:name w:val="Char Char1 Char Char Char Char"/>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270">
    <w:name w:val="Char1 Char Char Char Char Char1 Char"/>
    <w:basedOn w:val="1"/>
    <w:uiPriority w:val="0"/>
    <w:pPr>
      <w:widowControl/>
      <w:spacing w:line="360" w:lineRule="auto"/>
      <w:jc w:val="left"/>
    </w:pPr>
    <w:rPr>
      <w:b/>
      <w:sz w:val="32"/>
      <w:szCs w:val="24"/>
    </w:rPr>
  </w:style>
  <w:style w:type="paragraph" w:customStyle="1" w:styleId="1271">
    <w:name w:val="恒智正文"/>
    <w:basedOn w:val="1"/>
    <w:uiPriority w:val="0"/>
    <w:pPr>
      <w:widowControl/>
      <w:spacing w:line="360" w:lineRule="auto"/>
      <w:ind w:firstLine="200" w:firstLineChars="200"/>
      <w:jc w:val="left"/>
    </w:pPr>
    <w:rPr>
      <w:rFonts w:eastAsia="宋体"/>
      <w:sz w:val="20"/>
      <w:szCs w:val="24"/>
    </w:rPr>
  </w:style>
  <w:style w:type="character" w:customStyle="1" w:styleId="1272">
    <w:name w:val="标题 4 Char Char Char Char"/>
    <w:uiPriority w:val="0"/>
    <w:rPr>
      <w:rFonts w:eastAsia="楷体_GB2312"/>
      <w:b/>
      <w:snapToGrid w:val="0"/>
      <w:kern w:val="2"/>
      <w:sz w:val="28"/>
      <w:szCs w:val="24"/>
      <w:lang w:val="en-US" w:eastAsia="zh-CN" w:bidi="ar-SA"/>
    </w:rPr>
  </w:style>
  <w:style w:type="paragraph" w:customStyle="1" w:styleId="1273">
    <w:name w:val="Char Char Char Char Char Char1 Char Char Char1 Char Char Char Char Char Char Char"/>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274">
    <w:name w:val="8.1.1b Char Char Char Char Char Char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1275">
    <w:name w:val="表格正文正文"/>
    <w:basedOn w:val="1"/>
    <w:qFormat/>
    <w:uiPriority w:val="0"/>
    <w:pPr>
      <w:widowControl/>
      <w:spacing w:line="0" w:lineRule="atLeast"/>
      <w:jc w:val="center"/>
    </w:pPr>
    <w:rPr>
      <w:rFonts w:ascii="Arial" w:hAnsi="Arial" w:eastAsia="宋体" w:cs="Arial"/>
      <w:sz w:val="21"/>
    </w:rPr>
  </w:style>
  <w:style w:type="paragraph" w:customStyle="1" w:styleId="1276">
    <w:name w:val="Char Char Char Char Char Char2 Char Char Char Char1"/>
    <w:basedOn w:val="1"/>
    <w:uiPriority w:val="0"/>
    <w:pPr>
      <w:widowControl/>
      <w:jc w:val="left"/>
    </w:pPr>
    <w:rPr>
      <w:rFonts w:eastAsia="宋体"/>
      <w:sz w:val="21"/>
      <w:szCs w:val="24"/>
    </w:rPr>
  </w:style>
  <w:style w:type="character" w:customStyle="1" w:styleId="1277">
    <w:name w:val="style41"/>
    <w:uiPriority w:val="0"/>
    <w:rPr>
      <w:rFonts w:hint="eastAsia" w:ascii="宋体" w:hAnsi="宋体" w:eastAsia="宋体"/>
      <w:sz w:val="21"/>
      <w:szCs w:val="21"/>
    </w:rPr>
  </w:style>
  <w:style w:type="paragraph" w:customStyle="1" w:styleId="1278">
    <w:name w:val="gao"/>
    <w:basedOn w:val="1"/>
    <w:uiPriority w:val="0"/>
    <w:pPr>
      <w:widowControl/>
      <w:autoSpaceDE w:val="0"/>
      <w:autoSpaceDN w:val="0"/>
      <w:adjustRightInd w:val="0"/>
      <w:spacing w:line="360" w:lineRule="auto"/>
      <w:jc w:val="left"/>
    </w:pPr>
    <w:rPr>
      <w:rFonts w:hint="eastAsia" w:ascii="宋体" w:eastAsia="宋体"/>
      <w:kern w:val="0"/>
    </w:rPr>
  </w:style>
  <w:style w:type="paragraph" w:customStyle="1" w:styleId="1279">
    <w:name w:val="题注（图、表）"/>
    <w:basedOn w:val="1"/>
    <w:link w:val="1280"/>
    <w:uiPriority w:val="0"/>
    <w:pPr>
      <w:widowControl/>
      <w:adjustRightInd w:val="0"/>
      <w:snapToGrid w:val="0"/>
      <w:spacing w:before="160" w:after="156" w:line="400" w:lineRule="exact"/>
      <w:jc w:val="center"/>
    </w:pPr>
    <w:rPr>
      <w:rFonts w:ascii="Arial" w:hAnsi="Arial" w:eastAsia="黑体" w:cs="宋体"/>
      <w:sz w:val="20"/>
    </w:rPr>
  </w:style>
  <w:style w:type="character" w:customStyle="1" w:styleId="1280">
    <w:name w:val="题注（图、表） Char"/>
    <w:link w:val="1279"/>
    <w:uiPriority w:val="0"/>
    <w:rPr>
      <w:rFonts w:ascii="Arial" w:hAnsi="Arial" w:eastAsia="黑体" w:cs="宋体"/>
      <w:kern w:val="2"/>
    </w:rPr>
  </w:style>
  <w:style w:type="character" w:customStyle="1" w:styleId="1281">
    <w:name w:val="表格文字1 Char"/>
    <w:link w:val="574"/>
    <w:uiPriority w:val="0"/>
    <w:rPr>
      <w:rFonts w:ascii="宋体"/>
      <w:kern w:val="2"/>
      <w:sz w:val="21"/>
    </w:rPr>
  </w:style>
  <w:style w:type="character" w:customStyle="1" w:styleId="1282">
    <w:name w:val="question-title2"/>
    <w:basedOn w:val="132"/>
    <w:uiPriority w:val="0"/>
  </w:style>
  <w:style w:type="character" w:customStyle="1" w:styleId="1283">
    <w:name w:val="信息标题 字符"/>
    <w:basedOn w:val="132"/>
    <w:link w:val="79"/>
    <w:semiHidden/>
    <w:uiPriority w:val="0"/>
    <w:rPr>
      <w:rFonts w:ascii="Arial" w:hAnsi="Arial" w:cs="Arial"/>
      <w:kern w:val="2"/>
      <w:szCs w:val="24"/>
      <w:shd w:val="pct20" w:color="auto" w:fill="auto"/>
    </w:rPr>
  </w:style>
  <w:style w:type="paragraph" w:customStyle="1" w:styleId="1284">
    <w:name w:val="t表格文字居中"/>
    <w:basedOn w:val="1"/>
    <w:uiPriority w:val="0"/>
    <w:pPr>
      <w:widowControl/>
      <w:overflowPunct w:val="0"/>
      <w:autoSpaceDE w:val="0"/>
      <w:autoSpaceDN w:val="0"/>
      <w:adjustRightInd w:val="0"/>
      <w:jc w:val="center"/>
      <w:textAlignment w:val="center"/>
    </w:pPr>
    <w:rPr>
      <w:sz w:val="21"/>
      <w:szCs w:val="21"/>
    </w:rPr>
  </w:style>
  <w:style w:type="character" w:customStyle="1" w:styleId="1285">
    <w:name w:val="yw表格标题 Char"/>
    <w:link w:val="1286"/>
    <w:uiPriority w:val="0"/>
    <w:rPr>
      <w:rFonts w:eastAsia="仿宋_GB2312"/>
      <w:spacing w:val="2"/>
      <w:sz w:val="24"/>
      <w:szCs w:val="21"/>
    </w:rPr>
  </w:style>
  <w:style w:type="paragraph" w:customStyle="1" w:styleId="1286">
    <w:name w:val="yw表格标题"/>
    <w:next w:val="1"/>
    <w:link w:val="1285"/>
    <w:uiPriority w:val="0"/>
    <w:pPr>
      <w:adjustRightInd w:val="0"/>
      <w:snapToGrid w:val="0"/>
      <w:ind w:left="25" w:leftChars="25" w:right="25" w:rightChars="25"/>
      <w:jc w:val="center"/>
    </w:pPr>
    <w:rPr>
      <w:rFonts w:ascii="Times New Roman" w:hAnsi="Times New Roman" w:eastAsia="仿宋_GB2312" w:cs="Times New Roman"/>
      <w:spacing w:val="2"/>
      <w:sz w:val="24"/>
      <w:szCs w:val="21"/>
      <w:lang w:val="en-US" w:eastAsia="zh-CN" w:bidi="ar-SA"/>
    </w:rPr>
  </w:style>
  <w:style w:type="character" w:customStyle="1" w:styleId="1287">
    <w:name w:val="yw表格居中五号 Char"/>
    <w:link w:val="1288"/>
    <w:uiPriority w:val="0"/>
    <w:rPr>
      <w:rFonts w:eastAsia="仿宋_GB2312"/>
      <w:sz w:val="21"/>
    </w:rPr>
  </w:style>
  <w:style w:type="paragraph" w:customStyle="1" w:styleId="1288">
    <w:name w:val="yw表格居中五号"/>
    <w:link w:val="1287"/>
    <w:uiPriority w:val="0"/>
    <w:pPr>
      <w:autoSpaceDE w:val="0"/>
      <w:autoSpaceDN w:val="0"/>
      <w:adjustRightInd w:val="0"/>
      <w:snapToGrid w:val="0"/>
      <w:jc w:val="center"/>
    </w:pPr>
    <w:rPr>
      <w:rFonts w:ascii="Times New Roman" w:hAnsi="Times New Roman" w:eastAsia="仿宋_GB2312" w:cs="Times New Roman"/>
      <w:sz w:val="21"/>
      <w:lang w:val="en-US" w:eastAsia="zh-CN" w:bidi="ar-SA"/>
    </w:rPr>
  </w:style>
  <w:style w:type="paragraph" w:customStyle="1" w:styleId="1289">
    <w:name w:val="t表格文字左齐"/>
    <w:basedOn w:val="1"/>
    <w:uiPriority w:val="0"/>
    <w:pPr>
      <w:widowControl/>
      <w:overflowPunct w:val="0"/>
      <w:autoSpaceDE w:val="0"/>
      <w:autoSpaceDN w:val="0"/>
      <w:adjustRightInd w:val="0"/>
      <w:jc w:val="left"/>
    </w:pPr>
    <w:rPr>
      <w:kern w:val="0"/>
      <w:sz w:val="21"/>
      <w:szCs w:val="21"/>
    </w:rPr>
  </w:style>
  <w:style w:type="character" w:customStyle="1" w:styleId="1290">
    <w:name w:val="Char Char Char1"/>
    <w:locked/>
    <w:uiPriority w:val="0"/>
    <w:rPr>
      <w:rFonts w:eastAsia="宋体"/>
      <w:sz w:val="18"/>
      <w:lang w:val="en-US" w:eastAsia="zh-CN" w:bidi="ar-SA"/>
    </w:rPr>
  </w:style>
  <w:style w:type="paragraph" w:customStyle="1" w:styleId="1291">
    <w:name w:val="Char Char Char Char Char Char Char Char Char1 Char Char Char Char"/>
    <w:basedOn w:val="1"/>
    <w:uiPriority w:val="0"/>
    <w:pPr>
      <w:widowControl/>
      <w:jc w:val="left"/>
    </w:pPr>
    <w:rPr>
      <w:rFonts w:eastAsia="宋体"/>
      <w:sz w:val="21"/>
      <w:szCs w:val="24"/>
    </w:rPr>
  </w:style>
  <w:style w:type="character" w:customStyle="1" w:styleId="1292">
    <w:name w:val="chword"/>
    <w:basedOn w:val="132"/>
    <w:uiPriority w:val="0"/>
  </w:style>
  <w:style w:type="character" w:customStyle="1" w:styleId="1293">
    <w:name w:val="textjianju1"/>
    <w:uiPriority w:val="0"/>
    <w:rPr>
      <w:color w:val="000000"/>
      <w:sz w:val="18"/>
      <w:szCs w:val="18"/>
    </w:rPr>
  </w:style>
  <w:style w:type="paragraph" w:customStyle="1" w:styleId="1294">
    <w:name w:val="Char Char Char Char Char Char Char Char Char Char Char"/>
    <w:basedOn w:val="1"/>
    <w:uiPriority w:val="0"/>
    <w:pPr>
      <w:widowControl/>
      <w:tabs>
        <w:tab w:val="left" w:pos="432"/>
      </w:tabs>
      <w:ind w:left="432" w:hanging="432"/>
      <w:jc w:val="left"/>
    </w:pPr>
    <w:rPr>
      <w:rFonts w:ascii="Tahoma" w:hAnsi="Tahoma" w:eastAsia="宋体"/>
      <w:sz w:val="20"/>
    </w:rPr>
  </w:style>
  <w:style w:type="character" w:customStyle="1" w:styleId="1295">
    <w:name w:val="large1"/>
    <w:uiPriority w:val="0"/>
    <w:rPr>
      <w:rFonts w:hint="eastAsia" w:ascii="宋体" w:hAnsi="宋体" w:eastAsia="宋体"/>
      <w:sz w:val="26"/>
      <w:szCs w:val="26"/>
    </w:rPr>
  </w:style>
  <w:style w:type="character" w:customStyle="1" w:styleId="1296">
    <w:name w:val="style31"/>
    <w:uiPriority w:val="0"/>
    <w:rPr>
      <w:color w:val="666666"/>
      <w:sz w:val="24"/>
      <w:szCs w:val="24"/>
      <w:u w:val="none"/>
    </w:rPr>
  </w:style>
  <w:style w:type="character" w:customStyle="1" w:styleId="1297">
    <w:name w:val="lh151"/>
    <w:uiPriority w:val="0"/>
  </w:style>
  <w:style w:type="character" w:customStyle="1" w:styleId="1298">
    <w:name w:val="s c c"/>
    <w:basedOn w:val="132"/>
    <w:uiPriority w:val="0"/>
  </w:style>
  <w:style w:type="character" w:customStyle="1" w:styleId="1299">
    <w:name w:val="tpc_content1"/>
    <w:uiPriority w:val="0"/>
    <w:rPr>
      <w:sz w:val="20"/>
      <w:szCs w:val="20"/>
    </w:rPr>
  </w:style>
  <w:style w:type="paragraph" w:customStyle="1" w:styleId="1300">
    <w:name w:val="样式 正文 首行缩进:  2 字符 + 首行缩进:  2 字符"/>
    <w:basedOn w:val="1"/>
    <w:uiPriority w:val="0"/>
    <w:pPr>
      <w:widowControl/>
      <w:spacing w:line="500" w:lineRule="exact"/>
      <w:ind w:firstLine="420" w:firstLineChars="200"/>
      <w:jc w:val="center"/>
    </w:pPr>
    <w:rPr>
      <w:rFonts w:eastAsia="宋体"/>
      <w:b/>
      <w:bCs/>
      <w:sz w:val="21"/>
    </w:rPr>
  </w:style>
  <w:style w:type="character" w:customStyle="1" w:styleId="1301">
    <w:name w:val="正文 首行缩进:  2 字符 Char"/>
    <w:uiPriority w:val="0"/>
    <w:rPr>
      <w:rFonts w:eastAsia="宋体" w:cs="宋体"/>
      <w:kern w:val="2"/>
      <w:sz w:val="28"/>
      <w:lang w:val="en-US" w:eastAsia="zh-CN" w:bidi="ar-SA"/>
    </w:rPr>
  </w:style>
  <w:style w:type="paragraph" w:customStyle="1" w:styleId="1302">
    <w:name w:val="样式 宋体 小四 首行缩进:  0.69 厘米"/>
    <w:basedOn w:val="1"/>
    <w:uiPriority w:val="0"/>
    <w:pPr>
      <w:widowControl/>
      <w:spacing w:after="50" w:line="320" w:lineRule="exact"/>
      <w:jc w:val="center"/>
    </w:pPr>
    <w:rPr>
      <w:rFonts w:eastAsia="宋体"/>
      <w:sz w:val="21"/>
      <w:szCs w:val="28"/>
    </w:rPr>
  </w:style>
  <w:style w:type="character" w:customStyle="1" w:styleId="1303">
    <w:name w:val="time91"/>
    <w:uiPriority w:val="0"/>
    <w:rPr>
      <w:b/>
      <w:bCs/>
      <w:sz w:val="21"/>
      <w:szCs w:val="21"/>
    </w:rPr>
  </w:style>
  <w:style w:type="character" w:customStyle="1" w:styleId="1304">
    <w:name w:val="d2"/>
    <w:uiPriority w:val="0"/>
  </w:style>
  <w:style w:type="paragraph" w:customStyle="1" w:styleId="1305">
    <w:name w:val="表格标题 Char Char Char"/>
    <w:next w:val="33"/>
    <w:uiPriority w:val="0"/>
    <w:pPr>
      <w:spacing w:before="100" w:beforeLines="100" w:after="50" w:afterLines="50"/>
      <w:jc w:val="center"/>
    </w:pPr>
    <w:rPr>
      <w:rFonts w:ascii="Times New Roman" w:hAnsi="Times New Roman" w:eastAsia="宋体" w:cs="Times New Roman"/>
      <w:b/>
      <w:kern w:val="2"/>
      <w:sz w:val="24"/>
      <w:lang w:val="en-US" w:eastAsia="zh-CN" w:bidi="ar-SA"/>
    </w:rPr>
  </w:style>
  <w:style w:type="paragraph" w:customStyle="1" w:styleId="1306">
    <w:name w:val="表格04"/>
    <w:basedOn w:val="1"/>
    <w:uiPriority w:val="0"/>
    <w:pPr>
      <w:widowControl/>
      <w:adjustRightInd w:val="0"/>
      <w:spacing w:line="360" w:lineRule="exact"/>
      <w:jc w:val="center"/>
      <w:textAlignment w:val="baseline"/>
    </w:pPr>
    <w:rPr>
      <w:rFonts w:eastAsia="宋体"/>
      <w:snapToGrid w:val="0"/>
      <w:spacing w:val="-2"/>
      <w:kern w:val="0"/>
      <w:sz w:val="18"/>
      <w:szCs w:val="18"/>
    </w:rPr>
  </w:style>
  <w:style w:type="character" w:customStyle="1" w:styleId="1307">
    <w:name w:val="word2"/>
    <w:basedOn w:val="132"/>
    <w:uiPriority w:val="0"/>
  </w:style>
  <w:style w:type="paragraph" w:customStyle="1" w:styleId="1308">
    <w:name w:val="第一级标题"/>
    <w:basedOn w:val="1"/>
    <w:next w:val="51"/>
    <w:qFormat/>
    <w:uiPriority w:val="0"/>
    <w:pPr>
      <w:widowControl/>
      <w:numPr>
        <w:ilvl w:val="0"/>
        <w:numId w:val="7"/>
      </w:numPr>
      <w:jc w:val="left"/>
      <w:outlineLvl w:val="0"/>
    </w:pPr>
    <w:rPr>
      <w:rFonts w:eastAsia="黑体"/>
      <w:sz w:val="20"/>
      <w:szCs w:val="24"/>
    </w:rPr>
  </w:style>
  <w:style w:type="paragraph" w:customStyle="1" w:styleId="1309">
    <w:name w:val="第二级标题"/>
    <w:basedOn w:val="1"/>
    <w:next w:val="51"/>
    <w:link w:val="1479"/>
    <w:qFormat/>
    <w:uiPriority w:val="0"/>
    <w:pPr>
      <w:widowControl/>
      <w:numPr>
        <w:ilvl w:val="1"/>
        <w:numId w:val="7"/>
      </w:numPr>
      <w:spacing w:line="360" w:lineRule="auto"/>
      <w:jc w:val="left"/>
      <w:outlineLvl w:val="1"/>
    </w:pPr>
    <w:rPr>
      <w:rFonts w:eastAsia="宋体"/>
      <w:sz w:val="24"/>
      <w:szCs w:val="24"/>
      <w:lang w:val="zh-CN" w:eastAsia="zh-CN"/>
    </w:rPr>
  </w:style>
  <w:style w:type="paragraph" w:customStyle="1" w:styleId="1310">
    <w:name w:val="第三级标题"/>
    <w:basedOn w:val="1"/>
    <w:next w:val="51"/>
    <w:qFormat/>
    <w:uiPriority w:val="0"/>
    <w:pPr>
      <w:widowControl/>
      <w:numPr>
        <w:ilvl w:val="2"/>
        <w:numId w:val="7"/>
      </w:numPr>
      <w:spacing w:line="360" w:lineRule="auto"/>
      <w:jc w:val="left"/>
      <w:outlineLvl w:val="2"/>
    </w:pPr>
    <w:rPr>
      <w:rFonts w:eastAsia="宋体"/>
      <w:sz w:val="20"/>
      <w:szCs w:val="24"/>
    </w:rPr>
  </w:style>
  <w:style w:type="paragraph" w:customStyle="1" w:styleId="1311">
    <w:name w:val="第四级标题"/>
    <w:basedOn w:val="1"/>
    <w:next w:val="51"/>
    <w:qFormat/>
    <w:uiPriority w:val="0"/>
    <w:pPr>
      <w:widowControl/>
      <w:numPr>
        <w:ilvl w:val="3"/>
        <w:numId w:val="7"/>
      </w:numPr>
      <w:spacing w:line="360" w:lineRule="auto"/>
      <w:jc w:val="left"/>
      <w:outlineLvl w:val="3"/>
    </w:pPr>
    <w:rPr>
      <w:rFonts w:eastAsia="宋体"/>
      <w:sz w:val="20"/>
      <w:szCs w:val="24"/>
    </w:rPr>
  </w:style>
  <w:style w:type="paragraph" w:customStyle="1" w:styleId="1312">
    <w:name w:val="Char Char Char Char Char Char Char Char Char1"/>
    <w:basedOn w:val="1"/>
    <w:uiPriority w:val="0"/>
    <w:pPr>
      <w:widowControl/>
      <w:tabs>
        <w:tab w:val="left" w:pos="432"/>
      </w:tabs>
      <w:ind w:left="432" w:hanging="432"/>
      <w:jc w:val="left"/>
    </w:pPr>
    <w:rPr>
      <w:rFonts w:eastAsia="宋体"/>
      <w:kern w:val="0"/>
      <w:sz w:val="20"/>
    </w:rPr>
  </w:style>
  <w:style w:type="character" w:customStyle="1" w:styleId="1313">
    <w:name w:val="正文1 Char1"/>
    <w:link w:val="540"/>
    <w:uiPriority w:val="0"/>
    <w:rPr>
      <w:rFonts w:ascii="宋体"/>
      <w:sz w:val="24"/>
    </w:rPr>
  </w:style>
  <w:style w:type="paragraph" w:customStyle="1" w:styleId="1314">
    <w:name w:val="表格表头1"/>
    <w:basedOn w:val="1"/>
    <w:link w:val="1315"/>
    <w:qFormat/>
    <w:uiPriority w:val="0"/>
    <w:pPr>
      <w:widowControl/>
      <w:spacing w:before="81" w:beforeLines="25" w:after="81" w:afterLines="25" w:line="360" w:lineRule="auto"/>
      <w:jc w:val="center"/>
      <w:outlineLvl w:val="4"/>
    </w:pPr>
    <w:rPr>
      <w:rFonts w:eastAsia="宋体"/>
      <w:b/>
      <w:sz w:val="21"/>
      <w:szCs w:val="24"/>
    </w:rPr>
  </w:style>
  <w:style w:type="character" w:customStyle="1" w:styleId="1315">
    <w:name w:val="表格表头1 Char"/>
    <w:link w:val="1314"/>
    <w:uiPriority w:val="0"/>
    <w:rPr>
      <w:b/>
      <w:kern w:val="2"/>
      <w:sz w:val="21"/>
      <w:szCs w:val="24"/>
    </w:rPr>
  </w:style>
  <w:style w:type="paragraph" w:customStyle="1" w:styleId="1316">
    <w:name w:val="Char21"/>
    <w:basedOn w:val="1"/>
    <w:uiPriority w:val="0"/>
    <w:pPr>
      <w:widowControl/>
      <w:spacing w:line="360" w:lineRule="auto"/>
      <w:ind w:firstLine="200" w:firstLineChars="200"/>
      <w:jc w:val="left"/>
    </w:pPr>
    <w:rPr>
      <w:rFonts w:ascii="宋体" w:hAnsi="宋体" w:eastAsia="宋体" w:cs="宋体"/>
      <w:sz w:val="20"/>
      <w:szCs w:val="24"/>
    </w:rPr>
  </w:style>
  <w:style w:type="character" w:customStyle="1" w:styleId="1317">
    <w:name w:val="Char Char20"/>
    <w:uiPriority w:val="0"/>
    <w:rPr>
      <w:kern w:val="2"/>
      <w:sz w:val="18"/>
    </w:rPr>
  </w:style>
  <w:style w:type="paragraph" w:customStyle="1" w:styleId="1318">
    <w:name w:val="3 Char Char Char Char"/>
    <w:basedOn w:val="1"/>
    <w:next w:val="1"/>
    <w:uiPriority w:val="0"/>
    <w:pPr>
      <w:widowControl/>
      <w:spacing w:line="360" w:lineRule="auto"/>
      <w:ind w:firstLine="200" w:firstLineChars="200"/>
      <w:jc w:val="left"/>
    </w:pPr>
    <w:rPr>
      <w:rFonts w:ascii="宋体" w:hAnsi="宋体" w:eastAsia="汉鼎简书宋" w:cs="宋体"/>
      <w:sz w:val="20"/>
      <w:szCs w:val="24"/>
    </w:rPr>
  </w:style>
  <w:style w:type="paragraph" w:customStyle="1" w:styleId="1319">
    <w:name w:val="样式28"/>
    <w:basedOn w:val="4"/>
    <w:qFormat/>
    <w:uiPriority w:val="0"/>
    <w:pPr>
      <w:widowControl/>
      <w:jc w:val="left"/>
    </w:pPr>
    <w:rPr>
      <w:rFonts w:cs="Times New Roman"/>
    </w:rPr>
  </w:style>
  <w:style w:type="paragraph" w:customStyle="1" w:styleId="1320">
    <w:name w:val="样式 楷体_GB2312 小四 居中 行距: 单倍行距"/>
    <w:basedOn w:val="1"/>
    <w:link w:val="1321"/>
    <w:uiPriority w:val="0"/>
    <w:pPr>
      <w:widowControl/>
      <w:jc w:val="center"/>
    </w:pPr>
    <w:rPr>
      <w:rFonts w:eastAsia="楷体_GB2312" w:cs="宋体"/>
      <w:sz w:val="24"/>
      <w:szCs w:val="24"/>
    </w:rPr>
  </w:style>
  <w:style w:type="character" w:customStyle="1" w:styleId="1321">
    <w:name w:val="样式 楷体_GB2312 小四 居中 行距: 单倍行距 Char"/>
    <w:link w:val="1320"/>
    <w:uiPriority w:val="0"/>
    <w:rPr>
      <w:rFonts w:eastAsia="楷体_GB2312" w:cs="宋体"/>
      <w:kern w:val="2"/>
      <w:sz w:val="24"/>
      <w:szCs w:val="24"/>
    </w:rPr>
  </w:style>
  <w:style w:type="character" w:customStyle="1" w:styleId="1322">
    <w:name w:val="t181"/>
    <w:uiPriority w:val="0"/>
    <w:rPr>
      <w:sz w:val="20"/>
      <w:szCs w:val="20"/>
    </w:rPr>
  </w:style>
  <w:style w:type="paragraph" w:customStyle="1" w:styleId="1323">
    <w:name w:val="style4"/>
    <w:basedOn w:val="1"/>
    <w:uiPriority w:val="0"/>
    <w:pPr>
      <w:widowControl/>
      <w:spacing w:before="100" w:beforeAutospacing="1" w:after="100" w:afterAutospacing="1"/>
      <w:jc w:val="left"/>
    </w:pPr>
    <w:rPr>
      <w:rFonts w:ascii="Arial Unicode MS" w:hAnsi="Arial Unicode MS" w:eastAsia="Arial Unicode MS" w:cs="Arial Unicode MS"/>
      <w:kern w:val="0"/>
      <w:sz w:val="20"/>
      <w:szCs w:val="24"/>
    </w:rPr>
  </w:style>
  <w:style w:type="character" w:customStyle="1" w:styleId="1324">
    <w:name w:val="javascript1"/>
    <w:uiPriority w:val="0"/>
    <w:rPr>
      <w:rFonts w:hint="default" w:ascii="Tahoma" w:hAnsi="Tahoma" w:cs="Tahoma"/>
      <w:sz w:val="18"/>
      <w:szCs w:val="18"/>
    </w:rPr>
  </w:style>
  <w:style w:type="character" w:customStyle="1" w:styleId="1325">
    <w:name w:val="unnamed31"/>
    <w:uiPriority w:val="0"/>
    <w:rPr>
      <w:sz w:val="21"/>
      <w:szCs w:val="21"/>
    </w:rPr>
  </w:style>
  <w:style w:type="paragraph" w:customStyle="1" w:styleId="1326">
    <w:name w:val="图文字"/>
    <w:basedOn w:val="1"/>
    <w:next w:val="1"/>
    <w:uiPriority w:val="0"/>
    <w:pPr>
      <w:widowControl/>
      <w:snapToGrid w:val="0"/>
      <w:jc w:val="left"/>
    </w:pPr>
    <w:rPr>
      <w:rFonts w:ascii="Arial" w:hAnsi="Arial" w:eastAsia="楷体_GB2312"/>
      <w:sz w:val="20"/>
    </w:rPr>
  </w:style>
  <w:style w:type="paragraph" w:customStyle="1" w:styleId="1327">
    <w:name w:val="ST20_32"/>
    <w:basedOn w:val="55"/>
    <w:uiPriority w:val="0"/>
    <w:pPr>
      <w:widowControl/>
    </w:pPr>
    <w:rPr>
      <w:rFonts w:eastAsia="宋体"/>
      <w:kern w:val="0"/>
      <w:lang w:val="en-US" w:eastAsia="zh-CN"/>
    </w:rPr>
  </w:style>
  <w:style w:type="paragraph" w:customStyle="1" w:styleId="1328">
    <w:name w:val="说明书"/>
    <w:basedOn w:val="1"/>
    <w:uiPriority w:val="0"/>
    <w:pPr>
      <w:widowControl/>
      <w:adjustRightInd w:val="0"/>
      <w:spacing w:line="500" w:lineRule="exact"/>
      <w:ind w:firstLine="624"/>
      <w:jc w:val="left"/>
      <w:textAlignment w:val="baseline"/>
    </w:pPr>
    <w:rPr>
      <w:rFonts w:ascii="Arial" w:hAnsi="Arial" w:eastAsia="宋体"/>
      <w:kern w:val="0"/>
    </w:rPr>
  </w:style>
  <w:style w:type="paragraph" w:customStyle="1" w:styleId="1329">
    <w:name w:val="bt1"/>
    <w:basedOn w:val="1"/>
    <w:uiPriority w:val="0"/>
    <w:pPr>
      <w:widowControl/>
      <w:adjustRightInd w:val="0"/>
      <w:spacing w:line="360" w:lineRule="auto"/>
      <w:ind w:firstLine="624"/>
      <w:jc w:val="left"/>
      <w:textAlignment w:val="baseline"/>
    </w:pPr>
    <w:rPr>
      <w:rFonts w:ascii="宋体" w:eastAsia="宋体"/>
      <w:b/>
      <w:kern w:val="0"/>
      <w:sz w:val="32"/>
    </w:rPr>
  </w:style>
  <w:style w:type="paragraph" w:customStyle="1" w:styleId="1330">
    <w:name w:val="条(三级)"/>
    <w:basedOn w:val="1"/>
    <w:next w:val="1"/>
    <w:uiPriority w:val="0"/>
    <w:pPr>
      <w:keepNext/>
      <w:keepLines/>
      <w:widowControl/>
      <w:adjustRightInd w:val="0"/>
      <w:spacing w:line="460" w:lineRule="exact"/>
      <w:jc w:val="left"/>
      <w:textAlignment w:val="baseline"/>
    </w:pPr>
    <w:rPr>
      <w:rFonts w:hAnsi="Arial" w:eastAsia="宋体"/>
      <w:spacing w:val="3"/>
      <w:kern w:val="24"/>
      <w:sz w:val="20"/>
    </w:rPr>
  </w:style>
  <w:style w:type="paragraph" w:customStyle="1" w:styleId="1331">
    <w:name w:val="Achievement"/>
    <w:basedOn w:val="33"/>
    <w:uiPriority w:val="0"/>
    <w:pPr>
      <w:widowControl/>
      <w:spacing w:after="60" w:line="220" w:lineRule="atLeast"/>
      <w:ind w:right="-360"/>
      <w:jc w:val="left"/>
    </w:pPr>
    <w:rPr>
      <w:rFonts w:eastAsia="宋体"/>
      <w:kern w:val="0"/>
      <w:sz w:val="20"/>
      <w:lang w:val="en-US" w:eastAsia="zh-CN"/>
    </w:rPr>
  </w:style>
  <w:style w:type="paragraph" w:customStyle="1" w:styleId="1332">
    <w:name w:val="Personal Info"/>
    <w:basedOn w:val="1331"/>
    <w:uiPriority w:val="0"/>
    <w:pPr>
      <w:spacing w:before="220"/>
    </w:pPr>
  </w:style>
  <w:style w:type="paragraph" w:customStyle="1" w:styleId="1333">
    <w:name w:val="Address 1"/>
    <w:basedOn w:val="1"/>
    <w:uiPriority w:val="0"/>
    <w:pPr>
      <w:framePr w:w="2400" w:wrap="notBeside" w:vAnchor="page" w:hAnchor="page" w:x="8065" w:y="1009" w:anchorLock="1"/>
      <w:widowControl/>
      <w:spacing w:line="200" w:lineRule="atLeast"/>
      <w:jc w:val="left"/>
    </w:pPr>
    <w:rPr>
      <w:rFonts w:eastAsia="宋体"/>
      <w:kern w:val="0"/>
      <w:sz w:val="16"/>
    </w:rPr>
  </w:style>
  <w:style w:type="paragraph" w:customStyle="1" w:styleId="1334">
    <w:name w:val="Address 2"/>
    <w:basedOn w:val="1"/>
    <w:uiPriority w:val="0"/>
    <w:pPr>
      <w:framePr w:w="2405" w:wrap="notBeside" w:vAnchor="page" w:hAnchor="page" w:x="5761" w:y="1009" w:anchorLock="1"/>
      <w:widowControl/>
      <w:spacing w:line="200" w:lineRule="atLeast"/>
      <w:jc w:val="left"/>
    </w:pPr>
    <w:rPr>
      <w:rFonts w:eastAsia="宋体"/>
      <w:kern w:val="0"/>
      <w:sz w:val="16"/>
    </w:rPr>
  </w:style>
  <w:style w:type="paragraph" w:customStyle="1" w:styleId="1335">
    <w:name w:val="City/State"/>
    <w:basedOn w:val="33"/>
    <w:next w:val="33"/>
    <w:uiPriority w:val="0"/>
    <w:pPr>
      <w:keepNext/>
      <w:widowControl/>
      <w:spacing w:after="220" w:line="220" w:lineRule="atLeast"/>
      <w:ind w:right="-360"/>
      <w:jc w:val="left"/>
    </w:pPr>
    <w:rPr>
      <w:rFonts w:eastAsia="宋体"/>
      <w:kern w:val="0"/>
      <w:sz w:val="20"/>
      <w:lang w:val="en-US" w:eastAsia="zh-CN"/>
    </w:rPr>
  </w:style>
  <w:style w:type="paragraph" w:customStyle="1" w:styleId="1336">
    <w:name w:val="Company Name"/>
    <w:basedOn w:val="1"/>
    <w:next w:val="1"/>
    <w:uiPriority w:val="0"/>
    <w:pPr>
      <w:widowControl/>
      <w:tabs>
        <w:tab w:val="left" w:pos="2160"/>
        <w:tab w:val="right" w:pos="6480"/>
      </w:tabs>
      <w:spacing w:before="220" w:after="40" w:line="220" w:lineRule="atLeast"/>
      <w:ind w:right="-360"/>
      <w:jc w:val="left"/>
    </w:pPr>
    <w:rPr>
      <w:rFonts w:eastAsia="宋体"/>
      <w:kern w:val="0"/>
      <w:sz w:val="20"/>
    </w:rPr>
  </w:style>
  <w:style w:type="paragraph" w:customStyle="1" w:styleId="1337">
    <w:name w:val="Company Name One"/>
    <w:basedOn w:val="1336"/>
    <w:next w:val="1"/>
    <w:uiPriority w:val="0"/>
  </w:style>
  <w:style w:type="paragraph" w:customStyle="1" w:styleId="1338">
    <w:name w:val="Document Label"/>
    <w:basedOn w:val="1"/>
    <w:next w:val="1"/>
    <w:uiPriority w:val="0"/>
    <w:pPr>
      <w:widowControl/>
      <w:spacing w:after="220"/>
      <w:ind w:right="-360"/>
      <w:jc w:val="left"/>
    </w:pPr>
    <w:rPr>
      <w:rFonts w:eastAsia="宋体"/>
      <w:spacing w:val="-20"/>
      <w:kern w:val="0"/>
      <w:sz w:val="48"/>
    </w:rPr>
  </w:style>
  <w:style w:type="paragraph" w:customStyle="1" w:styleId="1339">
    <w:name w:val="Heading Base"/>
    <w:basedOn w:val="33"/>
    <w:next w:val="33"/>
    <w:uiPriority w:val="0"/>
    <w:pPr>
      <w:keepNext/>
      <w:keepLines/>
      <w:widowControl/>
      <w:spacing w:after="0" w:line="220" w:lineRule="atLeast"/>
      <w:ind w:right="-360"/>
      <w:jc w:val="left"/>
    </w:pPr>
    <w:rPr>
      <w:rFonts w:ascii="Arial" w:hAnsi="Arial" w:eastAsia="宋体"/>
      <w:spacing w:val="-4"/>
      <w:kern w:val="0"/>
      <w:sz w:val="18"/>
      <w:lang w:val="en-US" w:eastAsia="zh-CN"/>
    </w:rPr>
  </w:style>
  <w:style w:type="paragraph" w:customStyle="1" w:styleId="1340">
    <w:name w:val="Institution"/>
    <w:basedOn w:val="1"/>
    <w:next w:val="1331"/>
    <w:uiPriority w:val="0"/>
    <w:pPr>
      <w:widowControl/>
      <w:tabs>
        <w:tab w:val="left" w:pos="2160"/>
        <w:tab w:val="right" w:pos="6480"/>
      </w:tabs>
      <w:spacing w:before="220" w:after="60" w:line="220" w:lineRule="atLeast"/>
      <w:ind w:right="-360"/>
      <w:jc w:val="left"/>
    </w:pPr>
    <w:rPr>
      <w:rFonts w:eastAsia="宋体"/>
      <w:kern w:val="0"/>
      <w:sz w:val="20"/>
    </w:rPr>
  </w:style>
  <w:style w:type="character" w:customStyle="1" w:styleId="1341">
    <w:name w:val="Job"/>
    <w:basedOn w:val="132"/>
    <w:uiPriority w:val="0"/>
  </w:style>
  <w:style w:type="paragraph" w:customStyle="1" w:styleId="1342">
    <w:name w:val="Job Title"/>
    <w:next w:val="1331"/>
    <w:uiPriority w:val="0"/>
    <w:pPr>
      <w:spacing w:after="40" w:line="220" w:lineRule="atLeast"/>
    </w:pPr>
    <w:rPr>
      <w:rFonts w:ascii="Arial" w:hAnsi="Arial" w:eastAsia="宋体" w:cs="Times New Roman"/>
      <w:b/>
      <w:spacing w:val="-10"/>
      <w:lang w:val="en-US" w:eastAsia="zh-CN" w:bidi="ar-SA"/>
    </w:rPr>
  </w:style>
  <w:style w:type="character" w:customStyle="1" w:styleId="1343">
    <w:name w:val="Lead-in Emphasis"/>
    <w:uiPriority w:val="0"/>
    <w:rPr>
      <w:rFonts w:ascii="Arial" w:hAnsi="Arial"/>
      <w:b/>
      <w:spacing w:val="-8"/>
      <w:sz w:val="18"/>
    </w:rPr>
  </w:style>
  <w:style w:type="paragraph" w:customStyle="1" w:styleId="1344">
    <w:name w:val="Name"/>
    <w:basedOn w:val="1"/>
    <w:next w:val="1"/>
    <w:uiPriority w:val="0"/>
    <w:pPr>
      <w:widowControl/>
      <w:spacing w:after="440" w:line="240" w:lineRule="atLeast"/>
      <w:ind w:left="2160"/>
      <w:jc w:val="left"/>
    </w:pPr>
    <w:rPr>
      <w:rFonts w:eastAsia="宋体"/>
      <w:spacing w:val="-20"/>
      <w:kern w:val="0"/>
      <w:sz w:val="48"/>
    </w:rPr>
  </w:style>
  <w:style w:type="paragraph" w:customStyle="1" w:styleId="1345">
    <w:name w:val="No Title"/>
    <w:basedOn w:val="1"/>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eastAsia="宋体"/>
      <w:b/>
      <w:spacing w:val="-10"/>
      <w:kern w:val="0"/>
      <w:position w:val="7"/>
      <w:sz w:val="20"/>
    </w:rPr>
  </w:style>
  <w:style w:type="paragraph" w:customStyle="1" w:styleId="1346">
    <w:name w:val="Objective"/>
    <w:basedOn w:val="1"/>
    <w:next w:val="33"/>
    <w:uiPriority w:val="0"/>
    <w:pPr>
      <w:widowControl/>
      <w:spacing w:before="220" w:after="220" w:line="220" w:lineRule="atLeast"/>
      <w:jc w:val="left"/>
    </w:pPr>
    <w:rPr>
      <w:rFonts w:eastAsia="宋体"/>
      <w:kern w:val="0"/>
      <w:sz w:val="20"/>
    </w:rPr>
  </w:style>
  <w:style w:type="paragraph" w:customStyle="1" w:styleId="1347">
    <w:name w:val="Section Title"/>
    <w:basedOn w:val="1"/>
    <w:next w:val="1"/>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eastAsia="宋体"/>
      <w:b/>
      <w:spacing w:val="-10"/>
      <w:kern w:val="0"/>
      <w:position w:val="7"/>
      <w:sz w:val="20"/>
    </w:rPr>
  </w:style>
  <w:style w:type="paragraph" w:customStyle="1" w:styleId="1348">
    <w:name w:val="Section Subtitle"/>
    <w:basedOn w:val="1347"/>
    <w:next w:val="1"/>
    <w:uiPriority w:val="0"/>
    <w:pPr>
      <w:pBdr>
        <w:top w:val="none" w:color="auto" w:sz="0" w:space="0"/>
      </w:pBdr>
    </w:pPr>
    <w:rPr>
      <w:b w:val="0"/>
      <w:spacing w:val="0"/>
      <w:position w:val="6"/>
    </w:rPr>
  </w:style>
  <w:style w:type="paragraph" w:customStyle="1" w:styleId="1349">
    <w:name w:val="条(二级)"/>
    <w:basedOn w:val="3"/>
    <w:next w:val="1330"/>
    <w:uiPriority w:val="0"/>
    <w:pPr>
      <w:widowControl/>
      <w:numPr>
        <w:ilvl w:val="0"/>
        <w:numId w:val="0"/>
      </w:numPr>
      <w:spacing w:before="260" w:after="260" w:line="416" w:lineRule="auto"/>
      <w:jc w:val="left"/>
    </w:pPr>
    <w:rPr>
      <w:rFonts w:ascii="Times New Roman" w:hAnsi="Times New Roman" w:eastAsia="宋体"/>
      <w:b/>
      <w:bCs/>
      <w:kern w:val="0"/>
      <w:szCs w:val="32"/>
      <w:lang w:val="en-US" w:eastAsia="zh-CN"/>
    </w:rPr>
  </w:style>
  <w:style w:type="paragraph" w:customStyle="1" w:styleId="1350">
    <w:name w:val="条(四级)"/>
    <w:basedOn w:val="1330"/>
    <w:next w:val="1"/>
    <w:uiPriority w:val="0"/>
  </w:style>
  <w:style w:type="paragraph" w:customStyle="1" w:styleId="1351">
    <w:name w:val="条文1"/>
    <w:basedOn w:val="5"/>
    <w:uiPriority w:val="0"/>
    <w:pPr>
      <w:keepNext w:val="0"/>
      <w:keepLines w:val="0"/>
      <w:widowControl/>
      <w:numPr>
        <w:ilvl w:val="0"/>
        <w:numId w:val="0"/>
      </w:numPr>
      <w:adjustRightInd w:val="0"/>
      <w:spacing w:before="0" w:after="0" w:line="460" w:lineRule="exact"/>
      <w:ind w:left="907" w:hanging="425"/>
      <w:jc w:val="left"/>
      <w:textAlignment w:val="baseline"/>
      <w:outlineLvl w:val="9"/>
    </w:pPr>
    <w:rPr>
      <w:rFonts w:ascii="Times New Roman" w:hAnsi="Arial" w:eastAsia="宋体"/>
      <w:b w:val="0"/>
      <w:bCs w:val="0"/>
      <w:spacing w:val="3"/>
      <w:kern w:val="24"/>
      <w:sz w:val="20"/>
      <w:lang w:val="en-US" w:eastAsia="zh-CN"/>
    </w:rPr>
  </w:style>
  <w:style w:type="paragraph" w:customStyle="1" w:styleId="1352">
    <w:name w:val="页号"/>
    <w:basedOn w:val="55"/>
    <w:uiPriority w:val="0"/>
    <w:pPr>
      <w:widowControl/>
    </w:pPr>
    <w:rPr>
      <w:rFonts w:eastAsia="宋体"/>
      <w:kern w:val="0"/>
      <w:lang w:val="en-US" w:eastAsia="zh-CN"/>
    </w:rPr>
  </w:style>
  <w:style w:type="paragraph" w:customStyle="1" w:styleId="1353">
    <w:name w:val="列表延续 2"/>
    <w:basedOn w:val="1"/>
    <w:uiPriority w:val="0"/>
    <w:pPr>
      <w:widowControl/>
      <w:autoSpaceDE w:val="0"/>
      <w:autoSpaceDN w:val="0"/>
      <w:adjustRightInd w:val="0"/>
      <w:spacing w:line="360" w:lineRule="atLeast"/>
      <w:ind w:left="420" w:hanging="420"/>
      <w:jc w:val="left"/>
    </w:pPr>
    <w:rPr>
      <w:rFonts w:ascii="宋体" w:hAnsi="Tms Rmn" w:eastAsia="宋体"/>
      <w:spacing w:val="20"/>
      <w:kern w:val="0"/>
      <w:sz w:val="20"/>
    </w:rPr>
  </w:style>
  <w:style w:type="paragraph" w:customStyle="1" w:styleId="1354">
    <w:name w:val="列表延续 21"/>
    <w:basedOn w:val="1"/>
    <w:uiPriority w:val="0"/>
    <w:pPr>
      <w:widowControl/>
      <w:autoSpaceDE w:val="0"/>
      <w:autoSpaceDN w:val="0"/>
      <w:adjustRightInd w:val="0"/>
      <w:spacing w:line="360" w:lineRule="atLeast"/>
      <w:ind w:left="840" w:hanging="420"/>
      <w:jc w:val="left"/>
    </w:pPr>
    <w:rPr>
      <w:rFonts w:ascii="宋体" w:hAnsi="Tms Rmn" w:eastAsia="宋体"/>
      <w:spacing w:val="20"/>
      <w:kern w:val="0"/>
      <w:sz w:val="20"/>
    </w:rPr>
  </w:style>
  <w:style w:type="paragraph" w:customStyle="1" w:styleId="1355">
    <w:name w:val="章(一级)"/>
    <w:basedOn w:val="2"/>
    <w:next w:val="1349"/>
    <w:uiPriority w:val="0"/>
    <w:pPr>
      <w:pageBreakBefore w:val="0"/>
      <w:widowControl/>
      <w:tabs>
        <w:tab w:val="clear" w:pos="1080"/>
      </w:tabs>
      <w:adjustRightInd w:val="0"/>
      <w:snapToGrid w:val="0"/>
      <w:spacing w:before="340" w:after="330" w:line="20" w:lineRule="exact"/>
      <w:ind w:left="0" w:firstLine="0"/>
      <w:jc w:val="left"/>
    </w:pPr>
    <w:rPr>
      <w:bCs/>
      <w:sz w:val="32"/>
      <w:szCs w:val="44"/>
      <w:lang w:val="en-US" w:eastAsia="zh-CN"/>
    </w:rPr>
  </w:style>
  <w:style w:type="paragraph" w:customStyle="1" w:styleId="1356">
    <w:name w:val="条文2"/>
    <w:basedOn w:val="5"/>
    <w:uiPriority w:val="0"/>
    <w:pPr>
      <w:keepNext w:val="0"/>
      <w:keepLines w:val="0"/>
      <w:widowControl/>
      <w:numPr>
        <w:ilvl w:val="0"/>
        <w:numId w:val="0"/>
      </w:numPr>
      <w:adjustRightInd w:val="0"/>
      <w:spacing w:before="0" w:after="0" w:line="460" w:lineRule="exact"/>
      <w:ind w:left="1151" w:hanging="425"/>
      <w:jc w:val="left"/>
      <w:textAlignment w:val="baseline"/>
      <w:outlineLvl w:val="9"/>
    </w:pPr>
    <w:rPr>
      <w:rFonts w:ascii="宋体" w:hAnsi="Arial" w:eastAsia="宋体"/>
      <w:b w:val="0"/>
      <w:bCs w:val="0"/>
      <w:spacing w:val="3"/>
      <w:kern w:val="24"/>
      <w:sz w:val="20"/>
      <w:lang w:val="en-US" w:eastAsia="zh-CN"/>
    </w:rPr>
  </w:style>
  <w:style w:type="paragraph" w:customStyle="1" w:styleId="1357">
    <w:name w:val="档案号"/>
    <w:basedOn w:val="57"/>
    <w:uiPriority w:val="0"/>
    <w:pPr>
      <w:widowControl/>
    </w:pPr>
    <w:rPr>
      <w:rFonts w:eastAsia="宋体"/>
      <w:kern w:val="0"/>
    </w:rPr>
  </w:style>
  <w:style w:type="paragraph" w:customStyle="1" w:styleId="1358">
    <w:name w:val="表内序号"/>
    <w:basedOn w:val="1"/>
    <w:uiPriority w:val="0"/>
    <w:pPr>
      <w:widowControl/>
      <w:adjustRightInd w:val="0"/>
      <w:snapToGrid w:val="0"/>
      <w:jc w:val="center"/>
    </w:pPr>
    <w:rPr>
      <w:rFonts w:eastAsia="宋体"/>
      <w:color w:val="000000"/>
      <w:kern w:val="0"/>
      <w:sz w:val="21"/>
    </w:rPr>
  </w:style>
  <w:style w:type="paragraph" w:customStyle="1" w:styleId="1359">
    <w:name w:val="我的悬挂"/>
    <w:basedOn w:val="1"/>
    <w:uiPriority w:val="0"/>
    <w:pPr>
      <w:widowControl/>
      <w:tabs>
        <w:tab w:val="left" w:pos="204"/>
      </w:tabs>
      <w:adjustRightInd w:val="0"/>
      <w:spacing w:line="360" w:lineRule="auto"/>
      <w:ind w:left="204" w:hanging="204"/>
      <w:jc w:val="left"/>
      <w:textAlignment w:val="baseline"/>
    </w:pPr>
    <w:rPr>
      <w:rFonts w:eastAsia="宋体"/>
      <w:spacing w:val="20"/>
      <w:kern w:val="0"/>
      <w:sz w:val="20"/>
      <w:szCs w:val="32"/>
    </w:rPr>
  </w:style>
  <w:style w:type="paragraph" w:customStyle="1" w:styleId="1360">
    <w:name w:val="t2"/>
    <w:basedOn w:val="1"/>
    <w:uiPriority w:val="0"/>
    <w:pPr>
      <w:widowControl/>
      <w:spacing w:line="480" w:lineRule="exact"/>
      <w:ind w:firstLine="480" w:firstLineChars="200"/>
      <w:jc w:val="left"/>
    </w:pPr>
    <w:rPr>
      <w:rFonts w:eastAsia="宋体"/>
      <w:sz w:val="20"/>
      <w:szCs w:val="24"/>
    </w:rPr>
  </w:style>
  <w:style w:type="paragraph" w:customStyle="1" w:styleId="1361">
    <w:name w:val="标格文字"/>
    <w:basedOn w:val="1"/>
    <w:next w:val="1"/>
    <w:uiPriority w:val="0"/>
    <w:pPr>
      <w:widowControl/>
      <w:spacing w:before="60" w:after="60"/>
      <w:jc w:val="left"/>
    </w:pPr>
    <w:rPr>
      <w:rFonts w:eastAsia="宋体"/>
      <w:sz w:val="21"/>
    </w:rPr>
  </w:style>
  <w:style w:type="paragraph" w:customStyle="1" w:styleId="1362">
    <w:name w:val="样式 (中文) 仿宋_GB2312 四号 行距: 固定值 22 磅 首行缩进:  1 字符"/>
    <w:basedOn w:val="1"/>
    <w:uiPriority w:val="0"/>
    <w:pPr>
      <w:widowControl/>
      <w:spacing w:line="440" w:lineRule="exact"/>
      <w:ind w:firstLine="280" w:firstLineChars="100"/>
      <w:jc w:val="left"/>
    </w:pPr>
    <w:rPr>
      <w:sz w:val="20"/>
    </w:rPr>
  </w:style>
  <w:style w:type="paragraph" w:customStyle="1" w:styleId="1363">
    <w:name w:val="附录章标题"/>
    <w:next w:val="1"/>
    <w:uiPriority w:val="0"/>
    <w:pPr>
      <w:tabs>
        <w:tab w:val="left" w:pos="816"/>
      </w:tabs>
      <w:wordWrap w:val="0"/>
      <w:overflowPunct w:val="0"/>
      <w:autoSpaceDE w:val="0"/>
      <w:spacing w:before="50" w:beforeLines="50" w:after="50" w:afterLines="50"/>
      <w:ind w:left="816" w:hanging="816"/>
      <w:jc w:val="both"/>
      <w:textAlignment w:val="baseline"/>
      <w:outlineLvl w:val="1"/>
    </w:pPr>
    <w:rPr>
      <w:rFonts w:ascii="黑体" w:hAnsi="Times New Roman" w:eastAsia="黑体" w:cs="Times New Roman"/>
      <w:kern w:val="21"/>
      <w:sz w:val="21"/>
      <w:lang w:val="en-US" w:eastAsia="zh-CN" w:bidi="ar-SA"/>
    </w:rPr>
  </w:style>
  <w:style w:type="character" w:customStyle="1" w:styleId="1364">
    <w:name w:val="style21"/>
    <w:uiPriority w:val="0"/>
    <w:rPr>
      <w:sz w:val="21"/>
      <w:szCs w:val="21"/>
    </w:rPr>
  </w:style>
  <w:style w:type="character" w:customStyle="1" w:styleId="1365">
    <w:name w:val="结束语 Char1"/>
    <w:basedOn w:val="132"/>
    <w:semiHidden/>
    <w:uiPriority w:val="99"/>
    <w:rPr>
      <w:rFonts w:eastAsia="仿宋_GB2312"/>
      <w:kern w:val="2"/>
      <w:sz w:val="28"/>
    </w:rPr>
  </w:style>
  <w:style w:type="paragraph" w:customStyle="1" w:styleId="1366">
    <w:name w:val="1级（章）标题"/>
    <w:basedOn w:val="1"/>
    <w:link w:val="1367"/>
    <w:qFormat/>
    <w:uiPriority w:val="0"/>
    <w:pPr>
      <w:widowControl/>
      <w:snapToGrid w:val="0"/>
      <w:spacing w:line="360" w:lineRule="auto"/>
      <w:jc w:val="left"/>
      <w:outlineLvl w:val="0"/>
    </w:pPr>
    <w:rPr>
      <w:rFonts w:ascii="黑体" w:hAnsi="黑体" w:eastAsia="黑体"/>
      <w:b/>
      <w:sz w:val="30"/>
      <w:szCs w:val="30"/>
    </w:rPr>
  </w:style>
  <w:style w:type="character" w:customStyle="1" w:styleId="1367">
    <w:name w:val="1级（章）标题 Char"/>
    <w:link w:val="1366"/>
    <w:uiPriority w:val="0"/>
    <w:rPr>
      <w:rFonts w:ascii="黑体" w:hAnsi="黑体" w:eastAsia="黑体"/>
      <w:b/>
      <w:kern w:val="2"/>
      <w:sz w:val="30"/>
      <w:szCs w:val="30"/>
    </w:rPr>
  </w:style>
  <w:style w:type="paragraph" w:customStyle="1" w:styleId="1368">
    <w:name w:val="2级（节）标题"/>
    <w:basedOn w:val="1"/>
    <w:link w:val="1369"/>
    <w:qFormat/>
    <w:uiPriority w:val="0"/>
    <w:pPr>
      <w:widowControl/>
      <w:spacing w:before="120" w:beforeLines="50" w:line="360" w:lineRule="auto"/>
      <w:ind w:firstLine="141" w:firstLineChars="50"/>
      <w:jc w:val="left"/>
      <w:outlineLvl w:val="1"/>
    </w:pPr>
    <w:rPr>
      <w:rFonts w:ascii="宋体" w:hAnsi="宋体" w:eastAsia="宋体"/>
      <w:b/>
      <w:szCs w:val="28"/>
    </w:rPr>
  </w:style>
  <w:style w:type="character" w:customStyle="1" w:styleId="1369">
    <w:name w:val="2级（节）标题 Char"/>
    <w:link w:val="1368"/>
    <w:uiPriority w:val="0"/>
    <w:rPr>
      <w:rFonts w:ascii="宋体" w:hAnsi="宋体"/>
      <w:b/>
      <w:kern w:val="2"/>
      <w:sz w:val="28"/>
      <w:szCs w:val="28"/>
    </w:rPr>
  </w:style>
  <w:style w:type="paragraph" w:customStyle="1" w:styleId="1370">
    <w:name w:val="修改意见"/>
    <w:basedOn w:val="1"/>
    <w:link w:val="1371"/>
    <w:qFormat/>
    <w:uiPriority w:val="0"/>
    <w:pPr>
      <w:widowControl/>
      <w:spacing w:before="60" w:line="360" w:lineRule="auto"/>
      <w:ind w:firstLine="480"/>
      <w:jc w:val="left"/>
    </w:pPr>
    <w:rPr>
      <w:rFonts w:eastAsia="宋体"/>
      <w:b/>
      <w:color w:val="FF0000"/>
      <w:sz w:val="20"/>
      <w:szCs w:val="24"/>
    </w:rPr>
  </w:style>
  <w:style w:type="character" w:customStyle="1" w:styleId="1371">
    <w:name w:val="修改意见 Char"/>
    <w:link w:val="1370"/>
    <w:uiPriority w:val="0"/>
    <w:rPr>
      <w:b/>
      <w:color w:val="FF0000"/>
      <w:kern w:val="2"/>
      <w:szCs w:val="24"/>
    </w:rPr>
  </w:style>
  <w:style w:type="paragraph" w:customStyle="1" w:styleId="1372">
    <w:name w:val="突出强调文本"/>
    <w:basedOn w:val="874"/>
    <w:link w:val="1373"/>
    <w:qFormat/>
    <w:uiPriority w:val="0"/>
    <w:pPr>
      <w:widowControl/>
      <w:ind w:firstLine="482"/>
      <w:jc w:val="left"/>
    </w:pPr>
    <w:rPr>
      <w:b/>
      <w:u w:val="single"/>
      <w:lang w:val="en-US" w:eastAsia="zh-CN"/>
    </w:rPr>
  </w:style>
  <w:style w:type="character" w:customStyle="1" w:styleId="1373">
    <w:name w:val="突出强调文本 Char"/>
    <w:link w:val="1372"/>
    <w:uiPriority w:val="0"/>
    <w:rPr>
      <w:b/>
      <w:kern w:val="2"/>
      <w:sz w:val="24"/>
      <w:szCs w:val="24"/>
      <w:u w:val="single"/>
    </w:rPr>
  </w:style>
  <w:style w:type="paragraph" w:customStyle="1" w:styleId="1374">
    <w:name w:val="表格文字（居中）"/>
    <w:basedOn w:val="1"/>
    <w:uiPriority w:val="0"/>
    <w:pPr>
      <w:widowControl/>
      <w:jc w:val="center"/>
    </w:pPr>
    <w:rPr>
      <w:rFonts w:eastAsia="宋体"/>
      <w:sz w:val="21"/>
      <w:szCs w:val="21"/>
    </w:rPr>
  </w:style>
  <w:style w:type="paragraph" w:customStyle="1" w:styleId="1375">
    <w:name w:val="环标2"/>
    <w:basedOn w:val="3"/>
    <w:uiPriority w:val="0"/>
    <w:pPr>
      <w:widowControl/>
      <w:numPr>
        <w:ilvl w:val="0"/>
        <w:numId w:val="0"/>
      </w:numPr>
      <w:spacing w:before="260" w:after="260" w:line="416" w:lineRule="auto"/>
      <w:jc w:val="left"/>
    </w:pPr>
    <w:rPr>
      <w:rFonts w:ascii="Times New Roman" w:hAnsi="Times New Roman" w:eastAsia="宋体"/>
      <w:b/>
      <w:bCs/>
      <w:kern w:val="0"/>
      <w:szCs w:val="32"/>
      <w:lang w:val="en-US" w:eastAsia="zh-CN"/>
    </w:rPr>
  </w:style>
  <w:style w:type="paragraph" w:customStyle="1" w:styleId="1376">
    <w:name w:val="表格文字两端对齐"/>
    <w:basedOn w:val="1"/>
    <w:semiHidden/>
    <w:uiPriority w:val="0"/>
    <w:pPr>
      <w:widowControl/>
      <w:spacing w:line="300" w:lineRule="auto"/>
      <w:jc w:val="center"/>
    </w:pPr>
    <w:rPr>
      <w:rFonts w:ascii="Arial Narrow" w:hAnsi="Arial Narrow"/>
      <w:color w:val="000000"/>
      <w:kern w:val="0"/>
      <w:sz w:val="21"/>
      <w:szCs w:val="24"/>
    </w:rPr>
  </w:style>
  <w:style w:type="paragraph" w:customStyle="1" w:styleId="1377">
    <w:name w:val="正文文本 31"/>
    <w:basedOn w:val="1"/>
    <w:semiHidden/>
    <w:uiPriority w:val="0"/>
    <w:pPr>
      <w:widowControl/>
      <w:adjustRightInd w:val="0"/>
      <w:spacing w:line="360" w:lineRule="atLeast"/>
      <w:jc w:val="center"/>
      <w:textAlignment w:val="baseline"/>
    </w:pPr>
    <w:rPr>
      <w:rFonts w:ascii="仿宋体" w:hAnsi="宋体" w:eastAsia="仿宋体"/>
      <w:kern w:val="0"/>
      <w:sz w:val="20"/>
    </w:rPr>
  </w:style>
  <w:style w:type="character" w:customStyle="1" w:styleId="1378">
    <w:name w:val="f9wen1"/>
    <w:semiHidden/>
    <w:uiPriority w:val="0"/>
    <w:rPr>
      <w:spacing w:val="12"/>
      <w:sz w:val="18"/>
      <w:szCs w:val="18"/>
      <w:u w:val="none"/>
    </w:rPr>
  </w:style>
  <w:style w:type="paragraph" w:customStyle="1" w:styleId="1379">
    <w:name w:val="表头名称"/>
    <w:basedOn w:val="1"/>
    <w:semiHidden/>
    <w:uiPriority w:val="0"/>
    <w:pPr>
      <w:widowControl/>
      <w:autoSpaceDE w:val="0"/>
      <w:autoSpaceDN w:val="0"/>
      <w:adjustRightInd w:val="0"/>
      <w:spacing w:line="360" w:lineRule="auto"/>
      <w:jc w:val="center"/>
    </w:pPr>
    <w:rPr>
      <w:rFonts w:hAnsi="宋体" w:eastAsia="宋体"/>
      <w:kern w:val="0"/>
      <w:sz w:val="20"/>
    </w:rPr>
  </w:style>
  <w:style w:type="paragraph" w:customStyle="1" w:styleId="1380">
    <w:name w:val="表格内容格式"/>
    <w:basedOn w:val="1"/>
    <w:semiHidden/>
    <w:uiPriority w:val="0"/>
    <w:pPr>
      <w:widowControl/>
      <w:jc w:val="center"/>
    </w:pPr>
    <w:rPr>
      <w:rFonts w:hAnsi="宋体" w:eastAsia="宋体" w:cs="宋体"/>
      <w:sz w:val="21"/>
      <w:szCs w:val="21"/>
    </w:rPr>
  </w:style>
  <w:style w:type="paragraph" w:customStyle="1" w:styleId="1381">
    <w:name w:val="a3"/>
    <w:basedOn w:val="1"/>
    <w:uiPriority w:val="0"/>
    <w:pPr>
      <w:widowControl/>
      <w:spacing w:before="100" w:beforeAutospacing="1" w:after="100" w:afterAutospacing="1"/>
      <w:jc w:val="left"/>
    </w:pPr>
    <w:rPr>
      <w:rFonts w:ascii="宋体" w:hAnsi="宋体" w:eastAsia="宋体"/>
      <w:color w:val="000000"/>
      <w:kern w:val="0"/>
      <w:sz w:val="20"/>
      <w:szCs w:val="24"/>
    </w:rPr>
  </w:style>
  <w:style w:type="character" w:customStyle="1" w:styleId="1382">
    <w:name w:val="xin11"/>
    <w:semiHidden/>
    <w:uiPriority w:val="0"/>
    <w:rPr>
      <w:rFonts w:hint="eastAsia" w:ascii="宋体" w:hAnsi="宋体" w:eastAsia="宋体"/>
      <w:color w:val="666666"/>
      <w:sz w:val="18"/>
      <w:szCs w:val="18"/>
      <w:u w:val="none"/>
    </w:rPr>
  </w:style>
  <w:style w:type="paragraph" w:customStyle="1" w:styleId="1383">
    <w:name w:val="法规列表"/>
    <w:basedOn w:val="1"/>
    <w:semiHidden/>
    <w:uiPriority w:val="0"/>
    <w:pPr>
      <w:widowControl/>
      <w:tabs>
        <w:tab w:val="left" w:pos="420"/>
      </w:tabs>
      <w:spacing w:before="50" w:beforeLines="50"/>
      <w:ind w:left="420" w:hanging="420"/>
      <w:jc w:val="left"/>
    </w:pPr>
    <w:rPr>
      <w:sz w:val="20"/>
      <w:szCs w:val="24"/>
    </w:rPr>
  </w:style>
  <w:style w:type="paragraph" w:customStyle="1" w:styleId="1384">
    <w:name w:val="表文左对齐"/>
    <w:basedOn w:val="612"/>
    <w:semiHidden/>
    <w:uiPriority w:val="0"/>
    <w:pPr>
      <w:widowControl/>
      <w:overflowPunct/>
      <w:topLinePunct w:val="0"/>
      <w:adjustRightInd/>
      <w:spacing w:before="0" w:after="0"/>
      <w:jc w:val="left"/>
      <w:textAlignment w:val="auto"/>
    </w:pPr>
    <w:rPr>
      <w:rFonts w:eastAsia="仿宋_GB2312"/>
      <w:color w:val="000000"/>
      <w:kern w:val="2"/>
      <w:sz w:val="18"/>
      <w:szCs w:val="21"/>
    </w:rPr>
  </w:style>
  <w:style w:type="character" w:customStyle="1" w:styleId="1385">
    <w:name w:val="f10wentitle"/>
    <w:basedOn w:val="132"/>
    <w:semiHidden/>
    <w:uiPriority w:val="0"/>
  </w:style>
  <w:style w:type="paragraph" w:customStyle="1" w:styleId="1386">
    <w:name w:val="表体"/>
    <w:basedOn w:val="362"/>
    <w:semiHidden/>
    <w:uiPriority w:val="0"/>
    <w:pPr>
      <w:widowControl/>
      <w:overflowPunct w:val="0"/>
      <w:adjustRightInd w:val="0"/>
      <w:spacing w:line="360" w:lineRule="exact"/>
      <w:ind w:left="-57" w:right="-57"/>
      <w:textAlignment w:val="baseline"/>
    </w:pPr>
    <w:rPr>
      <w:rFonts w:ascii="宋体" w:hAnsi="Times New Roman" w:eastAsia="宋体"/>
      <w:b w:val="0"/>
      <w:color w:val="000080"/>
      <w:kern w:val="24"/>
      <w:sz w:val="24"/>
      <w:szCs w:val="20"/>
    </w:rPr>
  </w:style>
  <w:style w:type="paragraph" w:customStyle="1" w:styleId="1387">
    <w:name w:val="表后空行"/>
    <w:basedOn w:val="1"/>
    <w:semiHidden/>
    <w:uiPriority w:val="0"/>
    <w:pPr>
      <w:widowControl/>
      <w:overflowPunct w:val="0"/>
      <w:adjustRightInd w:val="0"/>
      <w:jc w:val="left"/>
      <w:textAlignment w:val="baseline"/>
    </w:pPr>
    <w:rPr>
      <w:rFonts w:eastAsia="宋体"/>
      <w:color w:val="000000"/>
      <w:kern w:val="28"/>
      <w:sz w:val="10"/>
    </w:rPr>
  </w:style>
  <w:style w:type="paragraph" w:customStyle="1" w:styleId="1388">
    <w:name w:val="表格名称"/>
    <w:basedOn w:val="1"/>
    <w:link w:val="2294"/>
    <w:uiPriority w:val="0"/>
    <w:pPr>
      <w:keepNext/>
      <w:keepLines/>
      <w:widowControl/>
      <w:tabs>
        <w:tab w:val="left" w:pos="720"/>
      </w:tabs>
      <w:spacing w:before="62" w:beforeLines="20" w:after="62" w:afterLines="20"/>
      <w:jc w:val="center"/>
    </w:pPr>
    <w:rPr>
      <w:rFonts w:eastAsia="黑体"/>
      <w:sz w:val="20"/>
    </w:rPr>
  </w:style>
  <w:style w:type="paragraph" w:customStyle="1" w:styleId="1389">
    <w:name w:val="EIA标题2"/>
    <w:basedOn w:val="3"/>
    <w:semiHidden/>
    <w:uiPriority w:val="0"/>
    <w:pPr>
      <w:widowControl/>
      <w:numPr>
        <w:ilvl w:val="0"/>
        <w:numId w:val="0"/>
      </w:numPr>
      <w:spacing w:before="260" w:after="260" w:line="416" w:lineRule="auto"/>
      <w:jc w:val="left"/>
    </w:pPr>
    <w:rPr>
      <w:rFonts w:ascii="Times New Roman" w:hAnsi="Times New Roman" w:eastAsia="宋体"/>
      <w:b/>
      <w:bCs/>
      <w:kern w:val="0"/>
      <w:szCs w:val="32"/>
      <w:lang w:val="en-US" w:eastAsia="zh-CN"/>
    </w:rPr>
  </w:style>
  <w:style w:type="paragraph" w:customStyle="1" w:styleId="1390">
    <w:name w:val="EIA标题3"/>
    <w:basedOn w:val="5"/>
    <w:semiHidden/>
    <w:uiPriority w:val="0"/>
    <w:pPr>
      <w:keepNext w:val="0"/>
      <w:keepLines w:val="0"/>
      <w:widowControl/>
      <w:numPr>
        <w:ilvl w:val="0"/>
        <w:numId w:val="0"/>
      </w:numPr>
      <w:spacing w:before="0" w:after="175" w:afterLines="50" w:line="500" w:lineRule="exact"/>
      <w:ind w:left="720" w:hanging="432"/>
      <w:jc w:val="left"/>
    </w:pPr>
    <w:rPr>
      <w:rFonts w:ascii="Times New Roman" w:eastAsia="宋体"/>
      <w:kern w:val="2"/>
      <w:sz w:val="20"/>
      <w:szCs w:val="24"/>
      <w:lang w:val="en-US" w:eastAsia="zh-CN"/>
    </w:rPr>
  </w:style>
  <w:style w:type="paragraph" w:customStyle="1" w:styleId="1391">
    <w:name w:val="EIA正文"/>
    <w:basedOn w:val="1"/>
    <w:semiHidden/>
    <w:uiPriority w:val="0"/>
    <w:pPr>
      <w:widowControl/>
      <w:spacing w:line="360" w:lineRule="auto"/>
      <w:ind w:firstLine="578"/>
      <w:jc w:val="left"/>
    </w:pPr>
    <w:rPr>
      <w:rFonts w:ascii="宋体" w:hAnsi="宋体" w:eastAsia="宋体"/>
      <w:sz w:val="20"/>
      <w:szCs w:val="24"/>
    </w:rPr>
  </w:style>
  <w:style w:type="paragraph" w:customStyle="1" w:styleId="1392">
    <w:name w:val="小五居左"/>
    <w:semiHidden/>
    <w:uiPriority w:val="0"/>
    <w:pPr>
      <w:adjustRightInd w:val="0"/>
      <w:snapToGrid w:val="0"/>
      <w:jc w:val="both"/>
    </w:pPr>
    <w:rPr>
      <w:rFonts w:ascii="Times New Roman" w:hAnsi="Times New Roman" w:eastAsia="宋体" w:cs="Times New Roman"/>
      <w:sz w:val="21"/>
      <w:szCs w:val="21"/>
      <w:lang w:val="en-US" w:eastAsia="zh-CN" w:bidi="ar-SA"/>
    </w:rPr>
  </w:style>
  <w:style w:type="paragraph" w:customStyle="1" w:styleId="1393">
    <w:name w:val="小五"/>
    <w:basedOn w:val="1"/>
    <w:semiHidden/>
    <w:uiPriority w:val="0"/>
    <w:pPr>
      <w:widowControl/>
      <w:autoSpaceDE w:val="0"/>
      <w:autoSpaceDN w:val="0"/>
      <w:adjustRightInd w:val="0"/>
      <w:snapToGrid w:val="0"/>
      <w:jc w:val="center"/>
    </w:pPr>
    <w:rPr>
      <w:rFonts w:ascii="宋体" w:hAnsi="宋体" w:eastAsia="宋体"/>
      <w:kern w:val="0"/>
      <w:sz w:val="18"/>
      <w:szCs w:val="18"/>
    </w:rPr>
  </w:style>
  <w:style w:type="paragraph" w:customStyle="1" w:styleId="1394">
    <w:name w:val="表内字"/>
    <w:uiPriority w:val="0"/>
    <w:pPr>
      <w:widowControl w:val="0"/>
      <w:jc w:val="both"/>
    </w:pPr>
    <w:rPr>
      <w:rFonts w:ascii="Times New Roman" w:hAnsi="Times New Roman" w:eastAsia="宋体" w:cs="Times New Roman"/>
      <w:sz w:val="21"/>
      <w:szCs w:val="21"/>
      <w:lang w:val="en-US" w:eastAsia="zh-CN" w:bidi="ar-SA"/>
    </w:rPr>
  </w:style>
  <w:style w:type="paragraph" w:customStyle="1" w:styleId="1395">
    <w:name w:val="文字"/>
    <w:basedOn w:val="1"/>
    <w:semiHidden/>
    <w:uiPriority w:val="0"/>
    <w:pPr>
      <w:widowControl/>
      <w:spacing w:line="360" w:lineRule="auto"/>
      <w:ind w:firstLine="482"/>
      <w:jc w:val="left"/>
    </w:pPr>
    <w:rPr>
      <w:rFonts w:ascii="Arial" w:hAnsi="Arial" w:eastAsia="宋体"/>
      <w:snapToGrid w:val="0"/>
      <w:kern w:val="28"/>
      <w:sz w:val="20"/>
    </w:rPr>
  </w:style>
  <w:style w:type="paragraph" w:customStyle="1" w:styleId="1396">
    <w:name w:val="表格文字中对齐"/>
    <w:basedOn w:val="1"/>
    <w:semiHidden/>
    <w:uiPriority w:val="0"/>
    <w:pPr>
      <w:widowControl/>
      <w:spacing w:line="300" w:lineRule="auto"/>
      <w:jc w:val="center"/>
    </w:pPr>
    <w:rPr>
      <w:rFonts w:eastAsia="宋体"/>
      <w:color w:val="000000"/>
      <w:kern w:val="0"/>
      <w:sz w:val="21"/>
      <w:szCs w:val="24"/>
    </w:rPr>
  </w:style>
  <w:style w:type="paragraph" w:customStyle="1" w:styleId="1397">
    <w:name w:val="表中字"/>
    <w:semiHidden/>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character" w:customStyle="1" w:styleId="1398">
    <w:name w:val="HTML 地址 字符"/>
    <w:basedOn w:val="132"/>
    <w:link w:val="41"/>
    <w:uiPriority w:val="0"/>
    <w:rPr>
      <w:i/>
      <w:iCs/>
      <w:kern w:val="2"/>
      <w:szCs w:val="24"/>
    </w:rPr>
  </w:style>
  <w:style w:type="character" w:customStyle="1" w:styleId="1399">
    <w:name w:val="电子邮件签名 字符"/>
    <w:basedOn w:val="132"/>
    <w:link w:val="19"/>
    <w:uiPriority w:val="0"/>
    <w:rPr>
      <w:kern w:val="2"/>
      <w:szCs w:val="24"/>
    </w:rPr>
  </w:style>
  <w:style w:type="character" w:customStyle="1" w:styleId="1400">
    <w:name w:val="签名 字符"/>
    <w:basedOn w:val="132"/>
    <w:link w:val="58"/>
    <w:uiPriority w:val="0"/>
    <w:rPr>
      <w:kern w:val="2"/>
      <w:szCs w:val="24"/>
    </w:rPr>
  </w:style>
  <w:style w:type="character" w:customStyle="1" w:styleId="1401">
    <w:name w:val="sb1"/>
    <w:semiHidden/>
    <w:uiPriority w:val="0"/>
    <w:rPr>
      <w:sz w:val="15"/>
      <w:szCs w:val="15"/>
      <w:vertAlign w:val="superscript"/>
    </w:rPr>
  </w:style>
  <w:style w:type="paragraph" w:customStyle="1" w:styleId="1402">
    <w:name w:val="1标题2级"/>
    <w:basedOn w:val="1"/>
    <w:semiHidden/>
    <w:uiPriority w:val="0"/>
    <w:pPr>
      <w:widowControl/>
      <w:snapToGrid w:val="0"/>
      <w:spacing w:line="360" w:lineRule="auto"/>
      <w:jc w:val="left"/>
      <w:outlineLvl w:val="1"/>
    </w:pPr>
    <w:rPr>
      <w:b/>
      <w:sz w:val="32"/>
    </w:rPr>
  </w:style>
  <w:style w:type="paragraph" w:customStyle="1" w:styleId="1403">
    <w:name w:val="文本框图"/>
    <w:basedOn w:val="618"/>
    <w:uiPriority w:val="0"/>
    <w:pPr>
      <w:widowControl/>
      <w:autoSpaceDE w:val="0"/>
      <w:autoSpaceDN w:val="0"/>
      <w:adjustRightInd w:val="0"/>
      <w:jc w:val="left"/>
    </w:pPr>
    <w:rPr>
      <w:rFonts w:ascii="宋体" w:hAnsi="宋体" w:cs="宋体"/>
      <w:color w:val="000000"/>
      <w:kern w:val="0"/>
      <w:sz w:val="21"/>
      <w:szCs w:val="21"/>
      <w:lang w:val="zh-CN"/>
    </w:rPr>
  </w:style>
  <w:style w:type="paragraph" w:customStyle="1" w:styleId="1404">
    <w:name w:val="文本框图片"/>
    <w:basedOn w:val="1"/>
    <w:uiPriority w:val="0"/>
    <w:pPr>
      <w:widowControl/>
      <w:autoSpaceDE w:val="0"/>
      <w:autoSpaceDN w:val="0"/>
      <w:adjustRightInd w:val="0"/>
      <w:jc w:val="left"/>
    </w:pPr>
    <w:rPr>
      <w:rFonts w:ascii="宋体" w:hAnsi="宋体" w:eastAsia="宋体" w:cs="宋体"/>
      <w:bCs/>
      <w:color w:val="000000"/>
      <w:kern w:val="0"/>
      <w:sz w:val="21"/>
      <w:szCs w:val="21"/>
      <w:lang w:val="zh-CN"/>
    </w:rPr>
  </w:style>
  <w:style w:type="table" w:customStyle="1" w:styleId="1405">
    <w:name w:val="报告表格"/>
    <w:basedOn w:val="87"/>
    <w:uiPriority w:val="0"/>
    <w:pPr>
      <w:widowControl w:val="0"/>
      <w:spacing w:line="0" w:lineRule="atLeast"/>
      <w:jc w:val="center"/>
    </w:pPr>
    <w:rPr>
      <w:rFonts w:ascii="Times" w:hAnsi="Times"/>
      <w:sz w:val="21"/>
      <w:szCs w:val="21"/>
    </w:rPr>
    <w:tblPr>
      <w:jc w:val="center"/>
      <w:tblBorders>
        <w:top w:val="single" w:color="auto" w:sz="12" w:space="0"/>
        <w:bottom w:val="single" w:color="auto" w:sz="12" w:space="0"/>
        <w:insideH w:val="single" w:color="auto" w:sz="4" w:space="0"/>
        <w:insideV w:val="single" w:color="auto" w:sz="4" w:space="0"/>
      </w:tblBorders>
      <w:tblLayout w:type="fixed"/>
      <w:tblCellMar>
        <w:left w:w="28" w:type="dxa"/>
        <w:right w:w="28" w:type="dxa"/>
      </w:tblCellMar>
    </w:tblPr>
    <w:trPr>
      <w:jc w:val="center"/>
    </w:trPr>
    <w:tcPr>
      <w:vAlign w:val="center"/>
    </w:tcPr>
    <w:tblStylePr w:type="firstRow">
      <w:rPr>
        <w:rFonts w:eastAsia="黑体"/>
      </w:rPr>
      <w:tblPr>
        <w:tblLayout w:type="fixed"/>
      </w:tblPr>
      <w:trPr>
        <w:tblHeader/>
      </w:trPr>
    </w:tblStylePr>
    <w:tblStylePr w:type="firstCol">
      <w:rPr>
        <w:rFonts w:eastAsia="黑体"/>
      </w:rPr>
    </w:tblStylePr>
  </w:style>
  <w:style w:type="character" w:customStyle="1" w:styleId="1406">
    <w:name w:val="m11"/>
    <w:uiPriority w:val="0"/>
    <w:rPr>
      <w:sz w:val="21"/>
      <w:szCs w:val="21"/>
    </w:rPr>
  </w:style>
  <w:style w:type="character" w:customStyle="1" w:styleId="1407">
    <w:name w:val="style161"/>
    <w:uiPriority w:val="0"/>
    <w:rPr>
      <w:color w:val="000000"/>
      <w:sz w:val="21"/>
      <w:szCs w:val="21"/>
    </w:rPr>
  </w:style>
  <w:style w:type="paragraph" w:customStyle="1" w:styleId="1408">
    <w:name w:val="样式 表格文字 + 首行缩进:  2 字符"/>
    <w:basedOn w:val="1"/>
    <w:uiPriority w:val="0"/>
    <w:pPr>
      <w:widowControl/>
      <w:tabs>
        <w:tab w:val="left" w:pos="3060"/>
      </w:tabs>
      <w:adjustRightInd w:val="0"/>
      <w:snapToGrid w:val="0"/>
      <w:jc w:val="center"/>
    </w:pPr>
    <w:rPr>
      <w:rFonts w:ascii="仿宋_GB2312" w:hAnsi="MS Shell Dlg" w:cs="宋体"/>
      <w:snapToGrid w:val="0"/>
      <w:kern w:val="0"/>
      <w:sz w:val="24"/>
    </w:rPr>
  </w:style>
  <w:style w:type="character" w:customStyle="1" w:styleId="1409">
    <w:name w:val="表标题 Char"/>
    <w:link w:val="635"/>
    <w:uiPriority w:val="0"/>
    <w:rPr>
      <w:rFonts w:eastAsia="黑体"/>
      <w:kern w:val="2"/>
      <w:sz w:val="24"/>
      <w:szCs w:val="24"/>
    </w:rPr>
  </w:style>
  <w:style w:type="paragraph" w:customStyle="1" w:styleId="1410">
    <w:name w:val="报告1"/>
    <w:basedOn w:val="626"/>
    <w:uiPriority w:val="0"/>
    <w:pPr>
      <w:widowControl/>
      <w:overflowPunct/>
      <w:autoSpaceDE/>
      <w:autoSpaceDN/>
      <w:spacing w:before="0" w:beforeLines="0" w:after="0" w:afterLines="0" w:line="360" w:lineRule="auto"/>
      <w:ind w:firstLine="505" w:firstLineChars="0"/>
      <w:textAlignment w:val="auto"/>
    </w:pPr>
    <w:rPr>
      <w:rFonts w:ascii="TimesNewRoman" w:hAnsi="TimesNewRoman"/>
      <w:color w:val="auto"/>
      <w:spacing w:val="0"/>
      <w:kern w:val="24"/>
      <w:sz w:val="20"/>
      <w:szCs w:val="20"/>
    </w:rPr>
  </w:style>
  <w:style w:type="paragraph" w:customStyle="1" w:styleId="1411">
    <w:name w:val="body 1"/>
    <w:basedOn w:val="1"/>
    <w:uiPriority w:val="0"/>
    <w:pPr>
      <w:widowControl/>
      <w:adjustRightInd w:val="0"/>
      <w:spacing w:line="360" w:lineRule="atLeast"/>
      <w:jc w:val="left"/>
      <w:textAlignment w:val="baseline"/>
    </w:pPr>
    <w:rPr>
      <w:rFonts w:ascii="華康中楷體" w:eastAsia="華康中楷體"/>
      <w:spacing w:val="60"/>
      <w:kern w:val="0"/>
      <w:sz w:val="20"/>
      <w:lang w:eastAsia="zh-TW"/>
    </w:rPr>
  </w:style>
  <w:style w:type="paragraph" w:customStyle="1" w:styleId="1412">
    <w:name w:val="报告表正文"/>
    <w:basedOn w:val="1"/>
    <w:link w:val="1793"/>
    <w:uiPriority w:val="0"/>
    <w:pPr>
      <w:widowControl/>
      <w:adjustRightInd w:val="0"/>
      <w:spacing w:line="312" w:lineRule="auto"/>
      <w:ind w:left="113" w:right="113" w:firstLine="482"/>
      <w:jc w:val="left"/>
    </w:pPr>
    <w:rPr>
      <w:rFonts w:eastAsia="宋体"/>
      <w:kern w:val="0"/>
      <w:sz w:val="20"/>
    </w:rPr>
  </w:style>
  <w:style w:type="character" w:customStyle="1" w:styleId="1413">
    <w:name w:val="biaoti1"/>
    <w:uiPriority w:val="0"/>
    <w:rPr>
      <w:b/>
      <w:bCs/>
      <w:color w:val="000099"/>
      <w:sz w:val="24"/>
      <w:szCs w:val="24"/>
    </w:rPr>
  </w:style>
  <w:style w:type="paragraph" w:customStyle="1" w:styleId="1414">
    <w:name w:val="表、图名"/>
    <w:basedOn w:val="1"/>
    <w:uiPriority w:val="0"/>
    <w:pPr>
      <w:widowControl/>
      <w:adjustRightInd w:val="0"/>
      <w:snapToGrid w:val="0"/>
      <w:spacing w:line="360" w:lineRule="auto"/>
      <w:ind w:left="-6"/>
      <w:jc w:val="center"/>
    </w:pPr>
    <w:rPr>
      <w:rFonts w:ascii="黑体" w:hAnsi="宋体" w:eastAsia="黑体"/>
      <w:kern w:val="0"/>
      <w:sz w:val="20"/>
      <w:szCs w:val="24"/>
    </w:rPr>
  </w:style>
  <w:style w:type="paragraph" w:customStyle="1" w:styleId="1415">
    <w:name w:val="Indent1"/>
    <w:basedOn w:val="1"/>
    <w:uiPriority w:val="0"/>
    <w:pPr>
      <w:widowControl/>
      <w:overflowPunct w:val="0"/>
      <w:autoSpaceDE w:val="0"/>
      <w:autoSpaceDN w:val="0"/>
      <w:adjustRightInd w:val="0"/>
      <w:ind w:left="1440" w:hanging="720"/>
      <w:jc w:val="left"/>
      <w:textAlignment w:val="baseline"/>
    </w:pPr>
    <w:rPr>
      <w:rFonts w:ascii="Arial" w:hAnsi="Arial" w:eastAsia="宋体"/>
      <w:kern w:val="0"/>
      <w:sz w:val="22"/>
    </w:rPr>
  </w:style>
  <w:style w:type="paragraph" w:customStyle="1" w:styleId="1416">
    <w:name w:val="Document Map1"/>
    <w:basedOn w:val="1"/>
    <w:uiPriority w:val="0"/>
    <w:pPr>
      <w:widowControl/>
      <w:shd w:val="clear" w:color="auto" w:fill="000080"/>
      <w:adjustRightInd w:val="0"/>
      <w:jc w:val="left"/>
      <w:textAlignment w:val="baseline"/>
    </w:pPr>
    <w:rPr>
      <w:rFonts w:ascii="宋体" w:eastAsia="宋体"/>
      <w:kern w:val="0"/>
      <w:sz w:val="21"/>
    </w:rPr>
  </w:style>
  <w:style w:type="paragraph" w:customStyle="1" w:styleId="1417">
    <w:name w:val="IDC A-Head (2nd Line)"/>
    <w:basedOn w:val="1"/>
    <w:next w:val="1"/>
    <w:uiPriority w:val="0"/>
    <w:pPr>
      <w:widowControl/>
      <w:jc w:val="center"/>
    </w:pPr>
    <w:rPr>
      <w:rFonts w:eastAsia="宋体"/>
      <w:caps/>
      <w:kern w:val="0"/>
      <w:sz w:val="20"/>
    </w:rPr>
  </w:style>
  <w:style w:type="paragraph" w:customStyle="1" w:styleId="1418">
    <w:name w:val="单元格"/>
    <w:basedOn w:val="1"/>
    <w:uiPriority w:val="0"/>
    <w:pPr>
      <w:widowControl/>
      <w:jc w:val="center"/>
    </w:pPr>
    <w:rPr>
      <w:rFonts w:ascii="楷体_GB2312" w:eastAsia="楷体_GB2312"/>
      <w:sz w:val="21"/>
    </w:rPr>
  </w:style>
  <w:style w:type="paragraph" w:customStyle="1" w:styleId="1419">
    <w:name w:val="样式 (符号) 宋体 小四 居中 行距: 1.5 倍行距"/>
    <w:basedOn w:val="1"/>
    <w:uiPriority w:val="0"/>
    <w:pPr>
      <w:widowControl/>
      <w:spacing w:line="360" w:lineRule="auto"/>
      <w:jc w:val="center"/>
    </w:pPr>
    <w:rPr>
      <w:rFonts w:hAnsi="宋体" w:eastAsia="宋体" w:cs="宋体"/>
      <w:sz w:val="20"/>
    </w:rPr>
  </w:style>
  <w:style w:type="character" w:customStyle="1" w:styleId="1420">
    <w:name w:val="(a正文 Char1"/>
    <w:uiPriority w:val="0"/>
    <w:rPr>
      <w:rFonts w:eastAsia="仿宋_GB2312"/>
      <w:color w:val="000000"/>
      <w:kern w:val="2"/>
      <w:sz w:val="24"/>
      <w:szCs w:val="24"/>
      <w:lang w:val="en-US" w:eastAsia="zh-CN" w:bidi="ar-SA"/>
    </w:rPr>
  </w:style>
  <w:style w:type="character" w:customStyle="1" w:styleId="1421">
    <w:name w:val="font201"/>
    <w:uiPriority w:val="0"/>
  </w:style>
  <w:style w:type="character" w:customStyle="1" w:styleId="1422">
    <w:name w:val="zw1"/>
    <w:uiPriority w:val="0"/>
    <w:rPr>
      <w:rFonts w:hint="eastAsia" w:ascii="宋体" w:hAnsi="宋体" w:eastAsia="宋体"/>
      <w:sz w:val="22"/>
      <w:szCs w:val="22"/>
    </w:rPr>
  </w:style>
  <w:style w:type="character" w:customStyle="1" w:styleId="1423">
    <w:name w:val="3zw1"/>
    <w:basedOn w:val="132"/>
    <w:uiPriority w:val="0"/>
  </w:style>
  <w:style w:type="paragraph" w:customStyle="1" w:styleId="1424">
    <w:name w:val="日期1"/>
    <w:basedOn w:val="1"/>
    <w:next w:val="1"/>
    <w:uiPriority w:val="0"/>
    <w:pPr>
      <w:widowControl/>
      <w:adjustRightInd w:val="0"/>
      <w:spacing w:line="312" w:lineRule="atLeast"/>
      <w:jc w:val="left"/>
      <w:textAlignment w:val="baseline"/>
    </w:pPr>
    <w:rPr>
      <w:rFonts w:eastAsia="楷体_GB2312"/>
      <w:kern w:val="0"/>
    </w:rPr>
  </w:style>
  <w:style w:type="paragraph" w:customStyle="1" w:styleId="1425">
    <w:name w:val="表格内容2"/>
    <w:uiPriority w:val="0"/>
    <w:pPr>
      <w:jc w:val="center"/>
    </w:pPr>
    <w:rPr>
      <w:rFonts w:ascii="宋体" w:hAnsi="Times New Roman" w:eastAsia="宋体" w:cs="Times New Roman"/>
      <w:bCs/>
      <w:iCs/>
      <w:sz w:val="21"/>
      <w:lang w:val="en-US" w:eastAsia="zh-CN" w:bidi="ar-SA"/>
    </w:rPr>
  </w:style>
  <w:style w:type="character" w:customStyle="1" w:styleId="1426">
    <w:name w:val="viewthreadtxt"/>
    <w:basedOn w:val="132"/>
    <w:uiPriority w:val="0"/>
  </w:style>
  <w:style w:type="character" w:customStyle="1" w:styleId="1427">
    <w:name w:val="ft41"/>
    <w:uiPriority w:val="0"/>
    <w:rPr>
      <w:rFonts w:hint="eastAsia" w:ascii="宋体" w:hAnsi="宋体" w:eastAsia="宋体"/>
      <w:color w:val="000000"/>
      <w:sz w:val="18"/>
      <w:szCs w:val="18"/>
    </w:rPr>
  </w:style>
  <w:style w:type="paragraph" w:customStyle="1" w:styleId="1428">
    <w:name w:val="表格内部的标题"/>
    <w:basedOn w:val="1"/>
    <w:uiPriority w:val="0"/>
    <w:pPr>
      <w:keepNext/>
      <w:keepLines/>
      <w:widowControl/>
      <w:jc w:val="center"/>
    </w:pPr>
    <w:rPr>
      <w:rFonts w:ascii="黑体" w:eastAsia="黑体" w:cs="黑体"/>
      <w:sz w:val="20"/>
    </w:rPr>
  </w:style>
  <w:style w:type="character" w:customStyle="1" w:styleId="1429">
    <w:name w:val="postbody1"/>
    <w:uiPriority w:val="0"/>
    <w:rPr>
      <w:sz w:val="21"/>
      <w:szCs w:val="21"/>
    </w:rPr>
  </w:style>
  <w:style w:type="character" w:customStyle="1" w:styleId="1430">
    <w:name w:val="subtitleg"/>
    <w:basedOn w:val="132"/>
    <w:uiPriority w:val="0"/>
  </w:style>
  <w:style w:type="character" w:customStyle="1" w:styleId="1431">
    <w:name w:val="ziti21"/>
    <w:uiPriority w:val="0"/>
    <w:rPr>
      <w:rFonts w:hint="default" w:ascii="ˎ̥" w:hAnsi="ˎ̥"/>
      <w:color w:val="000000"/>
      <w:sz w:val="22"/>
      <w:szCs w:val="22"/>
      <w:u w:val="none"/>
    </w:rPr>
  </w:style>
  <w:style w:type="character" w:customStyle="1" w:styleId="1432">
    <w:name w:val="style1"/>
    <w:basedOn w:val="132"/>
    <w:uiPriority w:val="0"/>
  </w:style>
  <w:style w:type="character" w:customStyle="1" w:styleId="1433">
    <w:name w:val="正文01 Char Char Char"/>
    <w:uiPriority w:val="0"/>
    <w:rPr>
      <w:snapToGrid w:val="0"/>
      <w:color w:val="000000"/>
      <w:szCs w:val="24"/>
    </w:rPr>
  </w:style>
  <w:style w:type="character" w:customStyle="1" w:styleId="1434">
    <w:name w:val="wenzi1"/>
    <w:uiPriority w:val="0"/>
    <w:rPr>
      <w:rFonts w:hint="default" w:ascii="Ђˎ̥" w:hAnsi="Ђˎ̥"/>
      <w:color w:val="333333"/>
      <w:sz w:val="18"/>
      <w:szCs w:val="18"/>
      <w:u w:val="none"/>
    </w:rPr>
  </w:style>
  <w:style w:type="character" w:customStyle="1" w:styleId="1435">
    <w:name w:val="r1"/>
    <w:uiPriority w:val="0"/>
    <w:rPr>
      <w:color w:val="000000"/>
    </w:rPr>
  </w:style>
  <w:style w:type="character" w:customStyle="1" w:styleId="1436">
    <w:name w:val="contentwordstext1"/>
    <w:uiPriority w:val="0"/>
    <w:rPr>
      <w:rFonts w:hint="default" w:ascii="ˎ̥" w:hAnsi="ˎ̥"/>
      <w:sz w:val="21"/>
      <w:szCs w:val="21"/>
    </w:rPr>
  </w:style>
  <w:style w:type="character" w:customStyle="1" w:styleId="1437">
    <w:name w:val="hottext1"/>
    <w:uiPriority w:val="0"/>
    <w:rPr>
      <w:rFonts w:hint="eastAsia" w:ascii="宋体" w:hAnsi="宋体" w:eastAsia="宋体"/>
      <w:color w:val="333333"/>
      <w:sz w:val="13"/>
      <w:szCs w:val="13"/>
      <w:u w:val="none"/>
    </w:rPr>
  </w:style>
  <w:style w:type="character" w:customStyle="1" w:styleId="1438">
    <w:name w:val="Char Char19"/>
    <w:semiHidden/>
    <w:uiPriority w:val="0"/>
    <w:rPr>
      <w:rFonts w:eastAsia="宋体"/>
      <w:kern w:val="2"/>
      <w:sz w:val="24"/>
      <w:szCs w:val="24"/>
      <w:lang w:val="en-US" w:eastAsia="zh-CN" w:bidi="ar-SA"/>
    </w:rPr>
  </w:style>
  <w:style w:type="paragraph" w:customStyle="1" w:styleId="1439">
    <w:name w:val="图1"/>
    <w:basedOn w:val="1"/>
    <w:next w:val="1"/>
    <w:uiPriority w:val="0"/>
    <w:pPr>
      <w:widowControl/>
      <w:tabs>
        <w:tab w:val="left" w:pos="1200"/>
      </w:tabs>
      <w:spacing w:beforeLines="50" w:afterLines="100" w:line="360" w:lineRule="auto"/>
      <w:ind w:left="2210" w:leftChars="400" w:hanging="748" w:hangingChars="200"/>
      <w:jc w:val="center"/>
    </w:pPr>
    <w:rPr>
      <w:rFonts w:eastAsia="宋体"/>
      <w:kern w:val="0"/>
      <w:sz w:val="20"/>
      <w:szCs w:val="24"/>
    </w:rPr>
  </w:style>
  <w:style w:type="paragraph" w:customStyle="1" w:styleId="1440">
    <w:name w:val="小四正文缩进2"/>
    <w:basedOn w:val="1"/>
    <w:link w:val="1441"/>
    <w:uiPriority w:val="0"/>
    <w:pPr>
      <w:widowControl/>
      <w:spacing w:line="360" w:lineRule="auto"/>
      <w:ind w:firstLine="200" w:firstLineChars="200"/>
      <w:jc w:val="left"/>
    </w:pPr>
    <w:rPr>
      <w:rFonts w:eastAsia="宋体"/>
      <w:sz w:val="20"/>
      <w:szCs w:val="24"/>
    </w:rPr>
  </w:style>
  <w:style w:type="character" w:customStyle="1" w:styleId="1441">
    <w:name w:val="小四正文缩进2 Char"/>
    <w:link w:val="1440"/>
    <w:uiPriority w:val="0"/>
    <w:rPr>
      <w:kern w:val="2"/>
      <w:szCs w:val="24"/>
    </w:rPr>
  </w:style>
  <w:style w:type="paragraph" w:customStyle="1" w:styleId="1442">
    <w:name w:val="小四正文"/>
    <w:basedOn w:val="1"/>
    <w:uiPriority w:val="0"/>
    <w:pPr>
      <w:widowControl/>
      <w:spacing w:line="360" w:lineRule="auto"/>
      <w:ind w:firstLine="200" w:firstLineChars="200"/>
      <w:jc w:val="left"/>
    </w:pPr>
    <w:rPr>
      <w:rFonts w:eastAsia="宋体"/>
      <w:sz w:val="20"/>
      <w:szCs w:val="24"/>
    </w:rPr>
  </w:style>
  <w:style w:type="paragraph" w:customStyle="1" w:styleId="1443">
    <w:name w:val="表中"/>
    <w:basedOn w:val="1"/>
    <w:link w:val="1444"/>
    <w:uiPriority w:val="0"/>
    <w:pPr>
      <w:widowControl/>
      <w:jc w:val="center"/>
    </w:pPr>
    <w:rPr>
      <w:rFonts w:eastAsia="宋体"/>
      <w:bCs/>
      <w:sz w:val="21"/>
      <w:szCs w:val="21"/>
    </w:rPr>
  </w:style>
  <w:style w:type="character" w:customStyle="1" w:styleId="1444">
    <w:name w:val="表中 Char"/>
    <w:link w:val="1443"/>
    <w:uiPriority w:val="0"/>
    <w:rPr>
      <w:bCs/>
      <w:kern w:val="2"/>
      <w:sz w:val="21"/>
      <w:szCs w:val="21"/>
    </w:rPr>
  </w:style>
  <w:style w:type="paragraph" w:customStyle="1" w:styleId="1445">
    <w:name w:val="表格居左"/>
    <w:basedOn w:val="1"/>
    <w:link w:val="1446"/>
    <w:uiPriority w:val="0"/>
    <w:pPr>
      <w:widowControl/>
      <w:jc w:val="center"/>
    </w:pPr>
    <w:rPr>
      <w:rFonts w:eastAsia="宋体"/>
      <w:bCs/>
      <w:sz w:val="21"/>
      <w:szCs w:val="21"/>
    </w:rPr>
  </w:style>
  <w:style w:type="character" w:customStyle="1" w:styleId="1446">
    <w:name w:val="表格居左 Char1"/>
    <w:link w:val="1445"/>
    <w:uiPriority w:val="0"/>
    <w:rPr>
      <w:bCs/>
      <w:kern w:val="2"/>
      <w:sz w:val="21"/>
      <w:szCs w:val="21"/>
    </w:rPr>
  </w:style>
  <w:style w:type="paragraph" w:customStyle="1" w:styleId="1447">
    <w:name w:val="表格居左 Char"/>
    <w:basedOn w:val="1"/>
    <w:link w:val="1448"/>
    <w:semiHidden/>
    <w:uiPriority w:val="0"/>
    <w:pPr>
      <w:widowControl/>
      <w:jc w:val="left"/>
    </w:pPr>
    <w:rPr>
      <w:rFonts w:eastAsia="宋体"/>
      <w:bCs/>
      <w:sz w:val="21"/>
      <w:szCs w:val="21"/>
    </w:rPr>
  </w:style>
  <w:style w:type="character" w:customStyle="1" w:styleId="1448">
    <w:name w:val="表格居左 Char Char"/>
    <w:link w:val="1447"/>
    <w:semiHidden/>
    <w:uiPriority w:val="0"/>
    <w:rPr>
      <w:bCs/>
      <w:kern w:val="2"/>
      <w:sz w:val="21"/>
      <w:szCs w:val="21"/>
    </w:rPr>
  </w:style>
  <w:style w:type="character" w:customStyle="1" w:styleId="1449">
    <w:name w:val="正文缩进2 Char1"/>
    <w:link w:val="1255"/>
    <w:uiPriority w:val="0"/>
    <w:rPr>
      <w:kern w:val="2"/>
      <w:sz w:val="28"/>
    </w:rPr>
  </w:style>
  <w:style w:type="paragraph" w:customStyle="1" w:styleId="1450">
    <w:name w:val="2缩进正文"/>
    <w:basedOn w:val="1"/>
    <w:link w:val="1451"/>
    <w:uiPriority w:val="0"/>
    <w:pPr>
      <w:widowControl/>
      <w:spacing w:line="360" w:lineRule="auto"/>
      <w:ind w:firstLine="200" w:firstLineChars="200"/>
      <w:jc w:val="left"/>
    </w:pPr>
    <w:rPr>
      <w:rFonts w:eastAsia="宋体"/>
      <w:sz w:val="20"/>
      <w:szCs w:val="24"/>
    </w:rPr>
  </w:style>
  <w:style w:type="character" w:customStyle="1" w:styleId="1451">
    <w:name w:val="2缩进正文 Char"/>
    <w:link w:val="1450"/>
    <w:uiPriority w:val="0"/>
    <w:rPr>
      <w:kern w:val="2"/>
      <w:szCs w:val="24"/>
    </w:rPr>
  </w:style>
  <w:style w:type="paragraph" w:customStyle="1" w:styleId="1452">
    <w:name w:val="表格表头"/>
    <w:basedOn w:val="854"/>
    <w:link w:val="1453"/>
    <w:uiPriority w:val="0"/>
    <w:pPr>
      <w:spacing w:before="81" w:beforeLines="25" w:after="81" w:afterLines="25" w:line="200" w:lineRule="exact"/>
      <w:outlineLvl w:val="4"/>
    </w:pPr>
    <w:rPr>
      <w:rFonts w:eastAsia="宋体"/>
      <w:b/>
      <w:szCs w:val="24"/>
    </w:rPr>
  </w:style>
  <w:style w:type="character" w:customStyle="1" w:styleId="1453">
    <w:name w:val="表格表头 Char"/>
    <w:link w:val="1452"/>
    <w:uiPriority w:val="0"/>
    <w:rPr>
      <w:b/>
      <w:kern w:val="2"/>
      <w:sz w:val="21"/>
      <w:szCs w:val="24"/>
    </w:rPr>
  </w:style>
  <w:style w:type="character" w:customStyle="1" w:styleId="1454">
    <w:name w:val="Char Char22"/>
    <w:uiPriority w:val="0"/>
    <w:rPr>
      <w:rFonts w:eastAsia="宋体"/>
      <w:kern w:val="2"/>
      <w:sz w:val="28"/>
      <w:lang w:val="en-US" w:eastAsia="zh-CN" w:bidi="ar-SA"/>
    </w:rPr>
  </w:style>
  <w:style w:type="character" w:customStyle="1" w:styleId="1455">
    <w:name w:val="Char Char21"/>
    <w:uiPriority w:val="0"/>
    <w:rPr>
      <w:rFonts w:eastAsia="宋体"/>
      <w:kern w:val="2"/>
      <w:sz w:val="27"/>
      <w:lang w:val="en-US" w:eastAsia="zh-CN" w:bidi="ar-SA"/>
    </w:rPr>
  </w:style>
  <w:style w:type="character" w:customStyle="1" w:styleId="1456">
    <w:name w:val="Char Char18"/>
    <w:uiPriority w:val="0"/>
    <w:rPr>
      <w:rFonts w:eastAsia="宋体"/>
      <w:kern w:val="2"/>
      <w:sz w:val="24"/>
      <w:szCs w:val="24"/>
      <w:lang w:val="en-US" w:eastAsia="zh-CN" w:bidi="ar-SA"/>
    </w:rPr>
  </w:style>
  <w:style w:type="character" w:customStyle="1" w:styleId="1457">
    <w:name w:val="正文文本缩进 3 Char1"/>
    <w:semiHidden/>
    <w:uiPriority w:val="0"/>
    <w:rPr>
      <w:kern w:val="2"/>
      <w:sz w:val="16"/>
      <w:szCs w:val="16"/>
    </w:rPr>
  </w:style>
  <w:style w:type="character" w:customStyle="1" w:styleId="1458">
    <w:name w:val="小表格"/>
    <w:uiPriority w:val="0"/>
    <w:rPr>
      <w:rFonts w:ascii="Times New Roman" w:hAnsi="Times New Roman" w:eastAsia="宋体"/>
      <w:sz w:val="18"/>
    </w:rPr>
  </w:style>
  <w:style w:type="paragraph" w:customStyle="1" w:styleId="1459">
    <w:name w:val="5 Char"/>
    <w:basedOn w:val="1"/>
    <w:uiPriority w:val="0"/>
    <w:pPr>
      <w:widowControl/>
      <w:jc w:val="left"/>
    </w:pPr>
    <w:rPr>
      <w:rFonts w:eastAsia="宋体"/>
      <w:sz w:val="20"/>
      <w:szCs w:val="24"/>
    </w:rPr>
  </w:style>
  <w:style w:type="character" w:customStyle="1" w:styleId="1460">
    <w:name w:val="反应表格"/>
    <w:uiPriority w:val="0"/>
    <w:rPr>
      <w:rFonts w:ascii="Times New Roman" w:hAnsi="Times New Roman" w:eastAsia="宋体"/>
      <w:bCs/>
      <w:color w:val="000000"/>
      <w:sz w:val="21"/>
    </w:rPr>
  </w:style>
  <w:style w:type="paragraph" w:customStyle="1" w:styleId="1461">
    <w:name w:val="反映表格"/>
    <w:basedOn w:val="1"/>
    <w:uiPriority w:val="0"/>
    <w:pPr>
      <w:widowControl/>
      <w:jc w:val="center"/>
    </w:pPr>
    <w:rPr>
      <w:rFonts w:ascii="Calibri" w:hAnsi="Calibri" w:eastAsia="宋体"/>
      <w:sz w:val="21"/>
      <w:szCs w:val="21"/>
    </w:rPr>
  </w:style>
  <w:style w:type="paragraph" w:customStyle="1" w:styleId="1462">
    <w:name w:val="Char1 Char Char Char Char Char"/>
    <w:basedOn w:val="1"/>
    <w:uiPriority w:val="0"/>
    <w:pPr>
      <w:widowControl/>
      <w:jc w:val="left"/>
    </w:pPr>
    <w:rPr>
      <w:rFonts w:eastAsia="宋体"/>
      <w:sz w:val="20"/>
      <w:szCs w:val="24"/>
    </w:rPr>
  </w:style>
  <w:style w:type="table" w:customStyle="1" w:styleId="1463">
    <w:name w:val="浅色底纹1"/>
    <w:basedOn w:val="87"/>
    <w:uiPriority w:val="0"/>
    <w:rPr>
      <w:color w:val="000000"/>
    </w:rPr>
    <w:tblPr>
      <w:tblBorders>
        <w:top w:val="single" w:color="000000" w:sz="8" w:space="0"/>
        <w:bottom w:val="single" w:color="000000" w:sz="8" w:space="0"/>
      </w:tblBorders>
      <w:tblLayout w:type="fixed"/>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464">
    <w:name w:val="TOC Heading"/>
    <w:basedOn w:val="2"/>
    <w:next w:val="1"/>
    <w:qFormat/>
    <w:uiPriority w:val="0"/>
    <w:pPr>
      <w:pageBreakBefore w:val="0"/>
      <w:widowControl/>
      <w:tabs>
        <w:tab w:val="clear" w:pos="1080"/>
      </w:tabs>
      <w:spacing w:before="480" w:after="0" w:line="276" w:lineRule="auto"/>
      <w:ind w:left="0" w:firstLine="0"/>
      <w:jc w:val="left"/>
      <w:outlineLvl w:val="9"/>
    </w:pPr>
    <w:rPr>
      <w:rFonts w:ascii="Cambria" w:hAnsi="Cambria"/>
      <w:bCs/>
      <w:color w:val="365F91"/>
      <w:kern w:val="0"/>
      <w:sz w:val="28"/>
      <w:szCs w:val="28"/>
      <w:lang w:val="en-US" w:eastAsia="zh-CN"/>
    </w:rPr>
  </w:style>
  <w:style w:type="paragraph" w:customStyle="1" w:styleId="1465">
    <w:name w:val="正文 + (中文) 4级（小）标题"/>
    <w:basedOn w:val="1"/>
    <w:uiPriority w:val="0"/>
    <w:pPr>
      <w:widowControl/>
      <w:spacing w:line="360" w:lineRule="auto"/>
      <w:jc w:val="center"/>
    </w:pPr>
    <w:rPr>
      <w:rFonts w:eastAsia="黑体"/>
      <w:sz w:val="20"/>
      <w:szCs w:val="24"/>
    </w:rPr>
  </w:style>
  <w:style w:type="character" w:customStyle="1" w:styleId="1466">
    <w:name w:val="正文文字1 Char1"/>
    <w:uiPriority w:val="0"/>
    <w:rPr>
      <w:rFonts w:eastAsia="宋体"/>
      <w:kern w:val="2"/>
      <w:sz w:val="24"/>
      <w:szCs w:val="24"/>
      <w:lang w:val="en-US" w:eastAsia="zh-CN" w:bidi="ar-SA"/>
    </w:rPr>
  </w:style>
  <w:style w:type="character" w:customStyle="1" w:styleId="1467">
    <w:name w:val="北山简报正文 Char1"/>
    <w:semiHidden/>
    <w:uiPriority w:val="0"/>
    <w:rPr>
      <w:rFonts w:ascii="Times New Roman" w:hAnsi="Times New Roman"/>
      <w:kern w:val="2"/>
      <w:sz w:val="24"/>
      <w:szCs w:val="24"/>
    </w:rPr>
  </w:style>
  <w:style w:type="character" w:customStyle="1" w:styleId="1468">
    <w:name w:val="value"/>
    <w:basedOn w:val="132"/>
    <w:uiPriority w:val="0"/>
  </w:style>
  <w:style w:type="character" w:customStyle="1" w:styleId="1469">
    <w:name w:val="脚注文本 Char1"/>
    <w:uiPriority w:val="0"/>
    <w:rPr>
      <w:kern w:val="2"/>
      <w:sz w:val="18"/>
      <w:szCs w:val="18"/>
    </w:rPr>
  </w:style>
  <w:style w:type="paragraph" w:customStyle="1" w:styleId="1470">
    <w:name w:val="Revision"/>
    <w:hidden/>
    <w:semiHidden/>
    <w:uiPriority w:val="0"/>
    <w:rPr>
      <w:rFonts w:ascii="Times New Roman" w:hAnsi="Times New Roman" w:eastAsia="宋体" w:cs="Times New Roman"/>
      <w:kern w:val="2"/>
      <w:sz w:val="24"/>
      <w:szCs w:val="24"/>
      <w:lang w:val="en-US" w:eastAsia="zh-CN" w:bidi="ar-SA"/>
    </w:rPr>
  </w:style>
  <w:style w:type="paragraph" w:customStyle="1" w:styleId="1471">
    <w:name w:val="样式 报告正文 + 首行缩进:  2 字符 Char Char"/>
    <w:basedOn w:val="1"/>
    <w:link w:val="1472"/>
    <w:uiPriority w:val="0"/>
    <w:pPr>
      <w:widowControl/>
      <w:spacing w:line="312" w:lineRule="auto"/>
      <w:ind w:firstLine="600" w:firstLineChars="200"/>
      <w:jc w:val="left"/>
    </w:pPr>
    <w:rPr>
      <w:rFonts w:eastAsia="楷体_GB2312" w:cs="宋体"/>
      <w:bCs/>
      <w:sz w:val="30"/>
      <w:szCs w:val="24"/>
    </w:rPr>
  </w:style>
  <w:style w:type="character" w:customStyle="1" w:styleId="1472">
    <w:name w:val="样式 报告正文 + 首行缩进:  2 字符 Char Char Char"/>
    <w:link w:val="1471"/>
    <w:uiPriority w:val="0"/>
    <w:rPr>
      <w:rFonts w:eastAsia="楷体_GB2312" w:cs="宋体"/>
      <w:bCs/>
      <w:kern w:val="2"/>
      <w:sz w:val="30"/>
      <w:szCs w:val="24"/>
    </w:rPr>
  </w:style>
  <w:style w:type="character" w:customStyle="1" w:styleId="1473">
    <w:name w:val="Carattere Char"/>
    <w:uiPriority w:val="0"/>
    <w:rPr>
      <w:rFonts w:ascii="Courier New" w:hAnsi="Courier New"/>
      <w:lang w:val="en-GB" w:eastAsia="it-IT" w:bidi="ar-SA"/>
    </w:rPr>
  </w:style>
  <w:style w:type="character" w:customStyle="1" w:styleId="1474">
    <w:name w:val="Char Char1 Char2"/>
    <w:uiPriority w:val="0"/>
    <w:rPr>
      <w:rFonts w:ascii="宋体" w:hAnsi="宋体" w:eastAsia="宋体" w:cs="宋体"/>
      <w:kern w:val="2"/>
      <w:sz w:val="24"/>
      <w:szCs w:val="24"/>
      <w:lang w:val="en-US" w:eastAsia="zh-CN" w:bidi="ar-SA"/>
    </w:rPr>
  </w:style>
  <w:style w:type="paragraph" w:customStyle="1" w:styleId="1475">
    <w:name w:val="Char Char Char Char Char Char Char Char Char Char Char Char Char Char Char Char2"/>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476">
    <w:name w:val="Char Char Char Char1"/>
    <w:basedOn w:val="1"/>
    <w:uiPriority w:val="0"/>
    <w:pPr>
      <w:widowControl/>
      <w:jc w:val="left"/>
    </w:pPr>
    <w:rPr>
      <w:rFonts w:eastAsia="宋体"/>
      <w:sz w:val="20"/>
      <w:szCs w:val="24"/>
    </w:rPr>
  </w:style>
  <w:style w:type="character" w:customStyle="1" w:styleId="1477">
    <w:name w:val="表格正文 Char1"/>
    <w:uiPriority w:val="0"/>
    <w:rPr>
      <w:rFonts w:eastAsia="宋体"/>
      <w:kern w:val="2"/>
      <w:sz w:val="21"/>
      <w:szCs w:val="24"/>
      <w:lang w:val="en-US" w:eastAsia="zh-CN" w:bidi="ar-SA"/>
    </w:rPr>
  </w:style>
  <w:style w:type="paragraph" w:customStyle="1" w:styleId="1478">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character" w:customStyle="1" w:styleId="1479">
    <w:name w:val="第二级标题 Char"/>
    <w:link w:val="1309"/>
    <w:uiPriority w:val="0"/>
    <w:rPr>
      <w:kern w:val="2"/>
      <w:sz w:val="24"/>
      <w:szCs w:val="24"/>
      <w:lang w:val="zh-CN" w:eastAsia="zh-CN"/>
    </w:rPr>
  </w:style>
  <w:style w:type="character" w:customStyle="1" w:styleId="1480">
    <w:name w:val="5文章(治) Char Char"/>
    <w:link w:val="846"/>
    <w:uiPriority w:val="0"/>
    <w:rPr>
      <w:rFonts w:ascii="宋体" w:hAnsi="宋体"/>
      <w:snapToGrid w:val="0"/>
      <w:kern w:val="2"/>
      <w:sz w:val="24"/>
      <w:szCs w:val="24"/>
    </w:rPr>
  </w:style>
  <w:style w:type="paragraph" w:customStyle="1" w:styleId="1481">
    <w:name w:val="列表标题"/>
    <w:basedOn w:val="1"/>
    <w:next w:val="1"/>
    <w:uiPriority w:val="0"/>
    <w:pPr>
      <w:widowControl/>
      <w:jc w:val="center"/>
    </w:pPr>
    <w:rPr>
      <w:rFonts w:eastAsia="宋体"/>
      <w:sz w:val="20"/>
    </w:rPr>
  </w:style>
  <w:style w:type="paragraph" w:customStyle="1" w:styleId="1482">
    <w:name w:val="xl740"/>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0"/>
      <w:szCs w:val="24"/>
    </w:rPr>
  </w:style>
  <w:style w:type="character" w:customStyle="1" w:styleId="1483">
    <w:name w:val="unnamed3"/>
    <w:basedOn w:val="132"/>
    <w:uiPriority w:val="0"/>
  </w:style>
  <w:style w:type="paragraph" w:customStyle="1" w:styleId="1484">
    <w:name w:val="报告书表格"/>
    <w:basedOn w:val="1"/>
    <w:uiPriority w:val="0"/>
    <w:pPr>
      <w:widowControl/>
      <w:adjustRightInd w:val="0"/>
      <w:spacing w:line="240" w:lineRule="atLeast"/>
      <w:jc w:val="center"/>
      <w:textAlignment w:val="baseline"/>
    </w:pPr>
    <w:rPr>
      <w:rFonts w:eastAsia="宋体"/>
      <w:kern w:val="0"/>
      <w:sz w:val="20"/>
    </w:rPr>
  </w:style>
  <w:style w:type="paragraph" w:customStyle="1" w:styleId="1485">
    <w:name w:val="缺省文本"/>
    <w:basedOn w:val="1"/>
    <w:uiPriority w:val="0"/>
    <w:pPr>
      <w:widowControl/>
      <w:autoSpaceDE w:val="0"/>
      <w:autoSpaceDN w:val="0"/>
      <w:adjustRightInd w:val="0"/>
      <w:jc w:val="left"/>
    </w:pPr>
    <w:rPr>
      <w:rFonts w:eastAsia="宋体"/>
      <w:kern w:val="0"/>
      <w:sz w:val="20"/>
    </w:rPr>
  </w:style>
  <w:style w:type="paragraph" w:customStyle="1" w:styleId="1486">
    <w:name w:val="样式 首行缩进:  0 字符"/>
    <w:basedOn w:val="1"/>
    <w:qFormat/>
    <w:uiPriority w:val="0"/>
    <w:pPr>
      <w:widowControl/>
      <w:spacing w:line="360" w:lineRule="auto"/>
      <w:ind w:firstLine="200" w:firstLineChars="200"/>
      <w:jc w:val="left"/>
    </w:pPr>
    <w:rPr>
      <w:rFonts w:eastAsia="宋体"/>
      <w:sz w:val="20"/>
    </w:rPr>
  </w:style>
  <w:style w:type="character" w:customStyle="1" w:styleId="1487">
    <w:name w:val="infodetail"/>
    <w:basedOn w:val="132"/>
    <w:uiPriority w:val="0"/>
  </w:style>
  <w:style w:type="paragraph" w:customStyle="1" w:styleId="1488">
    <w:name w:val="样式 正文文字 + 楷体_GB2312 四号 首行缩进:  0.93 厘米"/>
    <w:basedOn w:val="33"/>
    <w:uiPriority w:val="0"/>
    <w:pPr>
      <w:widowControl/>
      <w:snapToGrid w:val="0"/>
      <w:spacing w:after="0" w:line="500" w:lineRule="exact"/>
      <w:ind w:firstLine="560" w:firstLineChars="200"/>
    </w:pPr>
    <w:rPr>
      <w:rFonts w:ascii="楷体_GB2312" w:hAnsi="宋体" w:eastAsia="楷体_GB2312"/>
      <w:color w:val="000000"/>
      <w:szCs w:val="28"/>
      <w:lang w:val="en-US" w:eastAsia="zh-CN"/>
    </w:rPr>
  </w:style>
  <w:style w:type="character" w:customStyle="1" w:styleId="1489">
    <w:name w:val="css-text3"/>
    <w:basedOn w:val="132"/>
    <w:uiPriority w:val="0"/>
  </w:style>
  <w:style w:type="character" w:customStyle="1" w:styleId="1490">
    <w:name w:val="style15"/>
    <w:basedOn w:val="132"/>
    <w:uiPriority w:val="0"/>
  </w:style>
  <w:style w:type="character" w:customStyle="1" w:styleId="1491">
    <w:name w:val="style14"/>
    <w:basedOn w:val="132"/>
    <w:uiPriority w:val="0"/>
  </w:style>
  <w:style w:type="paragraph" w:customStyle="1" w:styleId="1492">
    <w:name w:val="样式 标题 3 + 段前: 0.5 行"/>
    <w:basedOn w:val="5"/>
    <w:uiPriority w:val="0"/>
    <w:pPr>
      <w:widowControl/>
      <w:numPr>
        <w:numId w:val="0"/>
      </w:numPr>
      <w:tabs>
        <w:tab w:val="left" w:pos="720"/>
      </w:tabs>
      <w:spacing w:before="0" w:after="0" w:line="320" w:lineRule="atLeast"/>
      <w:ind w:left="720" w:hanging="720"/>
      <w:jc w:val="left"/>
    </w:pPr>
    <w:rPr>
      <w:rFonts w:ascii="Times New Roman" w:eastAsia="黑体" w:cs="宋体"/>
      <w:b w:val="0"/>
      <w:bCs w:val="0"/>
      <w:color w:val="000000"/>
      <w:kern w:val="2"/>
      <w:sz w:val="28"/>
      <w:lang w:val="en-US" w:eastAsia="zh-CN"/>
    </w:rPr>
  </w:style>
  <w:style w:type="character" w:customStyle="1" w:styleId="1493">
    <w:name w:val="text_new"/>
    <w:basedOn w:val="132"/>
    <w:uiPriority w:val="0"/>
  </w:style>
  <w:style w:type="paragraph" w:customStyle="1" w:styleId="1494">
    <w:name w:val="wtext"/>
    <w:basedOn w:val="1"/>
    <w:uiPriority w:val="0"/>
    <w:pPr>
      <w:widowControl/>
      <w:spacing w:before="100" w:beforeAutospacing="1" w:after="100" w:afterAutospacing="1"/>
      <w:ind w:firstLine="480"/>
      <w:jc w:val="left"/>
    </w:pPr>
    <w:rPr>
      <w:rFonts w:eastAsia="宋体"/>
      <w:color w:val="000000"/>
      <w:kern w:val="0"/>
      <w:sz w:val="22"/>
      <w:szCs w:val="22"/>
    </w:rPr>
  </w:style>
  <w:style w:type="paragraph" w:customStyle="1" w:styleId="1495">
    <w:name w:val="样式 标题 2 + 行距: 1.5 倍行距"/>
    <w:basedOn w:val="3"/>
    <w:uiPriority w:val="0"/>
    <w:pPr>
      <w:widowControl/>
      <w:numPr>
        <w:ilvl w:val="0"/>
        <w:numId w:val="0"/>
      </w:numPr>
      <w:spacing w:before="0" w:after="145" w:afterLines="50" w:line="460" w:lineRule="exact"/>
      <w:jc w:val="left"/>
    </w:pPr>
    <w:rPr>
      <w:rFonts w:ascii="Times New Roman" w:hAnsi="宋体" w:eastAsia="宋体"/>
      <w:b/>
      <w:bCs/>
      <w:szCs w:val="28"/>
      <w:lang w:val="en-US" w:eastAsia="zh-CN"/>
    </w:rPr>
  </w:style>
  <w:style w:type="paragraph" w:customStyle="1" w:styleId="1496">
    <w:name w:val="样式 样式 样式 列表 + 左侧:  0 厘米 悬挂缩进: 5.85 字符 + 行距: 固定值 24 磅 + 首行缩进:  0...."/>
    <w:basedOn w:val="1"/>
    <w:uiPriority w:val="0"/>
    <w:pPr>
      <w:framePr w:hSpace="180" w:wrap="around" w:vAnchor="text" w:hAnchor="margin" w:xAlign="center" w:y="202"/>
      <w:widowControl/>
      <w:autoSpaceDE w:val="0"/>
      <w:autoSpaceDN w:val="0"/>
      <w:adjustRightInd w:val="0"/>
      <w:spacing w:line="240" w:lineRule="exact"/>
      <w:jc w:val="left"/>
    </w:pPr>
    <w:rPr>
      <w:rFonts w:ascii="宋体" w:eastAsia="宋体" w:cs="宋体"/>
      <w:sz w:val="21"/>
      <w:szCs w:val="21"/>
      <w:lang w:val="zh-CN"/>
    </w:rPr>
  </w:style>
  <w:style w:type="paragraph" w:customStyle="1" w:styleId="1497">
    <w:name w:val="样式 标题 11.标题 1 + 行距: 固定值 23 磅"/>
    <w:basedOn w:val="2"/>
    <w:uiPriority w:val="0"/>
    <w:pPr>
      <w:widowControl/>
      <w:tabs>
        <w:tab w:val="left" w:pos="360"/>
        <w:tab w:val="clear" w:pos="1080"/>
      </w:tabs>
      <w:spacing w:before="0" w:after="0" w:line="460" w:lineRule="exact"/>
      <w:ind w:left="284" w:hanging="284"/>
      <w:jc w:val="left"/>
      <w:textAlignment w:val="top"/>
    </w:pPr>
    <w:rPr>
      <w:rFonts w:cs="宋体"/>
      <w:bCs/>
      <w:kern w:val="2"/>
      <w:lang w:val="en-US" w:eastAsia="zh-CN"/>
    </w:rPr>
  </w:style>
  <w:style w:type="paragraph" w:customStyle="1" w:styleId="1498">
    <w:name w:val="样式 标题 2 + 宋体 三号 左侧:  0 厘米 悬挂缩进: 2.39 字符 段前: 0 磅 段后: 0 磅 行距..."/>
    <w:basedOn w:val="3"/>
    <w:uiPriority w:val="0"/>
    <w:pPr>
      <w:widowControl/>
      <w:numPr>
        <w:numId w:val="0"/>
      </w:numPr>
      <w:tabs>
        <w:tab w:val="left" w:pos="3996"/>
      </w:tabs>
      <w:spacing w:before="0" w:after="0" w:line="460" w:lineRule="exact"/>
      <w:ind w:left="3996" w:hanging="576"/>
      <w:jc w:val="left"/>
    </w:pPr>
    <w:rPr>
      <w:rFonts w:ascii="宋体" w:hAnsi="宋体" w:eastAsia="宋体" w:cs="宋体"/>
      <w:b/>
      <w:bCs/>
      <w:sz w:val="32"/>
      <w:lang w:val="en-US" w:eastAsia="zh-CN"/>
    </w:rPr>
  </w:style>
  <w:style w:type="paragraph" w:customStyle="1" w:styleId="1499">
    <w:name w:val="单行主体文本"/>
    <w:basedOn w:val="1"/>
    <w:uiPriority w:val="0"/>
    <w:pPr>
      <w:widowControl/>
      <w:autoSpaceDE w:val="0"/>
      <w:autoSpaceDN w:val="0"/>
      <w:adjustRightInd w:val="0"/>
      <w:jc w:val="left"/>
    </w:pPr>
    <w:rPr>
      <w:rFonts w:eastAsia="宋体"/>
      <w:kern w:val="0"/>
      <w:sz w:val="20"/>
    </w:rPr>
  </w:style>
  <w:style w:type="paragraph" w:customStyle="1" w:styleId="1500">
    <w:name w:val="样式 标题 3标题 3 Char标题 3 Char Char Char Char Char Char Char Char C..."/>
    <w:basedOn w:val="5"/>
    <w:uiPriority w:val="0"/>
    <w:pPr>
      <w:widowControl/>
      <w:numPr>
        <w:ilvl w:val="0"/>
        <w:numId w:val="0"/>
      </w:numPr>
      <w:tabs>
        <w:tab w:val="left" w:pos="720"/>
      </w:tabs>
      <w:spacing w:before="0" w:after="0" w:line="360" w:lineRule="auto"/>
      <w:ind w:left="720" w:hanging="720"/>
      <w:jc w:val="left"/>
    </w:pPr>
    <w:rPr>
      <w:rFonts w:ascii="Arial" w:hAnsi="Arial" w:eastAsia="Arial"/>
      <w:bCs w:val="0"/>
      <w:kern w:val="2"/>
      <w:sz w:val="20"/>
      <w:lang w:val="en-US" w:eastAsia="zh-CN"/>
    </w:rPr>
  </w:style>
  <w:style w:type="paragraph" w:customStyle="1" w:styleId="1501">
    <w:name w:val="样式 标题 3标题 3 Char标题 3 Char Char Char Char Char Char Char Char C...1"/>
    <w:basedOn w:val="5"/>
    <w:uiPriority w:val="0"/>
    <w:pPr>
      <w:widowControl/>
      <w:numPr>
        <w:ilvl w:val="0"/>
        <w:numId w:val="0"/>
      </w:numPr>
      <w:tabs>
        <w:tab w:val="left" w:pos="720"/>
      </w:tabs>
      <w:spacing w:before="0" w:after="0" w:line="360" w:lineRule="auto"/>
      <w:ind w:left="720" w:hanging="720"/>
      <w:jc w:val="left"/>
    </w:pPr>
    <w:rPr>
      <w:rFonts w:ascii="Arial" w:hAnsi="Arial" w:eastAsia="Arial"/>
      <w:kern w:val="2"/>
      <w:sz w:val="20"/>
      <w:lang w:val="en-US" w:eastAsia="zh-CN"/>
    </w:rPr>
  </w:style>
  <w:style w:type="paragraph" w:customStyle="1" w:styleId="1502">
    <w:name w:val="样式 标题 3标题 3 Char标题 3 Char Char Char Char Char Char Char Char C...2"/>
    <w:basedOn w:val="5"/>
    <w:uiPriority w:val="0"/>
    <w:pPr>
      <w:widowControl/>
      <w:numPr>
        <w:ilvl w:val="0"/>
        <w:numId w:val="0"/>
      </w:numPr>
      <w:tabs>
        <w:tab w:val="left" w:pos="720"/>
      </w:tabs>
      <w:spacing w:before="0" w:after="0" w:line="360" w:lineRule="auto"/>
      <w:ind w:left="720" w:hanging="720"/>
      <w:jc w:val="left"/>
    </w:pPr>
    <w:rPr>
      <w:rFonts w:ascii="Arial" w:hAnsi="Arial" w:eastAsia="Arial"/>
      <w:bCs w:val="0"/>
      <w:kern w:val="2"/>
      <w:sz w:val="28"/>
      <w:lang w:val="en-US" w:eastAsia="zh-CN"/>
    </w:rPr>
  </w:style>
  <w:style w:type="paragraph" w:customStyle="1" w:styleId="1503">
    <w:name w:val="样式 标题 3标题 3 Char标题 3 Char Char Char Char Char Char Char Char C...3"/>
    <w:basedOn w:val="5"/>
    <w:uiPriority w:val="0"/>
    <w:pPr>
      <w:widowControl/>
      <w:numPr>
        <w:ilvl w:val="0"/>
        <w:numId w:val="0"/>
      </w:numPr>
      <w:spacing w:before="0" w:after="0" w:line="360" w:lineRule="auto"/>
      <w:ind w:left="720" w:hanging="720"/>
      <w:jc w:val="left"/>
    </w:pPr>
    <w:rPr>
      <w:rFonts w:ascii="Arial" w:hAnsi="Arial" w:eastAsia="Arial"/>
      <w:color w:val="000000"/>
      <w:kern w:val="2"/>
      <w:sz w:val="20"/>
      <w:lang w:val="en-US" w:eastAsia="zh-CN"/>
    </w:rPr>
  </w:style>
  <w:style w:type="paragraph" w:customStyle="1" w:styleId="1504">
    <w:name w:val="style48"/>
    <w:basedOn w:val="1"/>
    <w:uiPriority w:val="0"/>
    <w:pPr>
      <w:widowControl/>
      <w:spacing w:before="100" w:beforeAutospacing="1" w:after="100" w:afterAutospacing="1"/>
      <w:jc w:val="left"/>
    </w:pPr>
    <w:rPr>
      <w:rFonts w:ascii="宋体" w:hAnsi="宋体" w:eastAsia="宋体" w:cs="宋体"/>
      <w:kern w:val="0"/>
      <w:sz w:val="20"/>
      <w:szCs w:val="24"/>
    </w:rPr>
  </w:style>
  <w:style w:type="paragraph" w:customStyle="1" w:styleId="1505">
    <w:name w:val="x"/>
    <w:basedOn w:val="1"/>
    <w:uiPriority w:val="0"/>
    <w:pPr>
      <w:widowControl/>
      <w:spacing w:before="100" w:beforeAutospacing="1" w:after="100" w:afterAutospacing="1"/>
      <w:jc w:val="left"/>
    </w:pPr>
    <w:rPr>
      <w:rFonts w:ascii="宋体" w:hAnsi="宋体" w:eastAsia="宋体" w:cs="宋体"/>
      <w:kern w:val="0"/>
      <w:sz w:val="20"/>
      <w:szCs w:val="24"/>
    </w:rPr>
  </w:style>
  <w:style w:type="character" w:customStyle="1" w:styleId="1506">
    <w:name w:val="big1"/>
    <w:uiPriority w:val="0"/>
    <w:rPr>
      <w:rFonts w:hint="default" w:ascii="Arial" w:hAnsi="Arial" w:cs="Arial"/>
      <w:sz w:val="30"/>
      <w:szCs w:val="30"/>
    </w:rPr>
  </w:style>
  <w:style w:type="paragraph" w:customStyle="1" w:styleId="1507">
    <w:name w:val="项目编号"/>
    <w:basedOn w:val="1"/>
    <w:next w:val="1"/>
    <w:uiPriority w:val="0"/>
    <w:pPr>
      <w:widowControl/>
      <w:spacing w:before="120" w:after="120" w:line="360" w:lineRule="auto"/>
      <w:jc w:val="left"/>
    </w:pPr>
    <w:rPr>
      <w:rFonts w:eastAsia="宋体"/>
      <w:sz w:val="20"/>
    </w:rPr>
  </w:style>
  <w:style w:type="character" w:customStyle="1" w:styleId="1508">
    <w:name w:val="style68"/>
    <w:basedOn w:val="132"/>
    <w:semiHidden/>
    <w:uiPriority w:val="0"/>
  </w:style>
  <w:style w:type="paragraph" w:customStyle="1" w:styleId="1509">
    <w:name w:val="表格编号"/>
    <w:basedOn w:val="1"/>
    <w:next w:val="1"/>
    <w:uiPriority w:val="0"/>
    <w:pPr>
      <w:widowControl/>
      <w:tabs>
        <w:tab w:val="left" w:pos="425"/>
      </w:tabs>
      <w:spacing w:before="300" w:after="200"/>
      <w:ind w:left="425" w:hanging="425"/>
      <w:jc w:val="center"/>
    </w:pPr>
    <w:rPr>
      <w:rFonts w:eastAsia="宋体"/>
      <w:sz w:val="20"/>
    </w:rPr>
  </w:style>
  <w:style w:type="character" w:customStyle="1" w:styleId="1510">
    <w:name w:val="l151"/>
    <w:basedOn w:val="132"/>
    <w:semiHidden/>
    <w:uiPriority w:val="0"/>
  </w:style>
  <w:style w:type="paragraph" w:customStyle="1" w:styleId="1511">
    <w:name w:val="c新标题3"/>
    <w:basedOn w:val="5"/>
    <w:semiHidden/>
    <w:uiPriority w:val="0"/>
    <w:pPr>
      <w:widowControl/>
      <w:numPr>
        <w:ilvl w:val="0"/>
        <w:numId w:val="0"/>
      </w:numPr>
      <w:spacing w:before="260" w:after="260" w:line="240" w:lineRule="exact"/>
      <w:jc w:val="left"/>
    </w:pPr>
    <w:rPr>
      <w:rFonts w:ascii="Times New Roman" w:eastAsia="Arial"/>
      <w:b w:val="0"/>
      <w:sz w:val="20"/>
      <w:szCs w:val="32"/>
      <w:lang w:val="en-US" w:eastAsia="zh-CN"/>
    </w:rPr>
  </w:style>
  <w:style w:type="paragraph" w:customStyle="1" w:styleId="1512">
    <w:name w:val="b新标题2"/>
    <w:basedOn w:val="3"/>
    <w:semiHidden/>
    <w:uiPriority w:val="0"/>
    <w:pPr>
      <w:widowControl/>
      <w:numPr>
        <w:ilvl w:val="0"/>
        <w:numId w:val="0"/>
      </w:numPr>
      <w:spacing w:before="260" w:after="260" w:line="240" w:lineRule="exact"/>
      <w:jc w:val="left"/>
    </w:pPr>
    <w:rPr>
      <w:rFonts w:ascii="Times New Roman" w:hAnsi="Times New Roman" w:eastAsia="宋体"/>
      <w:bCs/>
      <w:kern w:val="0"/>
      <w:sz w:val="24"/>
      <w:szCs w:val="32"/>
      <w:lang w:val="en-US" w:eastAsia="zh-CN"/>
    </w:rPr>
  </w:style>
  <w:style w:type="paragraph" w:customStyle="1" w:styleId="1513">
    <w:name w:val="a新标题1"/>
    <w:basedOn w:val="2"/>
    <w:next w:val="3"/>
    <w:semiHidden/>
    <w:uiPriority w:val="0"/>
    <w:pPr>
      <w:pageBreakBefore w:val="0"/>
      <w:widowControl/>
      <w:tabs>
        <w:tab w:val="clear" w:pos="1080"/>
      </w:tabs>
      <w:spacing w:before="340" w:after="330" w:line="240" w:lineRule="exact"/>
      <w:ind w:left="0" w:firstLine="0"/>
      <w:jc w:val="left"/>
    </w:pPr>
    <w:rPr>
      <w:rFonts w:eastAsia="黑体"/>
      <w:b w:val="0"/>
      <w:bCs/>
      <w:sz w:val="28"/>
      <w:szCs w:val="44"/>
      <w:lang w:val="en-US" w:eastAsia="zh-CN"/>
    </w:rPr>
  </w:style>
  <w:style w:type="paragraph" w:customStyle="1" w:styleId="1514">
    <w:name w:val="d新正文"/>
    <w:basedOn w:val="1"/>
    <w:semiHidden/>
    <w:uiPriority w:val="0"/>
    <w:pPr>
      <w:widowControl/>
      <w:spacing w:line="360" w:lineRule="auto"/>
      <w:ind w:firstLine="476" w:firstLineChars="200"/>
      <w:jc w:val="left"/>
    </w:pPr>
    <w:rPr>
      <w:rFonts w:eastAsia="宋体"/>
      <w:kern w:val="0"/>
      <w:sz w:val="20"/>
    </w:rPr>
  </w:style>
  <w:style w:type="paragraph" w:customStyle="1" w:styleId="1515">
    <w:name w:val="正文-使用"/>
    <w:basedOn w:val="1"/>
    <w:semiHidden/>
    <w:uiPriority w:val="0"/>
    <w:pPr>
      <w:widowControl/>
      <w:spacing w:line="360" w:lineRule="auto"/>
      <w:ind w:firstLine="482" w:firstLineChars="200"/>
      <w:jc w:val="left"/>
    </w:pPr>
    <w:rPr>
      <w:rFonts w:eastAsia="宋体"/>
      <w:sz w:val="20"/>
    </w:rPr>
  </w:style>
  <w:style w:type="paragraph" w:customStyle="1" w:styleId="1516">
    <w:name w:val="正文王"/>
    <w:basedOn w:val="45"/>
    <w:semiHidden/>
    <w:uiPriority w:val="0"/>
    <w:pPr>
      <w:widowControl/>
      <w:spacing w:line="500" w:lineRule="exact"/>
      <w:ind w:firstLine="200" w:firstLineChars="200"/>
      <w:jc w:val="left"/>
    </w:pPr>
    <w:rPr>
      <w:rFonts w:ascii="Arial" w:hAnsi="Arial"/>
      <w:snapToGrid w:val="0"/>
      <w:kern w:val="0"/>
      <w:sz w:val="24"/>
    </w:rPr>
  </w:style>
  <w:style w:type="paragraph" w:customStyle="1" w:styleId="1517">
    <w:name w:val="正文新"/>
    <w:basedOn w:val="45"/>
    <w:semiHidden/>
    <w:uiPriority w:val="0"/>
    <w:pPr>
      <w:widowControl/>
      <w:spacing w:line="300" w:lineRule="auto"/>
      <w:ind w:firstLine="510" w:firstLineChars="200"/>
      <w:jc w:val="left"/>
    </w:pPr>
    <w:rPr>
      <w:rFonts w:hAnsi="Arial"/>
      <w:snapToGrid w:val="0"/>
      <w:kern w:val="0"/>
      <w:sz w:val="24"/>
    </w:rPr>
  </w:style>
  <w:style w:type="paragraph" w:customStyle="1" w:styleId="1518">
    <w:name w:val="基准页眉样式"/>
    <w:basedOn w:val="33"/>
    <w:uiPriority w:val="0"/>
    <w:pPr>
      <w:widowControl/>
      <w:spacing w:after="0" w:line="240" w:lineRule="exact"/>
      <w:ind w:firstLine="200" w:firstLineChars="200"/>
      <w:jc w:val="center"/>
    </w:pPr>
    <w:rPr>
      <w:rFonts w:ascii="宋体" w:hAnsi="宋体" w:eastAsia="宋体"/>
      <w:sz w:val="24"/>
      <w:szCs w:val="24"/>
      <w:lang w:val="en-US" w:eastAsia="zh-CN"/>
    </w:rPr>
  </w:style>
  <w:style w:type="paragraph" w:customStyle="1" w:styleId="1519">
    <w:name w:val="基准页脚样式"/>
    <w:basedOn w:val="33"/>
    <w:semiHidden/>
    <w:uiPriority w:val="0"/>
    <w:pPr>
      <w:widowControl/>
      <w:spacing w:after="0" w:line="240" w:lineRule="exact"/>
      <w:ind w:firstLine="200" w:firstLineChars="200"/>
      <w:jc w:val="center"/>
    </w:pPr>
    <w:rPr>
      <w:rFonts w:ascii="宋体" w:hAnsi="宋体" w:eastAsia="宋体"/>
      <w:color w:val="FF0000"/>
      <w:sz w:val="21"/>
      <w:szCs w:val="24"/>
      <w:lang w:val="en-US" w:eastAsia="zh-CN"/>
    </w:rPr>
  </w:style>
  <w:style w:type="paragraph" w:customStyle="1" w:styleId="1520">
    <w:name w:val="项目编号文字"/>
    <w:basedOn w:val="1"/>
    <w:next w:val="4"/>
    <w:semiHidden/>
    <w:uiPriority w:val="0"/>
    <w:pPr>
      <w:widowControl/>
      <w:spacing w:before="120" w:after="120" w:line="360" w:lineRule="auto"/>
      <w:ind w:left="1077" w:firstLine="200" w:firstLineChars="200"/>
      <w:jc w:val="left"/>
    </w:pPr>
    <w:rPr>
      <w:rFonts w:eastAsia="宋体"/>
      <w:sz w:val="20"/>
    </w:rPr>
  </w:style>
  <w:style w:type="paragraph" w:customStyle="1" w:styleId="1521">
    <w:name w:val="Plain Text1"/>
    <w:basedOn w:val="1"/>
    <w:semiHidden/>
    <w:uiPriority w:val="0"/>
    <w:pPr>
      <w:widowControl/>
      <w:autoSpaceDE w:val="0"/>
      <w:autoSpaceDN w:val="0"/>
      <w:adjustRightInd w:val="0"/>
      <w:ind w:firstLine="200" w:firstLineChars="200"/>
      <w:jc w:val="left"/>
      <w:textAlignment w:val="baseline"/>
    </w:pPr>
    <w:rPr>
      <w:rFonts w:ascii="宋体" w:hAnsi="Tms Rmn" w:eastAsia="宋体"/>
      <w:kern w:val="0"/>
      <w:sz w:val="21"/>
    </w:rPr>
  </w:style>
  <w:style w:type="paragraph" w:customStyle="1" w:styleId="1522">
    <w:name w:val="Plain Text2"/>
    <w:basedOn w:val="1"/>
    <w:semiHidden/>
    <w:uiPriority w:val="0"/>
    <w:pPr>
      <w:widowControl/>
      <w:autoSpaceDE w:val="0"/>
      <w:autoSpaceDN w:val="0"/>
      <w:adjustRightInd w:val="0"/>
      <w:ind w:firstLine="200" w:firstLineChars="200"/>
      <w:jc w:val="left"/>
      <w:textAlignment w:val="baseline"/>
    </w:pPr>
    <w:rPr>
      <w:rFonts w:ascii="宋体" w:hAnsi="Tms Rmn" w:eastAsia="宋体"/>
      <w:kern w:val="0"/>
      <w:sz w:val="21"/>
    </w:rPr>
  </w:style>
  <w:style w:type="table" w:customStyle="1" w:styleId="1523">
    <w:name w:val="华海环评"/>
    <w:basedOn w:val="93"/>
    <w:uiPriority w:val="0"/>
    <w:pPr>
      <w:spacing w:line="240" w:lineRule="auto"/>
      <w:jc w:val="center"/>
    </w:pPr>
    <w:rPr>
      <w:rFonts w:ascii="Arial" w:hAnsi="Arial"/>
      <w:sz w:val="21"/>
    </w:rPr>
    <w:tblPr>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Pr>
    <w:tcPr>
      <w:shd w:val="clear" w:color="auto" w:fill="auto"/>
      <w:vAlign w:val="center"/>
    </w:tcPr>
    <w:tblStylePr w:type="firstRow">
      <w:rPr>
        <w:caps/>
        <w:color w:val="auto"/>
      </w:rPr>
      <w:tcPr>
        <w:tcBorders>
          <w:tl2br w:val="nil"/>
          <w:tr2bl w:val="nil"/>
        </w:tcBorders>
      </w:tcPr>
    </w:tblStylePr>
  </w:style>
  <w:style w:type="paragraph" w:customStyle="1" w:styleId="1524">
    <w:name w:val="W报告正文"/>
    <w:basedOn w:val="1"/>
    <w:link w:val="1525"/>
    <w:uiPriority w:val="0"/>
    <w:pPr>
      <w:widowControl/>
      <w:spacing w:line="360" w:lineRule="auto"/>
      <w:ind w:firstLine="480" w:firstLineChars="200"/>
      <w:jc w:val="left"/>
    </w:pPr>
    <w:rPr>
      <w:rFonts w:eastAsia="宋体"/>
      <w:sz w:val="20"/>
      <w:szCs w:val="21"/>
    </w:rPr>
  </w:style>
  <w:style w:type="character" w:customStyle="1" w:styleId="1525">
    <w:name w:val="W报告正文 Char"/>
    <w:link w:val="1524"/>
    <w:uiPriority w:val="0"/>
    <w:rPr>
      <w:kern w:val="2"/>
      <w:szCs w:val="21"/>
    </w:rPr>
  </w:style>
  <w:style w:type="paragraph" w:customStyle="1" w:styleId="1526">
    <w:name w:val="热电厂正文 Char Char Char Char"/>
    <w:basedOn w:val="1"/>
    <w:link w:val="1527"/>
    <w:uiPriority w:val="0"/>
    <w:pPr>
      <w:widowControl/>
      <w:spacing w:line="440" w:lineRule="exact"/>
      <w:ind w:firstLine="480" w:firstLineChars="200"/>
      <w:jc w:val="left"/>
    </w:pPr>
    <w:rPr>
      <w:rFonts w:eastAsia="宋体"/>
      <w:sz w:val="20"/>
      <w:szCs w:val="24"/>
    </w:rPr>
  </w:style>
  <w:style w:type="character" w:customStyle="1" w:styleId="1527">
    <w:name w:val="热电厂正文 Char Char Char Char Char"/>
    <w:link w:val="1526"/>
    <w:uiPriority w:val="0"/>
    <w:rPr>
      <w:kern w:val="2"/>
      <w:szCs w:val="24"/>
    </w:rPr>
  </w:style>
  <w:style w:type="character" w:customStyle="1" w:styleId="1528">
    <w:name w:val="样式4 Char"/>
    <w:link w:val="405"/>
    <w:uiPriority w:val="0"/>
    <w:rPr>
      <w:rFonts w:eastAsia="仿宋_GB2312"/>
      <w:b/>
      <w:bCs/>
      <w:kern w:val="2"/>
      <w:sz w:val="24"/>
      <w:szCs w:val="28"/>
      <w:lang w:val="zh-CN" w:eastAsia="zh-CN"/>
    </w:rPr>
  </w:style>
  <w:style w:type="paragraph" w:customStyle="1" w:styleId="1529">
    <w:name w:val="样式 标题 2_Heading 2标题节节标题标题 2 Char节SeMajor HeadingIBM Subh..."/>
    <w:basedOn w:val="3"/>
    <w:link w:val="1530"/>
    <w:uiPriority w:val="0"/>
    <w:pPr>
      <w:widowControl/>
      <w:numPr>
        <w:numId w:val="0"/>
      </w:numPr>
      <w:tabs>
        <w:tab w:val="left" w:pos="576"/>
        <w:tab w:val="center" w:pos="4156"/>
      </w:tabs>
      <w:spacing w:before="0" w:after="0" w:line="360" w:lineRule="auto"/>
      <w:jc w:val="left"/>
    </w:pPr>
    <w:rPr>
      <w:rFonts w:ascii="Times New Roman" w:hAnsi="Times New Roman" w:eastAsia="宋体"/>
      <w:b/>
      <w:snapToGrid w:val="0"/>
      <w:color w:val="000000"/>
      <w:sz w:val="24"/>
      <w:szCs w:val="24"/>
      <w:lang w:val="en-US" w:eastAsia="zh-CN"/>
    </w:rPr>
  </w:style>
  <w:style w:type="character" w:customStyle="1" w:styleId="1530">
    <w:name w:val="样式 标题 2_Heading 2标题节节标题标题 2 Char节SeMajor HeadingIBM Subh... Char"/>
    <w:link w:val="1529"/>
    <w:uiPriority w:val="0"/>
    <w:rPr>
      <w:b/>
      <w:snapToGrid w:val="0"/>
      <w:color w:val="000000"/>
      <w:kern w:val="2"/>
      <w:sz w:val="24"/>
      <w:szCs w:val="24"/>
    </w:rPr>
  </w:style>
  <w:style w:type="paragraph" w:customStyle="1" w:styleId="1531">
    <w:name w:val="三级"/>
    <w:basedOn w:val="2"/>
    <w:uiPriority w:val="0"/>
    <w:pPr>
      <w:pageBreakBefore w:val="0"/>
      <w:widowControl/>
      <w:tabs>
        <w:tab w:val="clear" w:pos="1080"/>
      </w:tabs>
      <w:spacing w:before="340"/>
      <w:ind w:left="0" w:firstLine="0"/>
      <w:jc w:val="left"/>
    </w:pPr>
    <w:rPr>
      <w:b w:val="0"/>
      <w:bCs/>
      <w:sz w:val="24"/>
      <w:szCs w:val="44"/>
      <w:lang w:val="en-US" w:eastAsia="zh-CN"/>
    </w:rPr>
  </w:style>
  <w:style w:type="paragraph" w:customStyle="1" w:styleId="1532">
    <w:name w:val="工程院正文"/>
    <w:basedOn w:val="1"/>
    <w:uiPriority w:val="0"/>
    <w:pPr>
      <w:widowControl/>
      <w:spacing w:line="360" w:lineRule="auto"/>
      <w:ind w:firstLine="200" w:firstLineChars="200"/>
      <w:jc w:val="left"/>
    </w:pPr>
    <w:rPr>
      <w:rFonts w:eastAsia="宋体"/>
      <w:kern w:val="0"/>
      <w:sz w:val="20"/>
      <w:szCs w:val="24"/>
    </w:rPr>
  </w:style>
  <w:style w:type="paragraph" w:customStyle="1" w:styleId="1533">
    <w:name w:val="CM12"/>
    <w:basedOn w:val="1"/>
    <w:next w:val="1"/>
    <w:uiPriority w:val="0"/>
    <w:pPr>
      <w:widowControl/>
      <w:autoSpaceDE w:val="0"/>
      <w:autoSpaceDN w:val="0"/>
      <w:adjustRightInd w:val="0"/>
      <w:spacing w:line="528" w:lineRule="atLeast"/>
      <w:jc w:val="left"/>
    </w:pPr>
    <w:rPr>
      <w:rFonts w:ascii="Arial Unicode MS" w:hAnsi="Arial Unicode MS" w:eastAsia="宋体" w:cs="Arial Unicode MS"/>
      <w:kern w:val="0"/>
      <w:sz w:val="20"/>
      <w:szCs w:val="24"/>
    </w:rPr>
  </w:style>
  <w:style w:type="paragraph" w:customStyle="1" w:styleId="1534">
    <w:name w:val="CM38"/>
    <w:basedOn w:val="1"/>
    <w:next w:val="1"/>
    <w:uiPriority w:val="0"/>
    <w:pPr>
      <w:widowControl/>
      <w:autoSpaceDE w:val="0"/>
      <w:autoSpaceDN w:val="0"/>
      <w:adjustRightInd w:val="0"/>
      <w:spacing w:after="205"/>
      <w:jc w:val="left"/>
    </w:pPr>
    <w:rPr>
      <w:rFonts w:ascii="Arial Unicode MS" w:hAnsi="Arial Unicode MS" w:eastAsia="宋体" w:cs="Arial Unicode MS"/>
      <w:kern w:val="0"/>
      <w:sz w:val="20"/>
      <w:szCs w:val="24"/>
    </w:rPr>
  </w:style>
  <w:style w:type="paragraph" w:customStyle="1" w:styleId="1535">
    <w:name w:val="CM5"/>
    <w:basedOn w:val="1"/>
    <w:next w:val="1"/>
    <w:uiPriority w:val="0"/>
    <w:pPr>
      <w:widowControl/>
      <w:autoSpaceDE w:val="0"/>
      <w:autoSpaceDN w:val="0"/>
      <w:adjustRightInd w:val="0"/>
      <w:spacing w:line="526" w:lineRule="atLeast"/>
      <w:jc w:val="left"/>
    </w:pPr>
    <w:rPr>
      <w:rFonts w:ascii="Arial Unicode MS" w:hAnsi="Arial Unicode MS" w:eastAsia="宋体" w:cs="Arial Unicode MS"/>
      <w:kern w:val="0"/>
      <w:sz w:val="20"/>
      <w:szCs w:val="24"/>
    </w:rPr>
  </w:style>
  <w:style w:type="paragraph" w:customStyle="1" w:styleId="1536">
    <w:name w:val="CM11"/>
    <w:basedOn w:val="517"/>
    <w:next w:val="517"/>
    <w:uiPriority w:val="0"/>
    <w:pPr>
      <w:spacing w:line="528" w:lineRule="atLeast"/>
    </w:pPr>
    <w:rPr>
      <w:rFonts w:ascii="Arial Unicode MS" w:hAnsi="Arial Unicode MS" w:cs="Arial Unicode MS"/>
      <w:color w:val="auto"/>
    </w:rPr>
  </w:style>
  <w:style w:type="paragraph" w:customStyle="1" w:styleId="1537">
    <w:name w:val="CM10"/>
    <w:basedOn w:val="517"/>
    <w:next w:val="517"/>
    <w:uiPriority w:val="0"/>
    <w:pPr>
      <w:spacing w:line="526" w:lineRule="atLeast"/>
    </w:pPr>
    <w:rPr>
      <w:rFonts w:ascii="Arial Unicode MS" w:hAnsi="Arial Unicode MS" w:cs="Arial Unicode MS"/>
      <w:color w:val="auto"/>
    </w:rPr>
  </w:style>
  <w:style w:type="paragraph" w:customStyle="1" w:styleId="1538">
    <w:name w:val="CM49"/>
    <w:basedOn w:val="517"/>
    <w:next w:val="517"/>
    <w:uiPriority w:val="0"/>
    <w:pPr>
      <w:spacing w:after="655"/>
    </w:pPr>
    <w:rPr>
      <w:rFonts w:ascii="Arial Unicode MS" w:hAnsi="Arial Unicode MS" w:cs="Arial Unicode MS"/>
      <w:color w:val="auto"/>
    </w:rPr>
  </w:style>
  <w:style w:type="character" w:customStyle="1" w:styleId="1539">
    <w:name w:val="段落文 Char"/>
    <w:link w:val="1540"/>
    <w:uiPriority w:val="0"/>
    <w:rPr>
      <w:kern w:val="2"/>
      <w:sz w:val="24"/>
    </w:rPr>
  </w:style>
  <w:style w:type="paragraph" w:customStyle="1" w:styleId="1540">
    <w:name w:val="段落文"/>
    <w:basedOn w:val="1"/>
    <w:link w:val="1539"/>
    <w:uiPriority w:val="0"/>
    <w:pPr>
      <w:widowControl/>
      <w:spacing w:line="360" w:lineRule="auto"/>
      <w:ind w:firstLine="480" w:firstLineChars="200"/>
      <w:jc w:val="left"/>
    </w:pPr>
    <w:rPr>
      <w:rFonts w:eastAsia="宋体"/>
      <w:sz w:val="24"/>
    </w:rPr>
  </w:style>
  <w:style w:type="paragraph" w:customStyle="1" w:styleId="1541">
    <w:name w:val="CM14"/>
    <w:basedOn w:val="517"/>
    <w:next w:val="517"/>
    <w:uiPriority w:val="0"/>
    <w:pPr>
      <w:spacing w:line="528" w:lineRule="atLeast"/>
    </w:pPr>
    <w:rPr>
      <w:rFonts w:ascii="Arial Unicode MS" w:hAnsi="Arial Unicode MS" w:cs="Arial Unicode MS"/>
      <w:color w:val="auto"/>
    </w:rPr>
  </w:style>
  <w:style w:type="character" w:customStyle="1" w:styleId="1542">
    <w:name w:val="text Char"/>
    <w:uiPriority w:val="0"/>
    <w:rPr>
      <w:rFonts w:ascii="ˎ̥" w:hAnsi="ˎ̥" w:cs="宋体"/>
      <w:color w:val="666666"/>
    </w:rPr>
  </w:style>
  <w:style w:type="paragraph" w:customStyle="1" w:styleId="1543">
    <w:name w:val="表格（居中）"/>
    <w:basedOn w:val="1"/>
    <w:next w:val="1"/>
    <w:uiPriority w:val="0"/>
    <w:pPr>
      <w:widowControl/>
      <w:jc w:val="center"/>
    </w:pPr>
    <w:rPr>
      <w:rFonts w:eastAsia="宋体"/>
      <w:sz w:val="20"/>
    </w:rPr>
  </w:style>
  <w:style w:type="paragraph" w:customStyle="1" w:styleId="1544">
    <w:name w:val="CM4"/>
    <w:basedOn w:val="517"/>
    <w:next w:val="517"/>
    <w:uiPriority w:val="0"/>
    <w:rPr>
      <w:rFonts w:ascii="Arial Unicode MS" w:hAnsi="Arial Unicode MS" w:cs="Arial Unicode MS"/>
      <w:color w:val="auto"/>
    </w:rPr>
  </w:style>
  <w:style w:type="paragraph" w:customStyle="1" w:styleId="1545">
    <w:name w:val="CM45"/>
    <w:basedOn w:val="517"/>
    <w:next w:val="517"/>
    <w:uiPriority w:val="0"/>
    <w:pPr>
      <w:spacing w:after="385"/>
    </w:pPr>
    <w:rPr>
      <w:rFonts w:ascii="Arial Unicode MS" w:hAnsi="Arial Unicode MS" w:cs="Arial Unicode MS"/>
      <w:color w:val="auto"/>
    </w:rPr>
  </w:style>
  <w:style w:type="paragraph" w:customStyle="1" w:styleId="1546">
    <w:name w:val="CM6"/>
    <w:basedOn w:val="517"/>
    <w:next w:val="517"/>
    <w:uiPriority w:val="0"/>
    <w:rPr>
      <w:rFonts w:ascii="Arial Unicode MS" w:hAnsi="Arial Unicode MS" w:cs="Arial Unicode MS"/>
      <w:color w:val="auto"/>
    </w:rPr>
  </w:style>
  <w:style w:type="paragraph" w:customStyle="1" w:styleId="1547">
    <w:name w:val="CM39"/>
    <w:basedOn w:val="517"/>
    <w:next w:val="517"/>
    <w:uiPriority w:val="0"/>
    <w:pPr>
      <w:spacing w:after="490"/>
    </w:pPr>
    <w:rPr>
      <w:rFonts w:ascii="Arial Unicode MS" w:hAnsi="Arial Unicode MS" w:cs="Arial Unicode MS"/>
      <w:color w:val="auto"/>
    </w:rPr>
  </w:style>
  <w:style w:type="paragraph" w:customStyle="1" w:styleId="1548">
    <w:name w:val="CM16"/>
    <w:basedOn w:val="517"/>
    <w:next w:val="517"/>
    <w:uiPriority w:val="0"/>
    <w:pPr>
      <w:spacing w:line="526" w:lineRule="atLeast"/>
    </w:pPr>
    <w:rPr>
      <w:rFonts w:ascii="Arial Unicode MS" w:hAnsi="Arial Unicode MS" w:cs="Arial Unicode MS"/>
      <w:color w:val="auto"/>
    </w:rPr>
  </w:style>
  <w:style w:type="paragraph" w:customStyle="1" w:styleId="1549">
    <w:name w:val="CM13"/>
    <w:basedOn w:val="517"/>
    <w:next w:val="517"/>
    <w:uiPriority w:val="0"/>
    <w:pPr>
      <w:spacing w:line="528" w:lineRule="atLeast"/>
    </w:pPr>
    <w:rPr>
      <w:rFonts w:ascii="Arial Unicode MS" w:hAnsi="Arial Unicode MS" w:cs="Arial Unicode MS"/>
      <w:color w:val="auto"/>
    </w:rPr>
  </w:style>
  <w:style w:type="paragraph" w:customStyle="1" w:styleId="1550">
    <w:name w:val="CM46"/>
    <w:basedOn w:val="517"/>
    <w:next w:val="517"/>
    <w:uiPriority w:val="0"/>
    <w:pPr>
      <w:spacing w:after="540"/>
    </w:pPr>
    <w:rPr>
      <w:rFonts w:ascii="Arial Unicode MS" w:hAnsi="Arial Unicode MS" w:cs="Arial Unicode MS"/>
      <w:color w:val="auto"/>
    </w:rPr>
  </w:style>
  <w:style w:type="paragraph" w:customStyle="1" w:styleId="1551">
    <w:name w:val="CM15"/>
    <w:basedOn w:val="517"/>
    <w:next w:val="517"/>
    <w:uiPriority w:val="0"/>
    <w:pPr>
      <w:spacing w:line="528" w:lineRule="atLeast"/>
    </w:pPr>
    <w:rPr>
      <w:rFonts w:ascii="Arial Unicode MS" w:hAnsi="Arial Unicode MS" w:cs="Arial Unicode MS"/>
      <w:color w:val="auto"/>
    </w:rPr>
  </w:style>
  <w:style w:type="paragraph" w:customStyle="1" w:styleId="1552">
    <w:name w:val="CM1"/>
    <w:basedOn w:val="517"/>
    <w:next w:val="517"/>
    <w:uiPriority w:val="0"/>
    <w:rPr>
      <w:rFonts w:ascii="Arial Unicode MS" w:hAnsi="Arial Unicode MS" w:cs="Arial Unicode MS"/>
      <w:color w:val="auto"/>
    </w:rPr>
  </w:style>
  <w:style w:type="paragraph" w:customStyle="1" w:styleId="1553">
    <w:name w:val="CM40"/>
    <w:basedOn w:val="517"/>
    <w:next w:val="517"/>
    <w:uiPriority w:val="0"/>
    <w:pPr>
      <w:spacing w:after="340"/>
    </w:pPr>
    <w:rPr>
      <w:rFonts w:ascii="Arial Unicode MS" w:hAnsi="Arial Unicode MS" w:cs="Arial Unicode MS"/>
      <w:color w:val="auto"/>
    </w:rPr>
  </w:style>
  <w:style w:type="paragraph" w:customStyle="1" w:styleId="1554">
    <w:name w:val="CM7"/>
    <w:basedOn w:val="517"/>
    <w:next w:val="517"/>
    <w:uiPriority w:val="0"/>
    <w:pPr>
      <w:spacing w:line="528" w:lineRule="atLeast"/>
    </w:pPr>
    <w:rPr>
      <w:rFonts w:ascii="Arial Unicode MS" w:hAnsi="Arial Unicode MS" w:cs="Arial Unicode MS"/>
      <w:color w:val="auto"/>
    </w:rPr>
  </w:style>
  <w:style w:type="paragraph" w:customStyle="1" w:styleId="1555">
    <w:name w:val="CM8"/>
    <w:basedOn w:val="517"/>
    <w:next w:val="517"/>
    <w:uiPriority w:val="0"/>
    <w:pPr>
      <w:spacing w:line="526" w:lineRule="atLeast"/>
    </w:pPr>
    <w:rPr>
      <w:rFonts w:ascii="Arial Unicode MS" w:hAnsi="Arial Unicode MS" w:cs="Arial Unicode MS"/>
      <w:color w:val="auto"/>
    </w:rPr>
  </w:style>
  <w:style w:type="paragraph" w:customStyle="1" w:styleId="1556">
    <w:name w:val="CM9"/>
    <w:basedOn w:val="517"/>
    <w:next w:val="517"/>
    <w:uiPriority w:val="0"/>
    <w:pPr>
      <w:spacing w:line="528" w:lineRule="atLeast"/>
    </w:pPr>
    <w:rPr>
      <w:rFonts w:ascii="Arial Unicode MS" w:hAnsi="Arial Unicode MS" w:cs="Arial Unicode MS"/>
      <w:color w:val="auto"/>
    </w:rPr>
  </w:style>
  <w:style w:type="paragraph" w:customStyle="1" w:styleId="1557">
    <w:name w:val="CM52"/>
    <w:basedOn w:val="517"/>
    <w:next w:val="517"/>
    <w:uiPriority w:val="0"/>
    <w:pPr>
      <w:spacing w:after="90"/>
    </w:pPr>
    <w:rPr>
      <w:rFonts w:ascii="Arial Unicode MS" w:hAnsi="Arial Unicode MS" w:cs="Arial Unicode MS"/>
      <w:color w:val="auto"/>
    </w:rPr>
  </w:style>
  <w:style w:type="paragraph" w:customStyle="1" w:styleId="1558">
    <w:name w:val="CM53"/>
    <w:basedOn w:val="517"/>
    <w:next w:val="517"/>
    <w:uiPriority w:val="0"/>
    <w:pPr>
      <w:spacing w:after="267"/>
    </w:pPr>
    <w:rPr>
      <w:rFonts w:ascii="Arial Unicode MS" w:hAnsi="Arial Unicode MS" w:cs="Arial Unicode MS"/>
      <w:color w:val="auto"/>
    </w:rPr>
  </w:style>
  <w:style w:type="paragraph" w:customStyle="1" w:styleId="1559">
    <w:name w:val="0"/>
    <w:basedOn w:val="1"/>
    <w:uiPriority w:val="0"/>
    <w:pPr>
      <w:widowControl/>
      <w:snapToGrid w:val="0"/>
      <w:spacing w:line="408" w:lineRule="auto"/>
      <w:ind w:left="1" w:firstLine="23"/>
      <w:jc w:val="left"/>
      <w:textAlignment w:val="bottom"/>
    </w:pPr>
    <w:rPr>
      <w:rFonts w:eastAsia="宋体"/>
      <w:color w:val="000000"/>
      <w:kern w:val="0"/>
      <w:sz w:val="21"/>
    </w:rPr>
  </w:style>
  <w:style w:type="paragraph" w:customStyle="1" w:styleId="1560">
    <w:name w:val="样式 表头 + 首行缩进:  2 字符"/>
    <w:basedOn w:val="362"/>
    <w:uiPriority w:val="0"/>
    <w:pPr>
      <w:widowControl/>
      <w:adjustRightInd w:val="0"/>
      <w:snapToGrid w:val="0"/>
      <w:spacing w:after="72" w:afterLines="30" w:line="240" w:lineRule="auto"/>
      <w:ind w:right="120" w:rightChars="50"/>
    </w:pPr>
    <w:rPr>
      <w:rFonts w:ascii="Times New Roman" w:hAnsi="Times New Roman"/>
      <w:color w:val="000000"/>
      <w:sz w:val="28"/>
      <w:szCs w:val="28"/>
    </w:rPr>
  </w:style>
  <w:style w:type="paragraph" w:customStyle="1" w:styleId="1561">
    <w:name w:val="龚松江正文"/>
    <w:basedOn w:val="4"/>
    <w:uiPriority w:val="0"/>
    <w:pPr>
      <w:widowControl/>
      <w:adjustRightInd w:val="0"/>
      <w:snapToGrid w:val="0"/>
      <w:spacing w:line="348" w:lineRule="auto"/>
      <w:ind w:firstLine="480" w:firstLineChars="200"/>
      <w:jc w:val="left"/>
    </w:pPr>
    <w:rPr>
      <w:rFonts w:ascii="Times New Roman" w:hAnsi="Times New Roman" w:cs="Times New Roman"/>
      <w:color w:val="000000"/>
      <w:spacing w:val="0"/>
      <w:szCs w:val="24"/>
    </w:rPr>
  </w:style>
  <w:style w:type="paragraph" w:customStyle="1" w:styleId="1562">
    <w:name w:val="样式 小四 行距: 1.5 倍行距 首行缩进:  2 字符"/>
    <w:basedOn w:val="1"/>
    <w:uiPriority w:val="0"/>
    <w:pPr>
      <w:widowControl/>
      <w:spacing w:line="360" w:lineRule="auto"/>
      <w:ind w:firstLine="480" w:firstLineChars="200"/>
      <w:jc w:val="left"/>
    </w:pPr>
    <w:rPr>
      <w:rFonts w:eastAsia="宋体"/>
      <w:color w:val="FF0000"/>
      <w:sz w:val="20"/>
      <w:szCs w:val="24"/>
    </w:rPr>
  </w:style>
  <w:style w:type="paragraph" w:customStyle="1" w:styleId="1563">
    <w:name w:val="样式 正文缩进正文（首行缩进两字）文本条款特点首行缩进两字正文缩进 Char正文缩进 Char1 Char正文缩进..."/>
    <w:basedOn w:val="4"/>
    <w:link w:val="1564"/>
    <w:uiPriority w:val="0"/>
    <w:pPr>
      <w:widowControl/>
      <w:spacing w:line="240" w:lineRule="auto"/>
      <w:ind w:firstLine="493"/>
      <w:jc w:val="left"/>
    </w:pPr>
    <w:rPr>
      <w:rFonts w:ascii="Times New Roman" w:hAnsi="Times New Roman" w:cs="Times New Roman"/>
      <w:color w:val="FF0000"/>
      <w:spacing w:val="0"/>
    </w:rPr>
  </w:style>
  <w:style w:type="character" w:customStyle="1" w:styleId="1564">
    <w:name w:val="样式 正文缩进正文（首行缩进两字）文本条款特点首行缩进两字正文缩进 Char正文缩进 Char1 Char正文缩进... Char"/>
    <w:link w:val="1563"/>
    <w:uiPriority w:val="0"/>
    <w:rPr>
      <w:color w:val="FF0000"/>
      <w:kern w:val="2"/>
      <w:sz w:val="24"/>
    </w:rPr>
  </w:style>
  <w:style w:type="paragraph" w:customStyle="1" w:styleId="1565">
    <w:name w:val="标题61"/>
    <w:basedOn w:val="6"/>
    <w:uiPriority w:val="0"/>
    <w:pPr>
      <w:widowControl/>
      <w:numPr>
        <w:ilvl w:val="0"/>
        <w:numId w:val="0"/>
      </w:numPr>
      <w:adjustRightInd/>
      <w:spacing w:before="280" w:after="290" w:line="280" w:lineRule="exact"/>
    </w:pPr>
    <w:rPr>
      <w:rFonts w:eastAsia="黑体"/>
      <w:b w:val="0"/>
      <w:bCs/>
      <w:i/>
      <w:sz w:val="20"/>
      <w:szCs w:val="28"/>
      <w:lang w:val="en-US" w:eastAsia="zh-CN"/>
    </w:rPr>
  </w:style>
  <w:style w:type="paragraph" w:customStyle="1" w:styleId="1566">
    <w:name w:val="单位"/>
    <w:basedOn w:val="1"/>
    <w:uiPriority w:val="0"/>
    <w:pPr>
      <w:widowControl/>
      <w:adjustRightInd w:val="0"/>
      <w:jc w:val="center"/>
      <w:textAlignment w:val="baseline"/>
    </w:pPr>
    <w:rPr>
      <w:rFonts w:ascii="宋体" w:eastAsia="宋体"/>
      <w:b/>
      <w:kern w:val="0"/>
      <w:sz w:val="36"/>
    </w:rPr>
  </w:style>
  <w:style w:type="paragraph" w:customStyle="1" w:styleId="1567">
    <w:name w:val="标题7"/>
    <w:basedOn w:val="2"/>
    <w:uiPriority w:val="0"/>
    <w:pPr>
      <w:keepNext w:val="0"/>
      <w:keepLines w:val="0"/>
      <w:widowControl/>
      <w:tabs>
        <w:tab w:val="clear" w:pos="1080"/>
      </w:tabs>
      <w:overflowPunct w:val="0"/>
      <w:autoSpaceDE w:val="0"/>
      <w:autoSpaceDN w:val="0"/>
      <w:adjustRightInd w:val="0"/>
      <w:spacing w:before="0" w:after="480" w:line="480" w:lineRule="exact"/>
      <w:ind w:left="0" w:firstLine="0"/>
      <w:textAlignment w:val="bottom"/>
      <w:outlineLvl w:val="9"/>
    </w:pPr>
    <w:rPr>
      <w:rFonts w:ascii="黑体" w:eastAsia="黑体"/>
      <w:b w:val="0"/>
      <w:kern w:val="0"/>
      <w:sz w:val="32"/>
      <w:lang w:val="en-US" w:eastAsia="zh-CN"/>
    </w:rPr>
  </w:style>
  <w:style w:type="paragraph" w:customStyle="1" w:styleId="1568">
    <w:name w:val="样式 行距: 2 倍行距1"/>
    <w:basedOn w:val="1"/>
    <w:uiPriority w:val="0"/>
    <w:pPr>
      <w:widowControl/>
      <w:spacing w:line="480" w:lineRule="auto"/>
      <w:ind w:firstLine="200" w:firstLineChars="200"/>
      <w:jc w:val="left"/>
    </w:pPr>
    <w:rPr>
      <w:rFonts w:ascii="宋体" w:hAnsi="宋体" w:eastAsia="宋体" w:cs="宋体"/>
      <w:kern w:val="0"/>
      <w:sz w:val="20"/>
    </w:rPr>
  </w:style>
  <w:style w:type="character" w:customStyle="1" w:styleId="1569">
    <w:name w:val="正文(首行缩进) Char"/>
    <w:link w:val="387"/>
    <w:uiPriority w:val="0"/>
    <w:rPr>
      <w:kern w:val="2"/>
      <w:sz w:val="24"/>
      <w:szCs w:val="24"/>
    </w:rPr>
  </w:style>
  <w:style w:type="paragraph" w:customStyle="1" w:styleId="1570">
    <w:name w:val="样式 样式 小四 行距: 1.5 倍行距 首行缩进:  2 字符 + 首行缩进:  2 字符"/>
    <w:basedOn w:val="1562"/>
    <w:uiPriority w:val="0"/>
    <w:pPr>
      <w:jc w:val="both"/>
    </w:pPr>
    <w:rPr>
      <w:color w:val="auto"/>
      <w:szCs w:val="20"/>
    </w:rPr>
  </w:style>
  <w:style w:type="character" w:customStyle="1" w:styleId="1571">
    <w:name w:val="样式 (西文) 宋体 小四"/>
    <w:uiPriority w:val="0"/>
    <w:rPr>
      <w:rFonts w:ascii="宋体" w:hAnsi="宋体" w:eastAsia="Times New Roman" w:cs="宋体"/>
      <w:kern w:val="2"/>
      <w:sz w:val="24"/>
      <w:szCs w:val="24"/>
      <w:lang w:val="en-US" w:eastAsia="zh-CN" w:bidi="ar-SA"/>
    </w:rPr>
  </w:style>
  <w:style w:type="paragraph" w:customStyle="1" w:styleId="1572">
    <w:name w:val="样式 题注 + 首行缩进:  2 字符 Char"/>
    <w:basedOn w:val="21"/>
    <w:uiPriority w:val="0"/>
    <w:pPr>
      <w:widowControl/>
      <w:spacing w:before="0" w:after="0" w:line="400" w:lineRule="exact"/>
      <w:jc w:val="center"/>
    </w:pPr>
    <w:rPr>
      <w:rFonts w:cs="Times New Roman"/>
      <w:sz w:val="24"/>
      <w:szCs w:val="24"/>
    </w:rPr>
  </w:style>
  <w:style w:type="paragraph" w:customStyle="1" w:styleId="1573">
    <w:name w:val="样式 正文文本缩进 2 + 首行缩进:  1 厘米"/>
    <w:basedOn w:val="51"/>
    <w:uiPriority w:val="0"/>
    <w:pPr>
      <w:widowControl/>
      <w:spacing w:line="360" w:lineRule="auto"/>
      <w:ind w:firstLine="567"/>
      <w:jc w:val="left"/>
    </w:pPr>
    <w:rPr>
      <w:rFonts w:ascii="Times New Roman" w:hAnsi="Times New Roman" w:cs="宋体"/>
      <w:sz w:val="20"/>
      <w:lang w:val="en-US" w:eastAsia="zh-CN"/>
    </w:rPr>
  </w:style>
  <w:style w:type="paragraph" w:customStyle="1" w:styleId="1574">
    <w:name w:val="context-main1"/>
    <w:basedOn w:val="1"/>
    <w:uiPriority w:val="0"/>
    <w:pPr>
      <w:widowControl/>
      <w:wordWrap w:val="0"/>
      <w:spacing w:before="150" w:after="150"/>
      <w:jc w:val="left"/>
    </w:pPr>
    <w:rPr>
      <w:rFonts w:ascii="宋体" w:hAnsi="宋体" w:eastAsia="宋体" w:cs="宋体"/>
      <w:kern w:val="0"/>
      <w:sz w:val="20"/>
      <w:szCs w:val="24"/>
    </w:rPr>
  </w:style>
  <w:style w:type="character" w:customStyle="1" w:styleId="1575">
    <w:name w:val="b11"/>
    <w:uiPriority w:val="0"/>
    <w:rPr>
      <w:color w:val="666666"/>
      <w:sz w:val="18"/>
      <w:szCs w:val="18"/>
      <w:u w:val="none"/>
    </w:rPr>
  </w:style>
  <w:style w:type="paragraph" w:customStyle="1" w:styleId="1576">
    <w:name w:val="金山正文"/>
    <w:basedOn w:val="1"/>
    <w:link w:val="1577"/>
    <w:uiPriority w:val="0"/>
    <w:pPr>
      <w:widowControl/>
      <w:adjustRightInd w:val="0"/>
      <w:snapToGrid w:val="0"/>
      <w:spacing w:before="120" w:after="120" w:line="360" w:lineRule="auto"/>
      <w:ind w:firstLine="480" w:firstLineChars="200"/>
      <w:jc w:val="left"/>
    </w:pPr>
    <w:rPr>
      <w:rFonts w:eastAsia="宋体" w:cs="宋体"/>
      <w:kern w:val="0"/>
      <w:sz w:val="20"/>
      <w:szCs w:val="24"/>
    </w:rPr>
  </w:style>
  <w:style w:type="character" w:customStyle="1" w:styleId="1577">
    <w:name w:val="金山正文 Char Char"/>
    <w:link w:val="1576"/>
    <w:uiPriority w:val="0"/>
    <w:rPr>
      <w:rFonts w:cs="宋体"/>
      <w:szCs w:val="24"/>
    </w:rPr>
  </w:style>
  <w:style w:type="paragraph" w:customStyle="1" w:styleId="1578">
    <w:name w:val="Char Char3 Char Char Char Char1"/>
    <w:basedOn w:val="1"/>
    <w:uiPriority w:val="0"/>
    <w:pPr>
      <w:widowControl/>
      <w:spacing w:after="160" w:line="240" w:lineRule="exact"/>
      <w:jc w:val="left"/>
    </w:pPr>
    <w:rPr>
      <w:rFonts w:ascii="Verdana" w:hAnsi="Verdana" w:eastAsia="宋体"/>
      <w:kern w:val="0"/>
      <w:sz w:val="20"/>
      <w:lang w:eastAsia="en-US"/>
    </w:rPr>
  </w:style>
  <w:style w:type="paragraph" w:customStyle="1" w:styleId="1579">
    <w:name w:val="表格五号标题"/>
    <w:basedOn w:val="1"/>
    <w:link w:val="1584"/>
    <w:uiPriority w:val="0"/>
    <w:pPr>
      <w:widowControl/>
      <w:spacing w:line="400" w:lineRule="exact"/>
      <w:jc w:val="center"/>
    </w:pPr>
    <w:rPr>
      <w:rFonts w:eastAsia="宋体"/>
      <w:snapToGrid w:val="0"/>
      <w:kern w:val="0"/>
      <w:sz w:val="21"/>
      <w:szCs w:val="24"/>
    </w:rPr>
  </w:style>
  <w:style w:type="paragraph" w:customStyle="1" w:styleId="1580">
    <w:name w:val="表格小五号正文"/>
    <w:basedOn w:val="239"/>
    <w:uiPriority w:val="0"/>
    <w:pPr>
      <w:widowControl/>
      <w:adjustRightInd/>
      <w:spacing w:line="320" w:lineRule="exact"/>
      <w:jc w:val="center"/>
      <w:textAlignment w:val="auto"/>
    </w:pPr>
    <w:rPr>
      <w:snapToGrid w:val="0"/>
      <w:kern w:val="0"/>
      <w:sz w:val="18"/>
      <w:szCs w:val="24"/>
    </w:rPr>
  </w:style>
  <w:style w:type="paragraph" w:customStyle="1" w:styleId="1581">
    <w:name w:val="小五号注释"/>
    <w:basedOn w:val="1"/>
    <w:uiPriority w:val="0"/>
    <w:pPr>
      <w:widowControl/>
      <w:spacing w:line="320" w:lineRule="exact"/>
      <w:jc w:val="left"/>
    </w:pPr>
    <w:rPr>
      <w:rFonts w:eastAsia="宋体"/>
      <w:snapToGrid w:val="0"/>
      <w:kern w:val="0"/>
      <w:sz w:val="18"/>
      <w:szCs w:val="24"/>
    </w:rPr>
  </w:style>
  <w:style w:type="paragraph" w:customStyle="1" w:styleId="1582">
    <w:name w:val="正文五号"/>
    <w:basedOn w:val="164"/>
    <w:link w:val="1583"/>
    <w:uiPriority w:val="0"/>
    <w:pPr>
      <w:widowControl/>
      <w:spacing w:before="0" w:line="400" w:lineRule="exact"/>
      <w:jc w:val="left"/>
    </w:pPr>
    <w:rPr>
      <w:snapToGrid w:val="0"/>
      <w:kern w:val="0"/>
      <w:sz w:val="21"/>
      <w:szCs w:val="24"/>
    </w:rPr>
  </w:style>
  <w:style w:type="character" w:customStyle="1" w:styleId="1583">
    <w:name w:val="正文五号 Char"/>
    <w:link w:val="1582"/>
    <w:uiPriority w:val="0"/>
    <w:rPr>
      <w:snapToGrid w:val="0"/>
      <w:sz w:val="21"/>
      <w:szCs w:val="24"/>
    </w:rPr>
  </w:style>
  <w:style w:type="character" w:customStyle="1" w:styleId="1584">
    <w:name w:val="表格五号标题 Char"/>
    <w:link w:val="1579"/>
    <w:uiPriority w:val="0"/>
    <w:rPr>
      <w:snapToGrid w:val="0"/>
      <w:sz w:val="21"/>
      <w:szCs w:val="24"/>
    </w:rPr>
  </w:style>
  <w:style w:type="table" w:customStyle="1" w:styleId="1585">
    <w:name w:val="zjy"/>
    <w:basedOn w:val="87"/>
    <w:uiPriority w:val="0"/>
    <w:pPr>
      <w:jc w:val="center"/>
    </w:pPr>
    <w:rPr>
      <w:rFonts w:ascii="Arial" w:hAnsi="Arial"/>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
    <w:tcPr>
      <w:vAlign w:val="center"/>
    </w:tcPr>
  </w:style>
  <w:style w:type="paragraph" w:customStyle="1" w:styleId="1586">
    <w:name w:val="表头1"/>
    <w:basedOn w:val="1"/>
    <w:next w:val="1"/>
    <w:link w:val="1587"/>
    <w:uiPriority w:val="0"/>
    <w:pPr>
      <w:widowControl/>
      <w:tabs>
        <w:tab w:val="left" w:pos="605"/>
      </w:tabs>
      <w:adjustRightInd w:val="0"/>
      <w:snapToGrid w:val="0"/>
      <w:jc w:val="center"/>
    </w:pPr>
    <w:rPr>
      <w:rFonts w:eastAsia="黑体"/>
      <w:kern w:val="0"/>
      <w:sz w:val="21"/>
      <w:szCs w:val="28"/>
    </w:rPr>
  </w:style>
  <w:style w:type="character" w:customStyle="1" w:styleId="1587">
    <w:name w:val="表头1 Char"/>
    <w:link w:val="1586"/>
    <w:uiPriority w:val="0"/>
    <w:rPr>
      <w:rFonts w:eastAsia="黑体"/>
      <w:sz w:val="21"/>
      <w:szCs w:val="28"/>
    </w:rPr>
  </w:style>
  <w:style w:type="paragraph" w:customStyle="1" w:styleId="1588">
    <w:name w:val="Char Char Char1 Char Char Char Char Char Char"/>
    <w:basedOn w:val="1"/>
    <w:uiPriority w:val="0"/>
    <w:pPr>
      <w:widowControl/>
      <w:spacing w:line="360" w:lineRule="auto"/>
      <w:ind w:firstLine="200" w:firstLineChars="200"/>
      <w:jc w:val="left"/>
    </w:pPr>
    <w:rPr>
      <w:rFonts w:ascii="宋体" w:hAnsi="宋体" w:eastAsia="宋体" w:cs="宋体"/>
      <w:sz w:val="20"/>
      <w:szCs w:val="24"/>
    </w:rPr>
  </w:style>
  <w:style w:type="character" w:customStyle="1" w:styleId="1589">
    <w:name w:val="标题 3 Char Char Char Char"/>
    <w:uiPriority w:val="0"/>
    <w:rPr>
      <w:rFonts w:eastAsia="黑体"/>
      <w:b/>
      <w:sz w:val="28"/>
      <w:lang w:val="en-US" w:eastAsia="zh-CN" w:bidi="ar-SA"/>
    </w:rPr>
  </w:style>
  <w:style w:type="paragraph" w:customStyle="1" w:styleId="1590">
    <w:name w:val="Char Char Char Char Char Char3 Char Char Char Char Char Char Char Char Char Char Char Char Char Char Char Char"/>
    <w:basedOn w:val="1"/>
    <w:next w:val="1"/>
    <w:uiPriority w:val="0"/>
    <w:pPr>
      <w:widowControl/>
      <w:jc w:val="left"/>
    </w:pPr>
    <w:rPr>
      <w:rFonts w:ascii="华文中宋" w:hAnsi="华文中宋" w:eastAsia="楷体" w:cs="Arial Narrow"/>
      <w:color w:val="000000"/>
      <w:kern w:val="0"/>
      <w:szCs w:val="18"/>
    </w:rPr>
  </w:style>
  <w:style w:type="paragraph" w:customStyle="1" w:styleId="1591">
    <w:name w:val="表格与图片标题"/>
    <w:basedOn w:val="21"/>
    <w:link w:val="1592"/>
    <w:uiPriority w:val="0"/>
    <w:pPr>
      <w:widowControl/>
      <w:spacing w:before="0" w:after="0" w:line="360" w:lineRule="auto"/>
      <w:jc w:val="center"/>
    </w:pPr>
    <w:rPr>
      <w:rFonts w:ascii="Times New Roman" w:hAnsi="Times New Roman" w:eastAsia="宋体" w:cs="宋体"/>
      <w:b/>
      <w:sz w:val="24"/>
      <w:szCs w:val="21"/>
    </w:rPr>
  </w:style>
  <w:style w:type="character" w:customStyle="1" w:styleId="1592">
    <w:name w:val="表格与图片标题 Char Char"/>
    <w:link w:val="1591"/>
    <w:uiPriority w:val="0"/>
    <w:rPr>
      <w:rFonts w:cs="宋体"/>
      <w:b/>
      <w:kern w:val="2"/>
      <w:sz w:val="24"/>
      <w:szCs w:val="21"/>
    </w:rPr>
  </w:style>
  <w:style w:type="paragraph" w:customStyle="1" w:styleId="1593">
    <w:name w:val="小標"/>
    <w:basedOn w:val="1"/>
    <w:uiPriority w:val="0"/>
    <w:pPr>
      <w:widowControl/>
      <w:tabs>
        <w:tab w:val="right" w:pos="4176"/>
        <w:tab w:val="right" w:pos="6960"/>
      </w:tabs>
      <w:wordWrap w:val="0"/>
      <w:adjustRightInd w:val="0"/>
      <w:snapToGrid w:val="0"/>
      <w:spacing w:after="200" w:line="432" w:lineRule="exact"/>
      <w:jc w:val="left"/>
      <w:textAlignment w:val="baseline"/>
    </w:pPr>
    <w:rPr>
      <w:rFonts w:ascii="Arial" w:hAnsi="Arial" w:eastAsia="華康粗黑體"/>
      <w:sz w:val="20"/>
      <w:lang w:eastAsia="zh-TW"/>
    </w:rPr>
  </w:style>
  <w:style w:type="paragraph" w:customStyle="1" w:styleId="1594">
    <w:name w:val="CHB表格文字中"/>
    <w:basedOn w:val="1"/>
    <w:uiPriority w:val="0"/>
    <w:pPr>
      <w:widowControl/>
      <w:spacing w:line="400" w:lineRule="exact"/>
      <w:jc w:val="center"/>
    </w:pPr>
    <w:rPr>
      <w:rFonts w:eastAsia="宋体"/>
      <w:sz w:val="20"/>
      <w:szCs w:val="24"/>
    </w:rPr>
  </w:style>
  <w:style w:type="paragraph" w:customStyle="1" w:styleId="1595">
    <w:name w:val="正确的正文"/>
    <w:qFormat/>
    <w:uiPriority w:val="0"/>
    <w:pPr>
      <w:ind w:firstLine="200" w:firstLineChars="200"/>
    </w:pPr>
    <w:rPr>
      <w:rFonts w:ascii="Times New Roman" w:hAnsi="Times New Roman" w:eastAsia="宋体" w:cs="Times New Roman"/>
      <w:kern w:val="2"/>
      <w:sz w:val="28"/>
      <w:szCs w:val="28"/>
      <w:lang w:val="en-US" w:eastAsia="zh-CN" w:bidi="ar-SA"/>
    </w:rPr>
  </w:style>
  <w:style w:type="paragraph" w:customStyle="1" w:styleId="1596">
    <w:name w:val="表格正文样式"/>
    <w:basedOn w:val="1"/>
    <w:link w:val="1597"/>
    <w:qFormat/>
    <w:uiPriority w:val="0"/>
    <w:pPr>
      <w:widowControl/>
      <w:spacing w:line="0" w:lineRule="atLeast"/>
      <w:jc w:val="center"/>
    </w:pPr>
    <w:rPr>
      <w:rFonts w:ascii="Arial" w:hAnsi="Arial" w:eastAsia="宋体"/>
      <w:color w:val="000000"/>
      <w:kern w:val="0"/>
      <w:sz w:val="21"/>
      <w:szCs w:val="21"/>
      <w:lang w:eastAsia="en-US" w:bidi="en-US"/>
    </w:rPr>
  </w:style>
  <w:style w:type="character" w:customStyle="1" w:styleId="1597">
    <w:name w:val="表格正文样式 Char"/>
    <w:link w:val="1596"/>
    <w:uiPriority w:val="0"/>
    <w:rPr>
      <w:rFonts w:ascii="Arial" w:hAnsi="Arial"/>
      <w:color w:val="000000"/>
      <w:sz w:val="21"/>
      <w:szCs w:val="21"/>
      <w:lang w:eastAsia="en-US" w:bidi="en-US"/>
    </w:rPr>
  </w:style>
  <w:style w:type="paragraph" w:customStyle="1" w:styleId="1598">
    <w:name w:val="表头22222222"/>
    <w:basedOn w:val="362"/>
    <w:link w:val="1599"/>
    <w:qFormat/>
    <w:uiPriority w:val="0"/>
    <w:pPr>
      <w:widowControl/>
      <w:ind w:left="425" w:hanging="425"/>
      <w:outlineLvl w:val="4"/>
    </w:pPr>
    <w:rPr>
      <w:rFonts w:eastAsia="Arial" w:cs="Arial"/>
    </w:rPr>
  </w:style>
  <w:style w:type="character" w:customStyle="1" w:styleId="1599">
    <w:name w:val="表头22222222 Char"/>
    <w:link w:val="1598"/>
    <w:uiPriority w:val="0"/>
    <w:rPr>
      <w:rFonts w:ascii="Arial" w:hAnsi="Arial" w:eastAsia="Arial" w:cs="Arial"/>
      <w:b/>
      <w:kern w:val="2"/>
      <w:sz w:val="21"/>
      <w:szCs w:val="21"/>
    </w:rPr>
  </w:style>
  <w:style w:type="paragraph" w:customStyle="1" w:styleId="1600">
    <w:name w:val="表格内文字"/>
    <w:basedOn w:val="1"/>
    <w:uiPriority w:val="0"/>
    <w:pPr>
      <w:widowControl/>
      <w:spacing w:line="320" w:lineRule="exact"/>
      <w:jc w:val="center"/>
    </w:pPr>
    <w:rPr>
      <w:rFonts w:eastAsia="宋体"/>
      <w:sz w:val="21"/>
      <w:szCs w:val="21"/>
    </w:rPr>
  </w:style>
  <w:style w:type="paragraph" w:customStyle="1" w:styleId="1601">
    <w:name w:val="Char2 Char Char Char"/>
    <w:basedOn w:val="1"/>
    <w:uiPriority w:val="0"/>
    <w:pPr>
      <w:widowControl/>
      <w:spacing w:line="360" w:lineRule="auto"/>
      <w:ind w:firstLine="200" w:firstLineChars="200"/>
      <w:jc w:val="left"/>
    </w:pPr>
    <w:rPr>
      <w:rFonts w:ascii="宋体" w:hAnsi="宋体" w:eastAsia="宋体" w:cs="宋体"/>
      <w:sz w:val="20"/>
      <w:szCs w:val="24"/>
    </w:rPr>
  </w:style>
  <w:style w:type="paragraph" w:customStyle="1" w:styleId="1602">
    <w:name w:val="一级标题1"/>
    <w:basedOn w:val="2"/>
    <w:uiPriority w:val="0"/>
    <w:pPr>
      <w:pageBreakBefore w:val="0"/>
      <w:widowControl/>
      <w:tabs>
        <w:tab w:val="clear" w:pos="1080"/>
      </w:tabs>
      <w:spacing w:before="60" w:after="0" w:line="460" w:lineRule="exact"/>
      <w:ind w:left="0" w:firstLine="0"/>
      <w:jc w:val="left"/>
    </w:pPr>
    <w:rPr>
      <w:bCs/>
      <w:sz w:val="32"/>
      <w:szCs w:val="44"/>
      <w:lang w:val="en-US" w:eastAsia="zh-CN"/>
    </w:rPr>
  </w:style>
  <w:style w:type="paragraph" w:customStyle="1" w:styleId="1603">
    <w:name w:val="表格文字中"/>
    <w:basedOn w:val="1"/>
    <w:uiPriority w:val="0"/>
    <w:pPr>
      <w:widowControl/>
      <w:snapToGrid w:val="0"/>
      <w:jc w:val="center"/>
    </w:pPr>
    <w:rPr>
      <w:kern w:val="0"/>
      <w:sz w:val="18"/>
      <w:szCs w:val="18"/>
    </w:rPr>
  </w:style>
  <w:style w:type="character" w:customStyle="1" w:styleId="1604">
    <w:name w:val="t11"/>
    <w:uiPriority w:val="0"/>
    <w:rPr>
      <w:color w:val="000000"/>
      <w:sz w:val="18"/>
      <w:szCs w:val="18"/>
      <w:u w:val="none"/>
    </w:rPr>
  </w:style>
  <w:style w:type="paragraph" w:customStyle="1" w:styleId="1605">
    <w:name w:val="样式 样式 样式 纯文本 Char普通文字 Char普通文字 Char CharChar普通文字 Char Char Char ..."/>
    <w:basedOn w:val="1"/>
    <w:uiPriority w:val="0"/>
    <w:pPr>
      <w:widowControl/>
      <w:spacing w:line="360" w:lineRule="auto"/>
      <w:ind w:firstLine="480" w:firstLineChars="200"/>
      <w:jc w:val="left"/>
    </w:pPr>
    <w:rPr>
      <w:rFonts w:ascii="Arial" w:hAnsi="Arial" w:eastAsia="宋体" w:cs="宋体"/>
      <w:sz w:val="20"/>
    </w:rPr>
  </w:style>
  <w:style w:type="paragraph" w:customStyle="1" w:styleId="1606">
    <w:name w:val="样式 样式 纯文本 Char普通文字 Char普通文字 Char CharChar普通文字 Char Char Char C.....4"/>
    <w:basedOn w:val="1"/>
    <w:uiPriority w:val="0"/>
    <w:pPr>
      <w:widowControl/>
      <w:spacing w:line="360" w:lineRule="auto"/>
      <w:ind w:firstLine="200" w:firstLineChars="200"/>
      <w:jc w:val="left"/>
    </w:pPr>
    <w:rPr>
      <w:rFonts w:ascii="Arial" w:hAnsi="Arial" w:eastAsia="宋体" w:cs="宋体"/>
      <w:sz w:val="20"/>
    </w:rPr>
  </w:style>
  <w:style w:type="character" w:customStyle="1" w:styleId="1607">
    <w:name w:val="样式 (西文) Arial"/>
    <w:uiPriority w:val="0"/>
    <w:rPr>
      <w:rFonts w:ascii="Arial" w:hAnsi="Arial" w:eastAsia="宋体"/>
      <w:kern w:val="0"/>
      <w:vertAlign w:val="baseline"/>
    </w:rPr>
  </w:style>
  <w:style w:type="paragraph" w:customStyle="1" w:styleId="1608">
    <w:name w:val="样式 表格样式1 + (西文) Arial (中文) 宋体 自动设置 两端对齐 行距: 单倍行距"/>
    <w:basedOn w:val="682"/>
    <w:uiPriority w:val="0"/>
    <w:pPr>
      <w:adjustRightInd/>
      <w:spacing w:line="240" w:lineRule="auto"/>
      <w:ind w:firstLine="0" w:firstLineChars="0"/>
      <w:textAlignment w:val="auto"/>
    </w:pPr>
    <w:rPr>
      <w:rFonts w:ascii="Arial" w:hAnsi="Arial" w:eastAsia="宋体" w:cs="宋体"/>
      <w:sz w:val="21"/>
    </w:rPr>
  </w:style>
  <w:style w:type="character" w:customStyle="1" w:styleId="1609">
    <w:name w:val="unnamed21"/>
    <w:uiPriority w:val="0"/>
    <w:rPr>
      <w:rFonts w:hint="default"/>
      <w:sz w:val="20"/>
      <w:szCs w:val="20"/>
    </w:rPr>
  </w:style>
  <w:style w:type="paragraph" w:customStyle="1" w:styleId="1610">
    <w:name w:val="样式21"/>
    <w:basedOn w:val="5"/>
    <w:uiPriority w:val="0"/>
    <w:pPr>
      <w:widowControl/>
      <w:numPr>
        <w:ilvl w:val="0"/>
        <w:numId w:val="0"/>
      </w:numPr>
      <w:tabs>
        <w:tab w:val="left" w:pos="425"/>
      </w:tabs>
      <w:ind w:left="425" w:hanging="425"/>
      <w:jc w:val="left"/>
    </w:pPr>
    <w:rPr>
      <w:kern w:val="2"/>
      <w:sz w:val="20"/>
      <w:lang w:val="en-US" w:eastAsia="zh-CN"/>
    </w:rPr>
  </w:style>
  <w:style w:type="character" w:customStyle="1" w:styleId="1611">
    <w:name w:val="表格内容新 Char"/>
    <w:link w:val="1612"/>
    <w:uiPriority w:val="0"/>
    <w:rPr>
      <w:rFonts w:ascii="宋体" w:hAnsi="宋体"/>
      <w:color w:val="FF0000"/>
      <w:spacing w:val="-8"/>
      <w:kern w:val="2"/>
      <w:sz w:val="21"/>
      <w:szCs w:val="21"/>
    </w:rPr>
  </w:style>
  <w:style w:type="paragraph" w:customStyle="1" w:styleId="1612">
    <w:name w:val="表格内容新"/>
    <w:basedOn w:val="1"/>
    <w:link w:val="1611"/>
    <w:uiPriority w:val="0"/>
    <w:pPr>
      <w:widowControl/>
      <w:tabs>
        <w:tab w:val="left" w:pos="1680"/>
        <w:tab w:val="left" w:pos="3465"/>
      </w:tabs>
      <w:adjustRightInd w:val="0"/>
      <w:jc w:val="center"/>
      <w:textAlignment w:val="baseline"/>
    </w:pPr>
    <w:rPr>
      <w:rFonts w:ascii="宋体" w:hAnsi="宋体" w:eastAsia="宋体"/>
      <w:color w:val="FF0000"/>
      <w:spacing w:val="-8"/>
      <w:sz w:val="21"/>
      <w:szCs w:val="21"/>
    </w:rPr>
  </w:style>
  <w:style w:type="character" w:customStyle="1" w:styleId="1613">
    <w:name w:val="样式 (符号) 宋体 小四"/>
    <w:uiPriority w:val="0"/>
    <w:rPr>
      <w:rFonts w:ascii="Times New Roman" w:hAnsi="Times New Roman"/>
      <w:sz w:val="24"/>
      <w:szCs w:val="24"/>
    </w:rPr>
  </w:style>
  <w:style w:type="paragraph" w:customStyle="1" w:styleId="1614">
    <w:name w:val="Table Paragraph"/>
    <w:basedOn w:val="1"/>
    <w:qFormat/>
    <w:uiPriority w:val="1"/>
    <w:pPr>
      <w:autoSpaceDE w:val="0"/>
      <w:autoSpaceDN w:val="0"/>
      <w:adjustRightInd w:val="0"/>
      <w:jc w:val="left"/>
    </w:pPr>
    <w:rPr>
      <w:rFonts w:eastAsia="宋体"/>
      <w:kern w:val="0"/>
      <w:sz w:val="24"/>
      <w:szCs w:val="24"/>
    </w:rPr>
  </w:style>
  <w:style w:type="character" w:customStyle="1" w:styleId="1615">
    <w:name w:val="表蕊居中 Char Char"/>
    <w:link w:val="1616"/>
    <w:locked/>
    <w:uiPriority w:val="99"/>
    <w:rPr>
      <w:sz w:val="21"/>
      <w:szCs w:val="21"/>
    </w:rPr>
  </w:style>
  <w:style w:type="paragraph" w:customStyle="1" w:styleId="1616">
    <w:name w:val="表蕊居中"/>
    <w:basedOn w:val="1"/>
    <w:link w:val="1615"/>
    <w:uiPriority w:val="99"/>
    <w:pPr>
      <w:spacing w:line="300" w:lineRule="exact"/>
      <w:jc w:val="center"/>
    </w:pPr>
    <w:rPr>
      <w:rFonts w:eastAsia="宋体"/>
      <w:kern w:val="0"/>
      <w:sz w:val="21"/>
      <w:szCs w:val="21"/>
    </w:rPr>
  </w:style>
  <w:style w:type="character" w:customStyle="1" w:styleId="1617">
    <w:name w:val="表头样式 Char"/>
    <w:link w:val="808"/>
    <w:uiPriority w:val="0"/>
    <w:rPr>
      <w:rFonts w:ascii="黑体" w:eastAsia="黑体"/>
      <w:kern w:val="2"/>
      <w:sz w:val="28"/>
    </w:rPr>
  </w:style>
  <w:style w:type="character" w:customStyle="1" w:styleId="1618">
    <w:name w:val="二级标题ww"/>
    <w:uiPriority w:val="0"/>
  </w:style>
  <w:style w:type="paragraph" w:customStyle="1" w:styleId="1619">
    <w:name w:val="Char Char Char Char1 Char Char"/>
    <w:basedOn w:val="6"/>
    <w:uiPriority w:val="0"/>
    <w:pPr>
      <w:widowControl/>
      <w:numPr>
        <w:numId w:val="0"/>
      </w:numPr>
      <w:tabs>
        <w:tab w:val="left" w:pos="0"/>
      </w:tabs>
      <w:snapToGrid w:val="0"/>
      <w:spacing w:line="360" w:lineRule="auto"/>
      <w:jc w:val="center"/>
    </w:pPr>
    <w:rPr>
      <w:rFonts w:ascii="仿宋_GB2312" w:cs="Arial"/>
      <w:szCs w:val="24"/>
      <w:lang w:val="en-US" w:eastAsia="zh-CN"/>
    </w:rPr>
  </w:style>
  <w:style w:type="character" w:customStyle="1" w:styleId="1620">
    <w:name w:val="title4"/>
    <w:uiPriority w:val="0"/>
  </w:style>
  <w:style w:type="character" w:customStyle="1" w:styleId="1621">
    <w:name w:val="正文缩进 字符"/>
    <w:qFormat/>
    <w:uiPriority w:val="0"/>
    <w:rPr>
      <w:rFonts w:ascii="Arial" w:hAnsi="Arial" w:eastAsia="宋体" w:cs="Arial"/>
      <w:kern w:val="2"/>
      <w:sz w:val="24"/>
      <w:szCs w:val="24"/>
      <w:lang w:val="en-US" w:eastAsia="zh-CN" w:bidi="ar-SA"/>
    </w:rPr>
  </w:style>
  <w:style w:type="character" w:customStyle="1" w:styleId="1622">
    <w:name w:val="三级标题www Char1"/>
    <w:uiPriority w:val="0"/>
    <w:rPr>
      <w:rFonts w:ascii="Arial" w:hAnsi="Arial" w:cs="Arial"/>
      <w:b/>
      <w:sz w:val="24"/>
      <w:szCs w:val="24"/>
      <w:lang w:val="zh-CN"/>
    </w:rPr>
  </w:style>
  <w:style w:type="character" w:customStyle="1" w:styleId="1623">
    <w:name w:val="一级标题w Char"/>
    <w:locked/>
    <w:uiPriority w:val="0"/>
    <w:rPr>
      <w:rFonts w:ascii="宋体" w:hAnsi="宋体" w:eastAsia="黑体" w:cs="宋体"/>
      <w:b/>
      <w:bCs/>
      <w:kern w:val="44"/>
      <w:sz w:val="36"/>
      <w:szCs w:val="44"/>
      <w:lang w:val="zh-CN" w:eastAsia="zh-CN"/>
    </w:rPr>
  </w:style>
  <w:style w:type="character" w:customStyle="1" w:styleId="1624">
    <w:name w:val="表格样式 Char"/>
    <w:uiPriority w:val="0"/>
    <w:rPr>
      <w:rFonts w:ascii="Arial" w:hAnsi="Arial" w:eastAsia="宋体" w:cs="Times New Roman"/>
      <w:bCs/>
      <w:i/>
      <w:color w:val="000000"/>
      <w:kern w:val="0"/>
      <w:szCs w:val="28"/>
      <w:lang w:bidi="en-US"/>
    </w:rPr>
  </w:style>
  <w:style w:type="character" w:customStyle="1" w:styleId="1625">
    <w:name w:val="批注框文本 Char1"/>
    <w:uiPriority w:val="99"/>
    <w:rPr>
      <w:rFonts w:ascii="Arial" w:hAnsi="Arial" w:eastAsia="宋体" w:cs="Times New Roman"/>
      <w:sz w:val="18"/>
      <w:szCs w:val="18"/>
    </w:rPr>
  </w:style>
  <w:style w:type="paragraph" w:customStyle="1" w:styleId="1626">
    <w:name w:val="样式 日期 + 五号 行距: 固定值 20 磅"/>
    <w:basedOn w:val="50"/>
    <w:uiPriority w:val="0"/>
    <w:pPr>
      <w:widowControl/>
      <w:adjustRightInd w:val="0"/>
      <w:spacing w:line="400" w:lineRule="exact"/>
      <w:ind w:firstLine="200" w:firstLineChars="200"/>
      <w:jc w:val="left"/>
      <w:textAlignment w:val="baseline"/>
    </w:pPr>
    <w:rPr>
      <w:rFonts w:ascii="宋体" w:hAnsi="宋体" w:cs="宋体"/>
      <w:sz w:val="21"/>
      <w:szCs w:val="24"/>
      <w:lang w:val="en-US" w:eastAsia="zh-CN"/>
    </w:rPr>
  </w:style>
  <w:style w:type="character" w:customStyle="1" w:styleId="1627">
    <w:name w:val="正文文字缩进 2 Char Char"/>
    <w:uiPriority w:val="0"/>
    <w:rPr>
      <w:rFonts w:ascii="Arial" w:hAnsi="Arial" w:eastAsia="宋体" w:cs="Times New Roman"/>
      <w:kern w:val="0"/>
      <w:sz w:val="24"/>
      <w:szCs w:val="24"/>
    </w:rPr>
  </w:style>
  <w:style w:type="paragraph" w:customStyle="1" w:styleId="1628">
    <w:name w:val="样式 黑体 小四 行距: 固定值 24 磅"/>
    <w:basedOn w:val="3"/>
    <w:uiPriority w:val="0"/>
    <w:pPr>
      <w:widowControl/>
      <w:numPr>
        <w:numId w:val="0"/>
      </w:numPr>
      <w:adjustRightInd w:val="0"/>
      <w:spacing w:before="0" w:after="0" w:line="360" w:lineRule="auto"/>
      <w:ind w:left="425"/>
      <w:jc w:val="left"/>
      <w:textAlignment w:val="baseline"/>
    </w:pPr>
    <w:rPr>
      <w:rFonts w:ascii="宋体" w:hAnsi="宋体" w:eastAsia="宋体" w:cs="宋体"/>
      <w:b/>
      <w:bCs/>
      <w:kern w:val="0"/>
      <w:szCs w:val="28"/>
      <w:lang w:eastAsia="zh-CN"/>
    </w:rPr>
  </w:style>
  <w:style w:type="paragraph" w:customStyle="1" w:styleId="1629">
    <w:name w:val="样式 标题 3 + 行距: 多倍行距 1.45 字行"/>
    <w:basedOn w:val="5"/>
    <w:uiPriority w:val="0"/>
    <w:pPr>
      <w:widowControl/>
      <w:numPr>
        <w:numId w:val="0"/>
      </w:numPr>
      <w:adjustRightInd w:val="0"/>
      <w:spacing w:before="0" w:after="0" w:line="360" w:lineRule="auto"/>
      <w:jc w:val="left"/>
      <w:textAlignment w:val="baseline"/>
    </w:pPr>
    <w:rPr>
      <w:rFonts w:ascii="Arial" w:hAnsi="Arial" w:eastAsia="宋体" w:cs="Arial"/>
      <w:bCs w:val="0"/>
      <w:szCs w:val="24"/>
      <w:lang w:eastAsia="zh-CN"/>
    </w:rPr>
  </w:style>
  <w:style w:type="paragraph" w:customStyle="1" w:styleId="1630">
    <w:name w:val="样式 (中文) 黑体 三号 居中 行距: 固定值 24 磅"/>
    <w:basedOn w:val="2"/>
    <w:uiPriority w:val="0"/>
    <w:pPr>
      <w:keepNext w:val="0"/>
      <w:keepLines w:val="0"/>
      <w:widowControl/>
      <w:numPr>
        <w:ilvl w:val="0"/>
        <w:numId w:val="8"/>
      </w:numPr>
      <w:tabs>
        <w:tab w:val="left" w:pos="1308"/>
        <w:tab w:val="clear" w:pos="1080"/>
      </w:tabs>
      <w:spacing w:before="156" w:after="156" w:line="240" w:lineRule="auto"/>
      <w:ind w:firstLine="0"/>
    </w:pPr>
    <w:rPr>
      <w:rFonts w:ascii="Arial" w:hAnsi="Arial" w:eastAsia="黑体" w:cs="宋体"/>
      <w:b w:val="0"/>
      <w:bCs/>
      <w:szCs w:val="32"/>
    </w:rPr>
  </w:style>
  <w:style w:type="paragraph" w:customStyle="1" w:styleId="1631">
    <w:name w:val="样式 标题 2 + Times New Roman"/>
    <w:basedOn w:val="3"/>
    <w:link w:val="1944"/>
    <w:uiPriority w:val="0"/>
    <w:pPr>
      <w:widowControl/>
      <w:numPr>
        <w:numId w:val="0"/>
      </w:numPr>
      <w:adjustRightInd w:val="0"/>
      <w:spacing w:before="0" w:beforeLines="50" w:after="0" w:afterLines="50" w:line="360" w:lineRule="auto"/>
      <w:ind w:left="425"/>
      <w:jc w:val="left"/>
      <w:textAlignment w:val="baseline"/>
    </w:pPr>
    <w:rPr>
      <w:rFonts w:ascii="宋体" w:hAnsi="宋体" w:eastAsia="宋体" w:cs="宋体"/>
      <w:b/>
      <w:bCs/>
      <w:kern w:val="0"/>
      <w:szCs w:val="32"/>
      <w:lang w:eastAsia="zh-CN"/>
    </w:rPr>
  </w:style>
  <w:style w:type="paragraph" w:customStyle="1" w:styleId="1632">
    <w:name w:val="样式 标题 1 + 自动设置"/>
    <w:basedOn w:val="2"/>
    <w:qFormat/>
    <w:uiPriority w:val="0"/>
    <w:pPr>
      <w:keepNext w:val="0"/>
      <w:keepLines w:val="0"/>
      <w:widowControl/>
      <w:tabs>
        <w:tab w:val="left" w:pos="1308"/>
        <w:tab w:val="clear" w:pos="1080"/>
      </w:tabs>
      <w:spacing w:before="156" w:after="156" w:line="240" w:lineRule="auto"/>
      <w:ind w:firstLine="0"/>
    </w:pPr>
    <w:rPr>
      <w:rFonts w:ascii="Arial" w:hAnsi="Arial" w:eastAsia="黑体" w:cs="宋体"/>
      <w:b w:val="0"/>
      <w:bCs/>
      <w:kern w:val="0"/>
      <w:szCs w:val="30"/>
    </w:rPr>
  </w:style>
  <w:style w:type="paragraph" w:customStyle="1" w:styleId="1633">
    <w:name w:val="样式 样式 标题 1 + 自动设置 + 段前: 0.5 行 段后: 0.5 行"/>
    <w:basedOn w:val="1632"/>
    <w:uiPriority w:val="0"/>
    <w:rPr>
      <w:szCs w:val="20"/>
    </w:rPr>
  </w:style>
  <w:style w:type="paragraph" w:customStyle="1" w:styleId="1634">
    <w:name w:val="样式 标题 3 + (西文) Times New Roman (中文) 宋体 小四 加粗 段前: 1 行"/>
    <w:basedOn w:val="5"/>
    <w:uiPriority w:val="0"/>
    <w:pPr>
      <w:keepNext w:val="0"/>
      <w:keepLines w:val="0"/>
      <w:widowControl/>
      <w:numPr>
        <w:numId w:val="0"/>
      </w:numPr>
      <w:adjustRightInd w:val="0"/>
      <w:spacing w:before="0" w:after="0"/>
      <w:ind w:left="271" w:leftChars="113"/>
      <w:jc w:val="left"/>
      <w:textAlignment w:val="baseline"/>
    </w:pPr>
    <w:rPr>
      <w:rFonts w:ascii="Arial" w:hAnsi="Arial" w:eastAsia="宋体" w:cs="Arial"/>
      <w:bCs w:val="0"/>
      <w:sz w:val="18"/>
      <w:szCs w:val="18"/>
      <w:lang w:eastAsia="zh-CN"/>
    </w:rPr>
  </w:style>
  <w:style w:type="paragraph" w:customStyle="1" w:styleId="1635">
    <w:name w:val="样式 标题 3 + (西文) Times New Roman (中文) 宋体 小四 加粗 段前: 1 行1"/>
    <w:basedOn w:val="5"/>
    <w:uiPriority w:val="0"/>
    <w:pPr>
      <w:keepNext w:val="0"/>
      <w:keepLines w:val="0"/>
      <w:widowControl/>
      <w:numPr>
        <w:numId w:val="0"/>
      </w:numPr>
      <w:adjustRightInd w:val="0"/>
      <w:spacing w:before="0" w:after="0" w:line="360" w:lineRule="auto"/>
      <w:jc w:val="left"/>
      <w:textAlignment w:val="baseline"/>
    </w:pPr>
    <w:rPr>
      <w:rFonts w:ascii="Arial" w:hAnsi="Arial" w:eastAsia="宋体" w:cs="宋体"/>
      <w:bCs w:val="0"/>
      <w:lang w:eastAsia="zh-CN"/>
    </w:rPr>
  </w:style>
  <w:style w:type="paragraph" w:customStyle="1" w:styleId="1636">
    <w:name w:val="样式 标题 3 + (西文) Times New Roman (中文) 宋体 小四 加粗 段前: 1 行2"/>
    <w:basedOn w:val="5"/>
    <w:uiPriority w:val="0"/>
    <w:pPr>
      <w:keepNext w:val="0"/>
      <w:keepLines w:val="0"/>
      <w:widowControl/>
      <w:numPr>
        <w:numId w:val="0"/>
      </w:numPr>
      <w:tabs>
        <w:tab w:val="left" w:pos="3216"/>
      </w:tabs>
      <w:adjustRightInd w:val="0"/>
      <w:spacing w:before="0" w:after="0" w:line="360" w:lineRule="auto"/>
      <w:ind w:firstLine="480" w:firstLineChars="200"/>
      <w:jc w:val="left"/>
      <w:textAlignment w:val="baseline"/>
    </w:pPr>
    <w:rPr>
      <w:rFonts w:ascii="Arial" w:hAnsi="Arial" w:eastAsia="宋体" w:cs="Arial"/>
      <w:b w:val="0"/>
      <w:bCs w:val="0"/>
      <w:lang w:eastAsia="zh-CN"/>
    </w:rPr>
  </w:style>
  <w:style w:type="paragraph" w:customStyle="1" w:styleId="1637">
    <w:name w:val="样式 标题 3 + (中文) 宋体 小四 加粗 Char"/>
    <w:basedOn w:val="5"/>
    <w:uiPriority w:val="0"/>
    <w:pPr>
      <w:keepNext w:val="0"/>
      <w:keepLines w:val="0"/>
      <w:widowControl/>
      <w:numPr>
        <w:numId w:val="0"/>
      </w:numPr>
      <w:adjustRightInd w:val="0"/>
      <w:spacing w:before="0" w:after="0" w:line="360" w:lineRule="auto"/>
      <w:jc w:val="left"/>
      <w:textAlignment w:val="baseline"/>
    </w:pPr>
    <w:rPr>
      <w:rFonts w:ascii="楷体_GB2312" w:hAnsi="Arial" w:eastAsia="宋体" w:cs="Arial"/>
      <w:bCs w:val="0"/>
      <w:szCs w:val="24"/>
      <w:lang w:eastAsia="zh-CN"/>
    </w:rPr>
  </w:style>
  <w:style w:type="character" w:customStyle="1" w:styleId="1638">
    <w:name w:val="样式 标题 3 + (中文) 宋体 小四 加粗 Char Char"/>
    <w:uiPriority w:val="0"/>
    <w:rPr>
      <w:rFonts w:ascii="楷体_GB2312" w:hAnsi="Arial" w:eastAsia="宋体" w:cs="Arial"/>
      <w:b/>
      <w:bCs/>
      <w:kern w:val="2"/>
      <w:sz w:val="24"/>
      <w:szCs w:val="32"/>
      <w:lang w:val="en-US" w:eastAsia="zh-CN" w:bidi="ar-SA"/>
    </w:rPr>
  </w:style>
  <w:style w:type="character" w:customStyle="1" w:styleId="1639">
    <w:name w:val="样式6 Char"/>
    <w:link w:val="415"/>
    <w:uiPriority w:val="0"/>
    <w:rPr>
      <w:rFonts w:ascii="Arial" w:hAnsi="Arial" w:cs="Arial"/>
      <w:spacing w:val="10"/>
      <w:kern w:val="2"/>
      <w:sz w:val="24"/>
    </w:rPr>
  </w:style>
  <w:style w:type="paragraph" w:customStyle="1" w:styleId="1640">
    <w:name w:val="Char Char Char2 Char Char Char Char Char Char Char Char Char Char Char Char Char"/>
    <w:basedOn w:val="1"/>
    <w:uiPriority w:val="0"/>
    <w:pPr>
      <w:widowControl/>
      <w:spacing w:line="360" w:lineRule="auto"/>
      <w:ind w:firstLine="200" w:firstLineChars="200"/>
      <w:jc w:val="left"/>
    </w:pPr>
    <w:rPr>
      <w:rFonts w:ascii="宋体" w:hAnsi="宋体" w:eastAsia="宋体" w:cs="宋体"/>
      <w:sz w:val="24"/>
      <w:szCs w:val="24"/>
    </w:rPr>
  </w:style>
  <w:style w:type="character" w:customStyle="1" w:styleId="1641">
    <w:name w:val="about1"/>
    <w:uiPriority w:val="0"/>
    <w:rPr>
      <w:rFonts w:hint="default" w:ascii="ˎ̥" w:hAnsi="ˎ̥"/>
      <w:spacing w:val="0"/>
      <w:sz w:val="15"/>
      <w:szCs w:val="15"/>
    </w:rPr>
  </w:style>
  <w:style w:type="paragraph" w:customStyle="1" w:styleId="1642">
    <w:name w:val="默认段落字体 Para Char Char Char Char Char Char Char Char Char1 Char Char Char Char"/>
    <w:basedOn w:val="1"/>
    <w:uiPriority w:val="0"/>
    <w:pPr>
      <w:widowControl/>
      <w:ind w:firstLine="200" w:firstLineChars="200"/>
      <w:jc w:val="left"/>
    </w:pPr>
    <w:rPr>
      <w:rFonts w:ascii="宋体" w:hAnsi="宋体" w:eastAsia="宋体" w:cs="宋体"/>
      <w:sz w:val="21"/>
      <w:szCs w:val="24"/>
    </w:rPr>
  </w:style>
  <w:style w:type="character" w:customStyle="1" w:styleId="1643">
    <w:name w:val="content_project11"/>
    <w:uiPriority w:val="0"/>
    <w:rPr>
      <w:rFonts w:hint="default" w:ascii="ˎ̥" w:hAnsi="ˎ̥"/>
      <w:sz w:val="20"/>
      <w:szCs w:val="20"/>
    </w:rPr>
  </w:style>
  <w:style w:type="character" w:customStyle="1" w:styleId="1644">
    <w:name w:val="title_project11"/>
    <w:uiPriority w:val="0"/>
    <w:rPr>
      <w:b/>
      <w:bCs/>
      <w:sz w:val="20"/>
      <w:szCs w:val="20"/>
    </w:rPr>
  </w:style>
  <w:style w:type="character" w:customStyle="1" w:styleId="1645">
    <w:name w:val="google-src-text1"/>
    <w:uiPriority w:val="0"/>
    <w:rPr>
      <w:vanish/>
    </w:rPr>
  </w:style>
  <w:style w:type="paragraph" w:customStyle="1" w:styleId="1646">
    <w:name w:val="一级标题样式"/>
    <w:basedOn w:val="2"/>
    <w:link w:val="1650"/>
    <w:uiPriority w:val="0"/>
    <w:pPr>
      <w:keepNext w:val="0"/>
      <w:keepLines w:val="0"/>
      <w:widowControl/>
      <w:tabs>
        <w:tab w:val="left" w:pos="1308"/>
        <w:tab w:val="left" w:pos="3300"/>
        <w:tab w:val="center" w:pos="4252"/>
        <w:tab w:val="clear" w:pos="1080"/>
      </w:tabs>
      <w:spacing w:before="300" w:after="300" w:line="240" w:lineRule="auto"/>
      <w:ind w:firstLine="0"/>
      <w:jc w:val="left"/>
    </w:pPr>
    <w:rPr>
      <w:rFonts w:ascii="Arial" w:hAnsi="Arial" w:cs="Arial"/>
      <w:bCs/>
      <w:kern w:val="32"/>
      <w:szCs w:val="36"/>
      <w:lang w:val="en-US" w:eastAsia="zh-CN" w:bidi="en-US"/>
    </w:rPr>
  </w:style>
  <w:style w:type="paragraph" w:customStyle="1" w:styleId="1647">
    <w:name w:val="二级标题样式"/>
    <w:basedOn w:val="3"/>
    <w:link w:val="1652"/>
    <w:uiPriority w:val="0"/>
    <w:pPr>
      <w:keepLines w:val="0"/>
      <w:widowControl/>
      <w:numPr>
        <w:numId w:val="0"/>
      </w:numPr>
      <w:spacing w:before="160" w:after="160" w:line="360" w:lineRule="auto"/>
      <w:ind w:left="425"/>
      <w:jc w:val="left"/>
    </w:pPr>
    <w:rPr>
      <w:rFonts w:ascii="Arial" w:eastAsia="宋体" w:cs="宋体"/>
      <w:iCs/>
      <w:color w:val="000000"/>
      <w:kern w:val="0"/>
      <w:sz w:val="30"/>
      <w:szCs w:val="28"/>
      <w:lang w:val="en-US" w:eastAsia="zh-CN" w:bidi="en-US"/>
    </w:rPr>
  </w:style>
  <w:style w:type="paragraph" w:customStyle="1" w:styleId="1648">
    <w:name w:val="三级标题啊"/>
    <w:basedOn w:val="5"/>
    <w:link w:val="1649"/>
    <w:qFormat/>
    <w:uiPriority w:val="0"/>
    <w:pPr>
      <w:keepLines w:val="0"/>
      <w:widowControl/>
      <w:numPr>
        <w:numId w:val="0"/>
      </w:numPr>
      <w:spacing w:before="60" w:after="60" w:line="360" w:lineRule="auto"/>
      <w:jc w:val="left"/>
    </w:pPr>
    <w:rPr>
      <w:rFonts w:ascii="Arial" w:hAnsi="Arial" w:eastAsia="宋体" w:cs="Arial"/>
      <w:color w:val="000000"/>
      <w:szCs w:val="24"/>
      <w:lang w:val="en-US" w:eastAsia="zh-CN" w:bidi="en-US"/>
    </w:rPr>
  </w:style>
  <w:style w:type="character" w:customStyle="1" w:styleId="1649">
    <w:name w:val="三级标题啊 Char"/>
    <w:link w:val="1648"/>
    <w:uiPriority w:val="0"/>
    <w:rPr>
      <w:rFonts w:ascii="Arial" w:hAnsi="Arial" w:cs="Arial"/>
      <w:b/>
      <w:bCs/>
      <w:color w:val="000000"/>
      <w:sz w:val="24"/>
      <w:szCs w:val="24"/>
      <w:lang w:bidi="en-US"/>
    </w:rPr>
  </w:style>
  <w:style w:type="character" w:customStyle="1" w:styleId="1650">
    <w:name w:val="一级标题样式 Char"/>
    <w:link w:val="1646"/>
    <w:uiPriority w:val="0"/>
    <w:rPr>
      <w:rFonts w:ascii="Arial" w:hAnsi="Arial" w:cs="Arial"/>
      <w:b/>
      <w:bCs/>
      <w:kern w:val="32"/>
      <w:sz w:val="36"/>
      <w:szCs w:val="36"/>
      <w:lang w:bidi="en-US"/>
    </w:rPr>
  </w:style>
  <w:style w:type="paragraph" w:customStyle="1" w:styleId="1651">
    <w:name w:val="三级标题样式"/>
    <w:basedOn w:val="5"/>
    <w:link w:val="1653"/>
    <w:uiPriority w:val="0"/>
    <w:pPr>
      <w:keepLines w:val="0"/>
      <w:widowControl/>
      <w:numPr>
        <w:numId w:val="0"/>
      </w:numPr>
      <w:spacing w:before="60" w:after="60" w:line="360" w:lineRule="auto"/>
      <w:jc w:val="left"/>
    </w:pPr>
    <w:rPr>
      <w:rFonts w:ascii="Arial" w:hAnsi="Arial" w:eastAsia="宋体" w:cs="Arial"/>
      <w:b w:val="0"/>
      <w:color w:val="000000"/>
      <w:szCs w:val="26"/>
      <w:lang w:val="en-US" w:eastAsia="zh-CN" w:bidi="en-US"/>
    </w:rPr>
  </w:style>
  <w:style w:type="character" w:customStyle="1" w:styleId="1652">
    <w:name w:val="二级标题样式 Char"/>
    <w:link w:val="1647"/>
    <w:uiPriority w:val="0"/>
    <w:rPr>
      <w:rFonts w:ascii="Arial" w:hAnsi="Arial" w:cs="宋体"/>
      <w:iCs/>
      <w:color w:val="000000"/>
      <w:sz w:val="30"/>
      <w:szCs w:val="28"/>
      <w:lang w:bidi="en-US"/>
    </w:rPr>
  </w:style>
  <w:style w:type="character" w:customStyle="1" w:styleId="1653">
    <w:name w:val="三级标题样式 Char"/>
    <w:link w:val="1651"/>
    <w:uiPriority w:val="0"/>
    <w:rPr>
      <w:rFonts w:ascii="Arial" w:hAnsi="Arial" w:cs="Arial"/>
      <w:bCs/>
      <w:color w:val="000000"/>
      <w:sz w:val="24"/>
      <w:szCs w:val="26"/>
      <w:lang w:bidi="en-US"/>
    </w:rPr>
  </w:style>
  <w:style w:type="character" w:customStyle="1" w:styleId="1654">
    <w:name w:val="正文样式 Char"/>
    <w:link w:val="1150"/>
    <w:uiPriority w:val="0"/>
    <w:rPr>
      <w:spacing w:val="4"/>
      <w:kern w:val="2"/>
      <w:szCs w:val="24"/>
    </w:rPr>
  </w:style>
  <w:style w:type="paragraph" w:customStyle="1" w:styleId="1655">
    <w:name w:val="表格标题样式"/>
    <w:basedOn w:val="6"/>
    <w:link w:val="1656"/>
    <w:uiPriority w:val="0"/>
    <w:pPr>
      <w:keepLines w:val="0"/>
      <w:widowControl/>
      <w:numPr>
        <w:ilvl w:val="0"/>
        <w:numId w:val="0"/>
      </w:numPr>
      <w:adjustRightInd/>
      <w:spacing w:before="0" w:line="360" w:lineRule="auto"/>
      <w:ind w:firstLine="200" w:firstLineChars="200"/>
      <w:jc w:val="center"/>
    </w:pPr>
    <w:rPr>
      <w:rFonts w:eastAsia="宋体" w:cs="宋体"/>
      <w:bCs/>
      <w:i/>
      <w:color w:val="000000"/>
      <w:kern w:val="0"/>
      <w:sz w:val="21"/>
      <w:szCs w:val="24"/>
      <w:lang w:val="en-US" w:eastAsia="zh-CN" w:bidi="en-US"/>
    </w:rPr>
  </w:style>
  <w:style w:type="character" w:customStyle="1" w:styleId="1656">
    <w:name w:val="表格标题样式 Char"/>
    <w:link w:val="1655"/>
    <w:uiPriority w:val="0"/>
    <w:rPr>
      <w:rFonts w:ascii="Arial" w:hAnsi="Arial" w:cs="宋体"/>
      <w:b/>
      <w:bCs/>
      <w:i/>
      <w:color w:val="000000"/>
      <w:sz w:val="21"/>
      <w:szCs w:val="24"/>
      <w:lang w:bidi="en-US"/>
    </w:rPr>
  </w:style>
  <w:style w:type="paragraph" w:customStyle="1" w:styleId="1657">
    <w:name w:val="表格样式122"/>
    <w:basedOn w:val="1"/>
    <w:link w:val="1658"/>
    <w:uiPriority w:val="0"/>
    <w:pPr>
      <w:widowControl/>
      <w:spacing w:line="0" w:lineRule="atLeast"/>
      <w:ind w:firstLine="200" w:firstLineChars="200"/>
      <w:jc w:val="center"/>
    </w:pPr>
    <w:rPr>
      <w:rFonts w:ascii="Arial" w:hAnsi="Arial" w:eastAsia="宋体" w:cs="宋体"/>
      <w:color w:val="000000"/>
      <w:kern w:val="0"/>
      <w:sz w:val="20"/>
      <w:szCs w:val="21"/>
      <w:lang w:eastAsia="en-US" w:bidi="en-US"/>
    </w:rPr>
  </w:style>
  <w:style w:type="character" w:customStyle="1" w:styleId="1658">
    <w:name w:val="表格样式122 Char"/>
    <w:link w:val="1657"/>
    <w:uiPriority w:val="0"/>
    <w:rPr>
      <w:rFonts w:ascii="Arial" w:hAnsi="Arial" w:cs="宋体"/>
      <w:color w:val="000000"/>
      <w:szCs w:val="21"/>
      <w:lang w:eastAsia="en-US" w:bidi="en-US"/>
    </w:rPr>
  </w:style>
  <w:style w:type="paragraph" w:customStyle="1" w:styleId="1659">
    <w:name w:val="Char Char1 Char Char Char Char Char Char Char Char Char Char Char Char Char Char Char Char Char Char Char Char1 Char3"/>
    <w:basedOn w:val="1"/>
    <w:uiPriority w:val="0"/>
    <w:pPr>
      <w:widowControl/>
      <w:spacing w:line="360" w:lineRule="auto"/>
      <w:ind w:firstLine="200" w:firstLineChars="200"/>
      <w:jc w:val="left"/>
    </w:pPr>
    <w:rPr>
      <w:rFonts w:ascii="宋体" w:hAnsi="宋体" w:eastAsia="宋体" w:cs="宋体"/>
      <w:sz w:val="24"/>
      <w:szCs w:val="24"/>
    </w:rPr>
  </w:style>
  <w:style w:type="character" w:customStyle="1" w:styleId="1660">
    <w:name w:val="neirong2"/>
    <w:uiPriority w:val="0"/>
    <w:rPr>
      <w:rFonts w:hint="eastAsia" w:ascii="宋体" w:hAnsi="宋体" w:eastAsia="宋体"/>
      <w:color w:val="000000"/>
      <w:sz w:val="18"/>
      <w:szCs w:val="18"/>
      <w:u w:val="none"/>
    </w:rPr>
  </w:style>
  <w:style w:type="character" w:customStyle="1" w:styleId="1661">
    <w:name w:val="一级标题 Char"/>
    <w:link w:val="714"/>
    <w:uiPriority w:val="0"/>
    <w:rPr>
      <w:b/>
      <w:kern w:val="2"/>
      <w:sz w:val="32"/>
      <w:szCs w:val="24"/>
    </w:rPr>
  </w:style>
  <w:style w:type="paragraph" w:customStyle="1" w:styleId="1662">
    <w:name w:val="第1章"/>
    <w:basedOn w:val="714"/>
    <w:uiPriority w:val="0"/>
    <w:pPr>
      <w:pageBreakBefore/>
      <w:widowControl/>
      <w:tabs>
        <w:tab w:val="left" w:pos="1308"/>
      </w:tabs>
      <w:spacing w:before="300" w:after="300" w:line="240" w:lineRule="auto"/>
      <w:ind w:left="425"/>
      <w:jc w:val="center"/>
    </w:pPr>
    <w:rPr>
      <w:rFonts w:ascii="Arial" w:hAnsi="Arial" w:eastAsia="黑体" w:cs="Arial"/>
      <w:bCs/>
      <w:kern w:val="32"/>
      <w:sz w:val="36"/>
      <w:szCs w:val="36"/>
      <w:lang w:bidi="en-US"/>
    </w:rPr>
  </w:style>
  <w:style w:type="paragraph" w:customStyle="1" w:styleId="1663">
    <w:name w:val="Char Char Char Char Char Char Char1 Char Char Char Char Char Char Char1"/>
    <w:basedOn w:val="1"/>
    <w:uiPriority w:val="0"/>
    <w:pPr>
      <w:widowControl/>
      <w:tabs>
        <w:tab w:val="left" w:pos="432"/>
      </w:tabs>
      <w:ind w:left="432" w:hanging="432"/>
      <w:jc w:val="left"/>
    </w:pPr>
    <w:rPr>
      <w:rFonts w:ascii="Tahoma" w:hAnsi="Tahoma" w:eastAsia="宋体" w:cs="宋体"/>
      <w:sz w:val="24"/>
      <w:szCs w:val="24"/>
    </w:rPr>
  </w:style>
  <w:style w:type="paragraph" w:customStyle="1" w:styleId="1664">
    <w:name w:val="pic-info"/>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65">
    <w:name w:val="Char Char Char11"/>
    <w:uiPriority w:val="0"/>
    <w:rPr>
      <w:rFonts w:ascii="Arial" w:hAnsi="Arial" w:eastAsia="宋体"/>
      <w:b/>
      <w:bCs/>
      <w:kern w:val="2"/>
      <w:sz w:val="28"/>
      <w:szCs w:val="32"/>
      <w:lang w:val="en-US" w:eastAsia="zh-CN" w:bidi="ar-SA"/>
    </w:rPr>
  </w:style>
  <w:style w:type="paragraph" w:customStyle="1" w:styleId="1666">
    <w:name w:val="Char Char Char Char Char Char Char Char Char Char Char Char Char Char Char Char Char Char Char Char Char Char Char Char Char Char Char Char Char Char Char Char Char Char Char Char Char Char Char Char Char Char Char1"/>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1667">
    <w:name w:val="Char Char Char2 Char Char Char Char Char Char Char Char Char Char Char Char Char1"/>
    <w:basedOn w:val="1"/>
    <w:uiPriority w:val="0"/>
    <w:pPr>
      <w:widowControl/>
      <w:spacing w:line="360" w:lineRule="auto"/>
      <w:ind w:firstLine="200" w:firstLineChars="200"/>
      <w:jc w:val="left"/>
    </w:pPr>
    <w:rPr>
      <w:rFonts w:ascii="宋体" w:hAnsi="宋体" w:eastAsia="宋体" w:cs="宋体"/>
      <w:sz w:val="24"/>
      <w:szCs w:val="24"/>
    </w:rPr>
  </w:style>
  <w:style w:type="character" w:customStyle="1" w:styleId="1668">
    <w:name w:val="标题 9 Char1"/>
    <w:semiHidden/>
    <w:uiPriority w:val="0"/>
    <w:rPr>
      <w:rFonts w:ascii="Cambria" w:hAnsi="Cambria" w:eastAsia="宋体" w:cs="Times New Roman"/>
      <w:kern w:val="2"/>
      <w:sz w:val="21"/>
      <w:szCs w:val="21"/>
    </w:rPr>
  </w:style>
  <w:style w:type="paragraph" w:customStyle="1" w:styleId="1669">
    <w:name w:val="正文B"/>
    <w:basedOn w:val="1258"/>
    <w:link w:val="1670"/>
    <w:uiPriority w:val="0"/>
    <w:pPr>
      <w:widowControl w:val="0"/>
      <w:tabs>
        <w:tab w:val="clear" w:pos="0"/>
      </w:tabs>
      <w:adjustRightInd/>
      <w:spacing w:before="0" w:line="540" w:lineRule="exact"/>
      <w:ind w:firstLine="200" w:firstLineChars="200"/>
    </w:pPr>
    <w:rPr>
      <w:rFonts w:cs="宋体"/>
      <w:snapToGrid/>
      <w:kern w:val="2"/>
    </w:rPr>
  </w:style>
  <w:style w:type="character" w:customStyle="1" w:styleId="1670">
    <w:name w:val="正文B Char"/>
    <w:link w:val="1669"/>
    <w:uiPriority w:val="0"/>
    <w:rPr>
      <w:rFonts w:cs="宋体"/>
      <w:kern w:val="2"/>
      <w:sz w:val="24"/>
    </w:rPr>
  </w:style>
  <w:style w:type="character" w:customStyle="1" w:styleId="1671">
    <w:name w:val="三级标题www Char"/>
    <w:uiPriority w:val="0"/>
    <w:rPr>
      <w:rFonts w:ascii="Arial" w:hAnsi="Arial"/>
      <w:b/>
      <w:bCs/>
      <w:sz w:val="24"/>
      <w:szCs w:val="24"/>
    </w:rPr>
  </w:style>
  <w:style w:type="character" w:customStyle="1" w:styleId="1672">
    <w:name w:val="gary101"/>
    <w:uiPriority w:val="0"/>
    <w:rPr>
      <w:color w:val="000000"/>
      <w:sz w:val="21"/>
      <w:szCs w:val="21"/>
      <w:u w:val="none"/>
    </w:rPr>
  </w:style>
  <w:style w:type="paragraph" w:customStyle="1" w:styleId="1673">
    <w:name w:val="正文缩近"/>
    <w:basedOn w:val="1"/>
    <w:uiPriority w:val="0"/>
    <w:pPr>
      <w:widowControl/>
      <w:spacing w:line="360" w:lineRule="auto"/>
      <w:ind w:firstLine="560" w:firstLineChars="200"/>
      <w:jc w:val="left"/>
    </w:pPr>
    <w:rPr>
      <w:rFonts w:ascii="宋体" w:hAnsi="宋体" w:eastAsia="宋体" w:cs="宋体"/>
      <w:szCs w:val="28"/>
    </w:rPr>
  </w:style>
  <w:style w:type="character" w:customStyle="1" w:styleId="1674">
    <w:name w:val="正文001 Char Char Char"/>
    <w:link w:val="1675"/>
    <w:uiPriority w:val="0"/>
    <w:rPr>
      <w:kern w:val="2"/>
      <w:sz w:val="24"/>
    </w:rPr>
  </w:style>
  <w:style w:type="paragraph" w:customStyle="1" w:styleId="1675">
    <w:name w:val="正文001 Char Char"/>
    <w:basedOn w:val="1"/>
    <w:link w:val="1674"/>
    <w:uiPriority w:val="0"/>
    <w:pPr>
      <w:widowControl/>
      <w:spacing w:before="60" w:line="420" w:lineRule="exact"/>
      <w:ind w:firstLine="482"/>
      <w:jc w:val="left"/>
    </w:pPr>
    <w:rPr>
      <w:rFonts w:eastAsia="宋体"/>
      <w:sz w:val="24"/>
    </w:rPr>
  </w:style>
  <w:style w:type="character" w:customStyle="1" w:styleId="1676">
    <w:name w:val="link21"/>
    <w:uiPriority w:val="0"/>
    <w:rPr>
      <w:color w:val="7297BA"/>
      <w:sz w:val="18"/>
    </w:rPr>
  </w:style>
  <w:style w:type="paragraph" w:customStyle="1" w:styleId="1677">
    <w:name w:val="lzl"/>
    <w:basedOn w:val="63"/>
    <w:uiPriority w:val="0"/>
    <w:pPr>
      <w:widowControl/>
      <w:jc w:val="center"/>
    </w:pPr>
    <w:rPr>
      <w:rFonts w:ascii="宋体" w:hAnsi="宋体" w:cs="宋体"/>
      <w:sz w:val="21"/>
      <w:szCs w:val="20"/>
    </w:rPr>
  </w:style>
  <w:style w:type="paragraph" w:customStyle="1" w:styleId="1678">
    <w:name w:val="方程"/>
    <w:basedOn w:val="1"/>
    <w:uiPriority w:val="0"/>
    <w:pPr>
      <w:widowControl/>
      <w:overflowPunct w:val="0"/>
      <w:adjustRightInd w:val="0"/>
      <w:spacing w:before="60" w:after="60" w:line="440" w:lineRule="atLeast"/>
      <w:ind w:firstLine="482"/>
      <w:jc w:val="center"/>
      <w:textAlignment w:val="bottom"/>
    </w:pPr>
    <w:rPr>
      <w:rFonts w:ascii="CG Times (W1)" w:hAnsi="CG Times (W1)" w:eastAsia="宋体" w:cs="宋体"/>
      <w:kern w:val="0"/>
      <w:szCs w:val="24"/>
    </w:rPr>
  </w:style>
  <w:style w:type="character" w:customStyle="1" w:styleId="1679">
    <w:name w:val="tt41"/>
    <w:basedOn w:val="132"/>
    <w:uiPriority w:val="0"/>
  </w:style>
  <w:style w:type="paragraph" w:customStyle="1" w:styleId="1680">
    <w:name w:val="样式 (中文) 仿宋_GB2312 四号 首行缩进:  0.98 厘米 行距: 固定值 22 磅"/>
    <w:basedOn w:val="1"/>
    <w:uiPriority w:val="0"/>
    <w:pPr>
      <w:widowControl/>
      <w:spacing w:line="300" w:lineRule="auto"/>
      <w:ind w:firstLine="556"/>
      <w:jc w:val="left"/>
    </w:pPr>
    <w:rPr>
      <w:rFonts w:ascii="宋体" w:hAnsi="宋体" w:cs="宋体"/>
      <w:spacing w:val="-2"/>
      <w:szCs w:val="24"/>
    </w:rPr>
  </w:style>
  <w:style w:type="paragraph" w:customStyle="1" w:styleId="1681">
    <w:name w:val="正文 首行缩进:  2 字符"/>
    <w:basedOn w:val="1"/>
    <w:uiPriority w:val="0"/>
    <w:pPr>
      <w:widowControl/>
      <w:spacing w:line="360" w:lineRule="auto"/>
      <w:ind w:firstLine="480" w:firstLineChars="200"/>
      <w:jc w:val="left"/>
    </w:pPr>
    <w:rPr>
      <w:rFonts w:ascii="宋体" w:hAnsi="宋体" w:eastAsia="宋体" w:cs="宋体"/>
      <w:sz w:val="24"/>
      <w:szCs w:val="24"/>
    </w:rPr>
  </w:style>
  <w:style w:type="paragraph" w:customStyle="1" w:styleId="1682">
    <w:name w:val="标题111 Char Char Char Char Char Char Char Char Char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1683">
    <w:name w:val="indexfont"/>
    <w:basedOn w:val="1"/>
    <w:uiPriority w:val="0"/>
    <w:pPr>
      <w:widowControl/>
      <w:jc w:val="left"/>
    </w:pPr>
    <w:rPr>
      <w:rFonts w:ascii="宋体" w:hAnsi="宋体" w:eastAsia="宋体" w:cs="宋体"/>
      <w:kern w:val="0"/>
      <w:sz w:val="24"/>
      <w:szCs w:val="24"/>
    </w:rPr>
  </w:style>
  <w:style w:type="paragraph" w:customStyle="1" w:styleId="1684">
    <w:name w:val="表格式"/>
    <w:basedOn w:val="66"/>
    <w:uiPriority w:val="0"/>
    <w:pPr>
      <w:widowControl/>
      <w:spacing w:before="60" w:after="100" w:line="320" w:lineRule="exact"/>
      <w:ind w:left="0" w:firstLine="0" w:firstLineChars="0"/>
      <w:jc w:val="center"/>
    </w:pPr>
    <w:rPr>
      <w:rFonts w:ascii="宋体" w:hAnsi="Brush Script MT" w:eastAsia="宋体" w:cs="宋体"/>
      <w:sz w:val="21"/>
      <w:lang w:val="en-US" w:eastAsia="zh-CN"/>
    </w:rPr>
  </w:style>
  <w:style w:type="character" w:customStyle="1" w:styleId="1685">
    <w:name w:val="正文A Char"/>
    <w:uiPriority w:val="0"/>
    <w:rPr>
      <w:rFonts w:eastAsia="宋体" w:cs="宋体"/>
      <w:kern w:val="2"/>
      <w:sz w:val="24"/>
      <w:lang w:val="en-US" w:eastAsia="zh-CN" w:bidi="ar-SA"/>
    </w:rPr>
  </w:style>
  <w:style w:type="paragraph" w:customStyle="1" w:styleId="1686">
    <w:name w:val="bt_content p6 p6"/>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87">
    <w:name w:val="MTEquationSection"/>
    <w:uiPriority w:val="0"/>
    <w:rPr>
      <w:vanish/>
      <w:color w:val="FF0000"/>
    </w:rPr>
  </w:style>
  <w:style w:type="paragraph" w:customStyle="1" w:styleId="1688">
    <w:name w:val="样式 (中文) 宋体 行距: 固定值 23 磅"/>
    <w:basedOn w:val="1"/>
    <w:uiPriority w:val="0"/>
    <w:pPr>
      <w:widowControl/>
      <w:spacing w:line="460" w:lineRule="exact"/>
      <w:ind w:firstLine="520" w:firstLineChars="200"/>
      <w:jc w:val="left"/>
    </w:pPr>
    <w:rPr>
      <w:rFonts w:ascii="宋体" w:hAnsi="宋体" w:eastAsia="宋体" w:cs="宋体"/>
      <w:sz w:val="24"/>
      <w:szCs w:val="24"/>
    </w:rPr>
  </w:style>
  <w:style w:type="paragraph" w:customStyle="1" w:styleId="1689">
    <w:name w:val="样式 正文我的正文 +"/>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1690">
    <w:name w:val="标题B"/>
    <w:basedOn w:val="1"/>
    <w:uiPriority w:val="0"/>
    <w:pPr>
      <w:widowControl/>
      <w:jc w:val="left"/>
      <w:outlineLvl w:val="1"/>
    </w:pPr>
    <w:rPr>
      <w:rFonts w:ascii="宋体" w:hAnsi="宋体" w:eastAsia="宋体" w:cs="宋体"/>
      <w:b/>
      <w:szCs w:val="28"/>
    </w:rPr>
  </w:style>
  <w:style w:type="paragraph" w:customStyle="1" w:styleId="1691">
    <w:name w:val="样式 样式 纯文本 Char普通文字 Char普通文字 Char CharChar普通文字 Char Char Char C....."/>
    <w:basedOn w:val="1"/>
    <w:uiPriority w:val="0"/>
    <w:pPr>
      <w:widowControl/>
      <w:snapToGrid w:val="0"/>
      <w:spacing w:line="360" w:lineRule="auto"/>
      <w:ind w:firstLine="200" w:firstLineChars="200"/>
      <w:jc w:val="left"/>
    </w:pPr>
    <w:rPr>
      <w:rFonts w:ascii="Arial" w:hAnsi="Arial" w:eastAsia="宋体" w:cs="宋体"/>
      <w:sz w:val="24"/>
      <w:szCs w:val="24"/>
    </w:rPr>
  </w:style>
  <w:style w:type="character" w:customStyle="1" w:styleId="1692">
    <w:name w:val="A2"/>
    <w:semiHidden/>
    <w:uiPriority w:val="0"/>
    <w:rPr>
      <w:color w:val="000000"/>
    </w:rPr>
  </w:style>
  <w:style w:type="paragraph" w:customStyle="1" w:styleId="1693">
    <w:name w:val="样式 标题 3标题 3 Char标题 3 Char Char标题 31 Char标题 31H3H31H32H33...4"/>
    <w:basedOn w:val="5"/>
    <w:uiPriority w:val="0"/>
    <w:pPr>
      <w:widowControl/>
      <w:numPr>
        <w:numId w:val="0"/>
      </w:numPr>
      <w:tabs>
        <w:tab w:val="left" w:pos="480"/>
      </w:tabs>
      <w:spacing w:before="0" w:after="0" w:line="560" w:lineRule="exact"/>
      <w:jc w:val="left"/>
    </w:pPr>
    <w:rPr>
      <w:rFonts w:ascii="Arial" w:hAnsi="Arial" w:cs="Arial"/>
      <w:b w:val="0"/>
      <w:bCs w:val="0"/>
      <w:sz w:val="28"/>
      <w:szCs w:val="28"/>
      <w:lang w:eastAsia="zh-CN"/>
    </w:rPr>
  </w:style>
  <w:style w:type="paragraph" w:customStyle="1" w:styleId="1694">
    <w:name w:val="Pa0"/>
    <w:basedOn w:val="1"/>
    <w:next w:val="1"/>
    <w:semiHidden/>
    <w:uiPriority w:val="0"/>
    <w:pPr>
      <w:widowControl/>
      <w:autoSpaceDE w:val="0"/>
      <w:autoSpaceDN w:val="0"/>
      <w:adjustRightInd w:val="0"/>
      <w:spacing w:line="241" w:lineRule="atLeast"/>
      <w:jc w:val="left"/>
    </w:pPr>
    <w:rPr>
      <w:rFonts w:ascii="方正粗黑繁体2." w:hAnsi="宋体" w:eastAsia="方正粗黑繁体2." w:cs="宋体"/>
      <w:kern w:val="0"/>
      <w:sz w:val="20"/>
      <w:szCs w:val="24"/>
    </w:rPr>
  </w:style>
  <w:style w:type="paragraph" w:customStyle="1" w:styleId="1695">
    <w:name w:val="Char Char Char Char Char Char1 Char Char Char Char Char Char Char Char Char Char Char Char Char Char Char Char Char Char Char Char Char Char Char Char Char"/>
    <w:basedOn w:val="1"/>
    <w:uiPriority w:val="0"/>
    <w:pPr>
      <w:widowControl/>
      <w:jc w:val="left"/>
    </w:pPr>
    <w:rPr>
      <w:rFonts w:ascii="宋体" w:hAnsi="宋体" w:eastAsia="宋体" w:cs="宋体"/>
      <w:sz w:val="24"/>
      <w:szCs w:val="24"/>
    </w:rPr>
  </w:style>
  <w:style w:type="paragraph" w:customStyle="1" w:styleId="1696">
    <w:name w:val="样式 正文文本缩进 2 + 左侧:  2 字符"/>
    <w:basedOn w:val="51"/>
    <w:uiPriority w:val="0"/>
    <w:pPr>
      <w:widowControl/>
      <w:spacing w:line="460" w:lineRule="exact"/>
      <w:ind w:firstLine="200" w:firstLineChars="200"/>
      <w:jc w:val="left"/>
    </w:pPr>
    <w:rPr>
      <w:rFonts w:cs="宋体"/>
      <w:lang w:val="en-US" w:eastAsia="zh-CN"/>
    </w:rPr>
  </w:style>
  <w:style w:type="paragraph" w:customStyle="1" w:styleId="1697">
    <w:name w:val="段落编号"/>
    <w:basedOn w:val="51"/>
    <w:uiPriority w:val="0"/>
    <w:pPr>
      <w:widowControl/>
      <w:tabs>
        <w:tab w:val="left" w:pos="360"/>
      </w:tabs>
      <w:adjustRightInd w:val="0"/>
      <w:spacing w:before="120" w:after="60" w:line="400" w:lineRule="exact"/>
      <w:ind w:left="340" w:hanging="340"/>
      <w:jc w:val="left"/>
      <w:textAlignment w:val="baseline"/>
    </w:pPr>
    <w:rPr>
      <w:rFonts w:cs="宋体"/>
      <w:spacing w:val="20"/>
      <w:kern w:val="0"/>
      <w:sz w:val="28"/>
      <w:lang w:val="en-US" w:eastAsia="zh-CN"/>
    </w:rPr>
  </w:style>
  <w:style w:type="character" w:customStyle="1" w:styleId="1698">
    <w:name w:val="lb21"/>
    <w:semiHidden/>
    <w:uiPriority w:val="0"/>
    <w:rPr>
      <w:color w:val="000000"/>
      <w:sz w:val="21"/>
    </w:rPr>
  </w:style>
  <w:style w:type="character" w:customStyle="1" w:styleId="1699">
    <w:name w:val="样式 仿宋_GB2312 加粗"/>
    <w:uiPriority w:val="0"/>
    <w:rPr>
      <w:rFonts w:ascii="仿宋_GB2312"/>
      <w:b/>
      <w:bCs/>
      <w:sz w:val="28"/>
      <w:szCs w:val="28"/>
    </w:rPr>
  </w:style>
  <w:style w:type="paragraph" w:customStyle="1" w:styleId="1700">
    <w:name w:val="Char Char Char Char Char Char Char Char Char Char Char Char Char Char Char Char Char Char Char Char Char Char Char Char Char Char Char Char Char Char Char Char Char Char Char Char Char Char Char Char"/>
    <w:basedOn w:val="1"/>
    <w:uiPriority w:val="0"/>
    <w:pPr>
      <w:widowControl/>
      <w:jc w:val="left"/>
    </w:pPr>
    <w:rPr>
      <w:rFonts w:ascii="宋体" w:hAnsi="宋体" w:eastAsia="宋体" w:cs="宋体"/>
      <w:sz w:val="24"/>
      <w:szCs w:val="24"/>
    </w:rPr>
  </w:style>
  <w:style w:type="character" w:customStyle="1" w:styleId="1701">
    <w:name w:val="keyword"/>
    <w:uiPriority w:val="0"/>
  </w:style>
  <w:style w:type="paragraph" w:customStyle="1" w:styleId="1702">
    <w:name w:val="abstracts"/>
    <w:basedOn w:val="1"/>
    <w:uiPriority w:val="0"/>
    <w:pPr>
      <w:widowControl/>
      <w:spacing w:before="251" w:after="167" w:line="360" w:lineRule="auto"/>
      <w:ind w:left="167" w:right="167" w:firstLine="480"/>
      <w:jc w:val="left"/>
    </w:pPr>
    <w:rPr>
      <w:rFonts w:ascii="宋体" w:hAnsi="宋体" w:eastAsia="宋体" w:cs="宋体"/>
      <w:kern w:val="0"/>
      <w:sz w:val="24"/>
      <w:szCs w:val="24"/>
    </w:rPr>
  </w:style>
  <w:style w:type="paragraph" w:customStyle="1" w:styleId="1703">
    <w:name w:val="样式 五号 居中"/>
    <w:basedOn w:val="1"/>
    <w:uiPriority w:val="0"/>
    <w:pPr>
      <w:widowControl/>
      <w:spacing w:line="240" w:lineRule="atLeast"/>
      <w:jc w:val="center"/>
    </w:pPr>
    <w:rPr>
      <w:rFonts w:ascii="宋体" w:hAnsi="宋体" w:eastAsia="宋体" w:cs="宋体"/>
      <w:color w:val="000000"/>
      <w:kern w:val="0"/>
      <w:sz w:val="22"/>
      <w:szCs w:val="24"/>
    </w:rPr>
  </w:style>
  <w:style w:type="paragraph" w:customStyle="1" w:styleId="1704">
    <w:name w:val="列表编号 6"/>
    <w:basedOn w:val="65"/>
    <w:uiPriority w:val="0"/>
    <w:pPr>
      <w:widowControl/>
    </w:pPr>
    <w:rPr>
      <w:rFonts w:ascii="宋体" w:hAnsi="宋体" w:eastAsia="宋体" w:cs="宋体"/>
      <w:b w:val="0"/>
      <w:bCs/>
    </w:rPr>
  </w:style>
  <w:style w:type="paragraph" w:customStyle="1" w:styleId="1705">
    <w:name w:val="列表编号7"/>
    <w:basedOn w:val="46"/>
    <w:uiPriority w:val="0"/>
    <w:pPr>
      <w:tabs>
        <w:tab w:val="left" w:pos="1520"/>
        <w:tab w:val="clear" w:pos="2040"/>
      </w:tabs>
      <w:ind w:left="0" w:leftChars="0" w:firstLine="0" w:firstLineChars="0"/>
      <w:jc w:val="center"/>
    </w:pPr>
    <w:rPr>
      <w:rFonts w:hint="default" w:ascii="Times New Roman" w:hAnsi="Times New Roman" w:cs="宋体"/>
      <w:b/>
      <w:sz w:val="28"/>
    </w:rPr>
  </w:style>
  <w:style w:type="paragraph" w:customStyle="1" w:styleId="1706">
    <w:name w:val="图头"/>
    <w:basedOn w:val="1"/>
    <w:uiPriority w:val="0"/>
    <w:pPr>
      <w:widowControl/>
      <w:spacing w:beforeLines="50" w:afterLines="50" w:line="300" w:lineRule="auto"/>
      <w:jc w:val="center"/>
    </w:pPr>
    <w:rPr>
      <w:rFonts w:ascii="宋体" w:hAnsi="宋体" w:eastAsia="黑体" w:cs="宋体"/>
      <w:b/>
      <w:bCs/>
      <w:spacing w:val="2"/>
      <w:szCs w:val="24"/>
    </w:rPr>
  </w:style>
  <w:style w:type="paragraph" w:customStyle="1" w:styleId="1707">
    <w:name w:val="样式 标题 4 + (西文) Times New Roman (中文) 宋体 小四 居中 段前: 0 磅 段后: 0 ..."/>
    <w:basedOn w:val="6"/>
    <w:uiPriority w:val="0"/>
    <w:pPr>
      <w:widowControl/>
      <w:numPr>
        <w:ilvl w:val="0"/>
        <w:numId w:val="0"/>
      </w:numPr>
      <w:adjustRightInd/>
      <w:spacing w:before="0" w:line="360" w:lineRule="auto"/>
      <w:jc w:val="center"/>
    </w:pPr>
    <w:rPr>
      <w:rFonts w:ascii="Times New Roman" w:hAnsi="Times New Roman" w:eastAsia="宋体" w:cs="宋体"/>
      <w:b w:val="0"/>
      <w:bCs/>
      <w:sz w:val="26"/>
      <w:szCs w:val="26"/>
      <w:lang w:val="en-US" w:eastAsia="zh-CN"/>
    </w:rPr>
  </w:style>
  <w:style w:type="paragraph" w:customStyle="1" w:styleId="1708">
    <w:name w:val="样式 正文（首行缩进） + 首行缩进:  2 字符"/>
    <w:basedOn w:val="1"/>
    <w:uiPriority w:val="0"/>
    <w:pPr>
      <w:widowControl/>
      <w:spacing w:line="300" w:lineRule="auto"/>
      <w:ind w:firstLine="200" w:firstLineChars="200"/>
      <w:jc w:val="left"/>
    </w:pPr>
    <w:rPr>
      <w:rFonts w:ascii="宋体" w:hAnsi="宋体" w:eastAsia="宋体" w:cs="宋体"/>
      <w:sz w:val="24"/>
      <w:szCs w:val="24"/>
    </w:rPr>
  </w:style>
  <w:style w:type="paragraph" w:customStyle="1" w:styleId="1709">
    <w:name w:val="文本文字"/>
    <w:basedOn w:val="1"/>
    <w:uiPriority w:val="0"/>
    <w:pPr>
      <w:widowControl/>
      <w:jc w:val="left"/>
    </w:pPr>
    <w:rPr>
      <w:rFonts w:ascii="宋体" w:hAnsi="宋体" w:eastAsia="宋体" w:cs="宋体"/>
      <w:sz w:val="21"/>
      <w:szCs w:val="24"/>
    </w:rPr>
  </w:style>
  <w:style w:type="paragraph" w:customStyle="1" w:styleId="1710">
    <w:name w:val="lsw表格文字"/>
    <w:basedOn w:val="1"/>
    <w:uiPriority w:val="0"/>
    <w:pPr>
      <w:widowControl/>
      <w:ind w:left="-32" w:leftChars="-32" w:hanging="67" w:hangingChars="32"/>
      <w:jc w:val="center"/>
    </w:pPr>
    <w:rPr>
      <w:rFonts w:ascii="宋体" w:hAnsi="宋体" w:eastAsia="宋体" w:cs="宋体"/>
      <w:sz w:val="21"/>
      <w:szCs w:val="24"/>
    </w:rPr>
  </w:style>
  <w:style w:type="character" w:customStyle="1" w:styleId="1711">
    <w:name w:val="newsitemtext1"/>
    <w:uiPriority w:val="0"/>
  </w:style>
  <w:style w:type="paragraph" w:customStyle="1" w:styleId="1712">
    <w:name w:val="样式 正文首行缩进 + 首行缩进:  2 字符1"/>
    <w:basedOn w:val="40"/>
    <w:uiPriority w:val="0"/>
    <w:pPr>
      <w:widowControl/>
      <w:spacing w:after="0" w:line="360" w:lineRule="auto"/>
      <w:ind w:firstLine="480" w:firstLineChars="200"/>
    </w:pPr>
    <w:rPr>
      <w:rFonts w:hAnsi="宋体" w:eastAsia="宋体" w:cs="宋体"/>
      <w:sz w:val="24"/>
      <w:szCs w:val="24"/>
    </w:rPr>
  </w:style>
  <w:style w:type="paragraph" w:customStyle="1" w:styleId="1713">
    <w:name w:val="表格标题新"/>
    <w:basedOn w:val="1600"/>
    <w:uiPriority w:val="0"/>
    <w:pPr>
      <w:tabs>
        <w:tab w:val="left" w:pos="0"/>
      </w:tabs>
      <w:snapToGrid w:val="0"/>
      <w:spacing w:before="100" w:beforeLines="50" w:line="240" w:lineRule="auto"/>
      <w:ind w:firstLine="562"/>
    </w:pPr>
    <w:rPr>
      <w:rFonts w:ascii="仿宋_GB2312" w:hAnsi="宋体" w:eastAsia="黑体" w:cs="宋体"/>
      <w:b/>
      <w:snapToGrid w:val="0"/>
      <w:kern w:val="0"/>
      <w:sz w:val="24"/>
      <w:szCs w:val="24"/>
    </w:rPr>
  </w:style>
  <w:style w:type="paragraph" w:customStyle="1" w:styleId="1714">
    <w:name w:val="正文1-1"/>
    <w:basedOn w:val="1"/>
    <w:link w:val="1715"/>
    <w:uiPriority w:val="0"/>
    <w:pPr>
      <w:widowControl/>
      <w:snapToGrid w:val="0"/>
      <w:spacing w:line="360" w:lineRule="auto"/>
      <w:ind w:firstLine="200" w:firstLineChars="200"/>
      <w:jc w:val="left"/>
    </w:pPr>
    <w:rPr>
      <w:rFonts w:ascii="宋体" w:hAnsi="宋体" w:cs="宋体"/>
      <w:kern w:val="0"/>
      <w:szCs w:val="24"/>
      <w:lang w:val="zh-CN" w:eastAsia="zh-CN"/>
    </w:rPr>
  </w:style>
  <w:style w:type="character" w:customStyle="1" w:styleId="1715">
    <w:name w:val="正文1-1 Char"/>
    <w:link w:val="1714"/>
    <w:uiPriority w:val="0"/>
    <w:rPr>
      <w:rFonts w:ascii="宋体" w:hAnsi="宋体" w:eastAsia="仿宋_GB2312" w:cs="宋体"/>
      <w:sz w:val="28"/>
      <w:szCs w:val="24"/>
      <w:lang w:val="zh-CN" w:eastAsia="zh-CN"/>
    </w:rPr>
  </w:style>
  <w:style w:type="paragraph" w:customStyle="1" w:styleId="1716">
    <w:name w:val="文本框标题"/>
    <w:basedOn w:val="1"/>
    <w:uiPriority w:val="0"/>
    <w:pPr>
      <w:widowControl/>
      <w:adjustRightInd w:val="0"/>
      <w:snapToGrid w:val="0"/>
      <w:jc w:val="center"/>
    </w:pPr>
    <w:rPr>
      <w:rFonts w:ascii="宋体" w:hAnsi="宋体" w:eastAsia="黑体" w:cs="宋体"/>
      <w:sz w:val="24"/>
      <w:szCs w:val="24"/>
    </w:rPr>
  </w:style>
  <w:style w:type="character" w:customStyle="1" w:styleId="1717">
    <w:name w:val="报告 Char"/>
    <w:link w:val="626"/>
    <w:uiPriority w:val="0"/>
    <w:rPr>
      <w:color w:val="000000"/>
      <w:spacing w:val="8"/>
      <w:sz w:val="24"/>
      <w:szCs w:val="28"/>
    </w:rPr>
  </w:style>
  <w:style w:type="character" w:customStyle="1" w:styleId="1718">
    <w:name w:val="keyword1"/>
    <w:uiPriority w:val="0"/>
    <w:rPr>
      <w:color w:val="FF0000"/>
    </w:rPr>
  </w:style>
  <w:style w:type="character" w:customStyle="1" w:styleId="1719">
    <w:name w:val="Char Char4"/>
    <w:uiPriority w:val="0"/>
    <w:rPr>
      <w:rFonts w:ascii="宋体" w:hAnsi="宋体" w:eastAsia="楷体_GB2312" w:cs="宋体"/>
      <w:b/>
      <w:bCs/>
      <w:kern w:val="2"/>
      <w:sz w:val="32"/>
      <w:szCs w:val="32"/>
      <w:lang w:val="en-US" w:eastAsia="zh-CN" w:bidi="ar-SA"/>
    </w:rPr>
  </w:style>
  <w:style w:type="paragraph" w:customStyle="1" w:styleId="1720">
    <w:name w:val="样式 正文01 + (符号) Times New Roman 首行缩进:  2 字符"/>
    <w:basedOn w:val="164"/>
    <w:uiPriority w:val="0"/>
    <w:pPr>
      <w:widowControl/>
      <w:ind w:firstLine="480"/>
      <w:jc w:val="left"/>
    </w:pPr>
    <w:rPr>
      <w:rFonts w:ascii="宋体" w:hAnsi="宋体" w:cs="宋体"/>
      <w:szCs w:val="24"/>
    </w:rPr>
  </w:style>
  <w:style w:type="paragraph" w:customStyle="1" w:styleId="1721">
    <w:name w:val="Char Char Char Char Char Char Char Char Char Char Char Char1 Char Char Char Char"/>
    <w:basedOn w:val="1"/>
    <w:uiPriority w:val="0"/>
    <w:pPr>
      <w:widowControl/>
      <w:spacing w:line="360" w:lineRule="auto"/>
      <w:ind w:firstLine="200" w:firstLineChars="200"/>
      <w:jc w:val="left"/>
    </w:pPr>
    <w:rPr>
      <w:rFonts w:ascii="宋体" w:hAnsi="宋体" w:eastAsia="宋体" w:cs="宋体"/>
      <w:sz w:val="21"/>
      <w:szCs w:val="24"/>
    </w:rPr>
  </w:style>
  <w:style w:type="paragraph" w:customStyle="1" w:styleId="1722">
    <w:name w:val="表图题"/>
    <w:basedOn w:val="1"/>
    <w:uiPriority w:val="0"/>
    <w:pPr>
      <w:widowControl/>
      <w:spacing w:line="440" w:lineRule="exact"/>
      <w:ind w:firstLine="200" w:firstLineChars="200"/>
      <w:jc w:val="center"/>
    </w:pPr>
    <w:rPr>
      <w:rFonts w:ascii="宋体" w:hAnsi="宋体" w:eastAsia="华文细黑" w:cs="宋体"/>
      <w:b/>
      <w:sz w:val="21"/>
      <w:szCs w:val="21"/>
    </w:rPr>
  </w:style>
  <w:style w:type="paragraph" w:customStyle="1" w:styleId="1723">
    <w:name w:val="表头样式wwww"/>
    <w:basedOn w:val="1"/>
    <w:next w:val="1"/>
    <w:link w:val="1724"/>
    <w:uiPriority w:val="0"/>
    <w:pPr>
      <w:widowControl/>
      <w:jc w:val="left"/>
    </w:pPr>
    <w:rPr>
      <w:rFonts w:ascii="宋体" w:hAnsi="宋体" w:eastAsia="宋体" w:cs="宋体"/>
      <w:kern w:val="0"/>
      <w:sz w:val="24"/>
      <w:szCs w:val="24"/>
      <w:lang w:val="zh-CN" w:eastAsia="zh-CN"/>
    </w:rPr>
  </w:style>
  <w:style w:type="character" w:customStyle="1" w:styleId="1724">
    <w:name w:val="表头样式wwww Char"/>
    <w:link w:val="1723"/>
    <w:uiPriority w:val="0"/>
    <w:rPr>
      <w:rFonts w:ascii="宋体" w:hAnsi="宋体" w:cs="宋体"/>
      <w:sz w:val="24"/>
      <w:szCs w:val="24"/>
      <w:lang w:val="zh-CN" w:eastAsia="zh-CN"/>
    </w:rPr>
  </w:style>
  <w:style w:type="paragraph" w:customStyle="1" w:styleId="1725">
    <w:name w:val="样式 正文缩进首行缩进两字标题4正文不缩进s4正文（首行缩进两字） Char Char Char Char Char ...3"/>
    <w:basedOn w:val="4"/>
    <w:link w:val="1726"/>
    <w:uiPriority w:val="0"/>
    <w:pPr>
      <w:snapToGrid w:val="0"/>
      <w:spacing w:line="288" w:lineRule="auto"/>
      <w:ind w:firstLine="200" w:firstLineChars="200"/>
      <w:jc w:val="left"/>
    </w:pPr>
    <w:rPr>
      <w:rFonts w:ascii="宋体" w:hAnsi="宋体"/>
    </w:rPr>
  </w:style>
  <w:style w:type="character" w:customStyle="1" w:styleId="1726">
    <w:name w:val="样式 正文缩进首行缩进两字标题4正文不缩进s4正文（首行缩进两字） Char Char Char Char Char ...3 Char"/>
    <w:link w:val="1725"/>
    <w:uiPriority w:val="0"/>
    <w:rPr>
      <w:rFonts w:ascii="宋体" w:hAnsi="宋体" w:cs="Arial"/>
      <w:spacing w:val="10"/>
      <w:kern w:val="2"/>
      <w:sz w:val="24"/>
    </w:rPr>
  </w:style>
  <w:style w:type="paragraph" w:customStyle="1" w:styleId="1727">
    <w:name w:val="字元 字元3"/>
    <w:basedOn w:val="1"/>
    <w:uiPriority w:val="0"/>
    <w:pPr>
      <w:spacing w:line="360" w:lineRule="auto"/>
      <w:ind w:firstLine="200" w:firstLineChars="200"/>
    </w:pPr>
    <w:rPr>
      <w:rFonts w:ascii="宋体" w:hAnsi="宋体" w:eastAsia="宋体" w:cs="宋体"/>
      <w:sz w:val="24"/>
      <w:szCs w:val="24"/>
    </w:rPr>
  </w:style>
  <w:style w:type="paragraph" w:customStyle="1" w:styleId="1728">
    <w:name w:val="字元 字元11"/>
    <w:basedOn w:val="1"/>
    <w:uiPriority w:val="0"/>
    <w:pPr>
      <w:spacing w:line="360" w:lineRule="auto"/>
      <w:ind w:firstLine="200" w:firstLineChars="200"/>
    </w:pPr>
    <w:rPr>
      <w:rFonts w:ascii="宋体" w:hAnsi="宋体" w:eastAsia="宋体" w:cs="宋体"/>
      <w:sz w:val="24"/>
      <w:szCs w:val="24"/>
    </w:rPr>
  </w:style>
  <w:style w:type="character" w:customStyle="1" w:styleId="1729">
    <w:name w:val="正文缩进 Char1 Char Char Char2"/>
    <w:uiPriority w:val="0"/>
    <w:rPr>
      <w:rFonts w:eastAsia="宋体"/>
      <w:lang w:val="en-US" w:eastAsia="zh-CN"/>
    </w:rPr>
  </w:style>
  <w:style w:type="paragraph" w:customStyle="1" w:styleId="1730">
    <w:name w:val="正文首行缩进3"/>
    <w:basedOn w:val="33"/>
    <w:uiPriority w:val="0"/>
    <w:pPr>
      <w:tabs>
        <w:tab w:val="left" w:pos="7840"/>
      </w:tabs>
      <w:adjustRightInd w:val="0"/>
      <w:spacing w:line="360" w:lineRule="auto"/>
      <w:ind w:firstLine="567"/>
      <w:textAlignment w:val="baseline"/>
    </w:pPr>
    <w:rPr>
      <w:rFonts w:eastAsia="宋体"/>
      <w:kern w:val="28"/>
      <w:lang w:val="en-US" w:eastAsia="zh-CN"/>
    </w:rPr>
  </w:style>
  <w:style w:type="character" w:customStyle="1" w:styleId="1731">
    <w:name w:val="超链接2"/>
    <w:uiPriority w:val="0"/>
    <w:rPr>
      <w:color w:val="0000FF"/>
      <w:u w:val="single"/>
    </w:rPr>
  </w:style>
  <w:style w:type="paragraph" w:customStyle="1" w:styleId="1732">
    <w:name w:val="Char Char1 Char Char Char 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733">
    <w:name w:val="Char Char1 Char Char Char Char Char Char Char Char Char Char Char Char Char Char Char Char Char Char Char Char1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734">
    <w:name w:val="Char Char Char Char Char Char Char Char Char Char Char Char Char1 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735">
    <w:name w:val="Char Char Char2 Char Char Char Char Char Char Char Char Char Char Char2"/>
    <w:basedOn w:val="1"/>
    <w:uiPriority w:val="0"/>
    <w:pPr>
      <w:spacing w:before="20" w:beforeLines="20" w:line="440" w:lineRule="atLeast"/>
      <w:ind w:firstLine="200" w:firstLineChars="200"/>
    </w:pPr>
    <w:rPr>
      <w:rFonts w:eastAsia="宋体"/>
      <w:sz w:val="24"/>
      <w:szCs w:val="24"/>
    </w:rPr>
  </w:style>
  <w:style w:type="paragraph" w:customStyle="1" w:styleId="1736">
    <w:name w:val="Char Char Char Char Char Char Char Char Char Char Char Char Char11"/>
    <w:basedOn w:val="1"/>
    <w:uiPriority w:val="0"/>
    <w:pPr>
      <w:spacing w:line="360" w:lineRule="auto"/>
      <w:ind w:firstLine="200" w:firstLineChars="200"/>
    </w:pPr>
    <w:rPr>
      <w:rFonts w:ascii="宋体" w:hAnsi="宋体" w:eastAsia="宋体" w:cs="宋体"/>
      <w:sz w:val="24"/>
      <w:szCs w:val="24"/>
    </w:rPr>
  </w:style>
  <w:style w:type="paragraph" w:customStyle="1" w:styleId="1737">
    <w:name w:val="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738">
    <w:name w:val="Char Char Char2 Char Char Char Char Char Char Char Char Char Char Char Char Char Char Char Char Char Char1"/>
    <w:basedOn w:val="1"/>
    <w:uiPriority w:val="0"/>
    <w:pPr>
      <w:spacing w:before="20" w:beforeLines="20" w:line="440" w:lineRule="atLeast"/>
      <w:ind w:firstLine="200" w:firstLineChars="200"/>
    </w:pPr>
    <w:rPr>
      <w:rFonts w:eastAsia="宋体"/>
      <w:sz w:val="24"/>
      <w:szCs w:val="24"/>
    </w:rPr>
  </w:style>
  <w:style w:type="paragraph" w:customStyle="1" w:styleId="1739">
    <w:name w:val="Char Char Char2 Char Char Char Char Char Char Char Char Char Char Char Char Char Char Char1"/>
    <w:basedOn w:val="1"/>
    <w:uiPriority w:val="0"/>
    <w:pPr>
      <w:spacing w:before="20" w:beforeLines="20" w:line="440" w:lineRule="atLeast"/>
      <w:ind w:firstLine="200" w:firstLineChars="200"/>
    </w:pPr>
    <w:rPr>
      <w:rFonts w:eastAsia="宋体"/>
      <w:sz w:val="24"/>
      <w:szCs w:val="24"/>
    </w:rPr>
  </w:style>
  <w:style w:type="paragraph" w:customStyle="1" w:styleId="1740">
    <w:name w:val="Char Char Char Char Char Char Char Char Char Char Char Char Char Char Char Char Char Char Char Char Char Char Char Char Char1"/>
    <w:basedOn w:val="1"/>
    <w:next w:val="1"/>
    <w:uiPriority w:val="0"/>
    <w:rPr>
      <w:rFonts w:eastAsia="宋体"/>
      <w:sz w:val="21"/>
      <w:szCs w:val="24"/>
    </w:rPr>
  </w:style>
  <w:style w:type="paragraph" w:customStyle="1" w:styleId="1741">
    <w:name w:val="Char Char Char Char Char Char Char Char Char Char Char Char Char Char1"/>
    <w:basedOn w:val="1"/>
    <w:uiPriority w:val="0"/>
    <w:rPr>
      <w:rFonts w:eastAsia="宋体"/>
      <w:sz w:val="24"/>
      <w:szCs w:val="24"/>
    </w:rPr>
  </w:style>
  <w:style w:type="paragraph" w:customStyle="1" w:styleId="1742">
    <w:name w:val="Char Char Char Char Char Char Char1 Char Char Char Char Char Char Char2"/>
    <w:basedOn w:val="1"/>
    <w:uiPriority w:val="0"/>
    <w:pPr>
      <w:tabs>
        <w:tab w:val="left" w:pos="432"/>
      </w:tabs>
      <w:ind w:left="432" w:hanging="432"/>
    </w:pPr>
    <w:rPr>
      <w:rFonts w:ascii="Tahoma" w:hAnsi="Tahoma" w:eastAsia="宋体"/>
      <w:sz w:val="24"/>
    </w:rPr>
  </w:style>
  <w:style w:type="paragraph" w:customStyle="1" w:styleId="1743">
    <w:name w:val="Char Char Char Char Char Char Char Char Char Char Char Char Char1 Char Char Char Char Char Char 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744">
    <w:name w:val="生态正文01"/>
    <w:basedOn w:val="164"/>
    <w:uiPriority w:val="0"/>
    <w:pPr>
      <w:spacing w:line="540" w:lineRule="exact"/>
      <w:ind w:firstLine="560"/>
    </w:pPr>
    <w:rPr>
      <w:rFonts w:eastAsia="仿宋_GB2312"/>
      <w:bCs/>
      <w:sz w:val="28"/>
      <w:szCs w:val="24"/>
    </w:rPr>
  </w:style>
  <w:style w:type="paragraph" w:customStyle="1" w:styleId="1745">
    <w:name w:val="注"/>
    <w:uiPriority w:val="0"/>
    <w:pPr>
      <w:ind w:firstLine="420" w:firstLineChars="200"/>
    </w:pPr>
    <w:rPr>
      <w:rFonts w:ascii="Times New Roman" w:hAnsi="Times New Roman" w:eastAsia="仿宋_GB2312" w:cs="Times New Roman"/>
      <w:sz w:val="21"/>
      <w:lang w:val="en-US" w:eastAsia="zh-CN" w:bidi="ar-SA"/>
    </w:rPr>
  </w:style>
  <w:style w:type="paragraph" w:customStyle="1" w:styleId="1746">
    <w:name w:val="表内"/>
    <w:basedOn w:val="1"/>
    <w:link w:val="1747"/>
    <w:uiPriority w:val="0"/>
    <w:pPr>
      <w:jc w:val="center"/>
    </w:pPr>
    <w:rPr>
      <w:kern w:val="0"/>
      <w:sz w:val="21"/>
      <w:szCs w:val="24"/>
    </w:rPr>
  </w:style>
  <w:style w:type="character" w:customStyle="1" w:styleId="1747">
    <w:name w:val="表内 Char"/>
    <w:link w:val="1746"/>
    <w:uiPriority w:val="0"/>
    <w:rPr>
      <w:rFonts w:eastAsia="仿宋_GB2312"/>
      <w:sz w:val="21"/>
      <w:szCs w:val="24"/>
    </w:rPr>
  </w:style>
  <w:style w:type="paragraph" w:customStyle="1" w:styleId="1748">
    <w:name w:val="p16"/>
    <w:basedOn w:val="1"/>
    <w:uiPriority w:val="0"/>
    <w:pPr>
      <w:widowControl/>
      <w:spacing w:line="264" w:lineRule="auto"/>
      <w:ind w:firstLine="476"/>
    </w:pPr>
    <w:rPr>
      <w:rFonts w:ascii="Arial" w:hAnsi="Arial" w:eastAsia="宋体"/>
      <w:color w:val="000000"/>
      <w:spacing w:val="10"/>
      <w:kern w:val="0"/>
      <w:sz w:val="24"/>
    </w:rPr>
  </w:style>
  <w:style w:type="paragraph" w:customStyle="1" w:styleId="1749">
    <w:name w:val="样式14"/>
    <w:basedOn w:val="6"/>
    <w:qFormat/>
    <w:uiPriority w:val="0"/>
    <w:pPr>
      <w:numPr>
        <w:numId w:val="0"/>
      </w:numPr>
      <w:adjustRightInd/>
      <w:snapToGrid w:val="0"/>
      <w:jc w:val="center"/>
    </w:pPr>
    <w:rPr>
      <w:lang w:val="en-US" w:eastAsia="zh-CN"/>
    </w:rPr>
  </w:style>
  <w:style w:type="paragraph" w:customStyle="1" w:styleId="1750">
    <w:name w:val="样式16"/>
    <w:basedOn w:val="6"/>
    <w:uiPriority w:val="0"/>
    <w:pPr>
      <w:numPr>
        <w:numId w:val="0"/>
      </w:numPr>
      <w:adjustRightInd/>
      <w:snapToGrid w:val="0"/>
      <w:jc w:val="center"/>
    </w:pPr>
    <w:rPr>
      <w:lang w:val="en-US" w:eastAsia="zh-CN"/>
    </w:rPr>
  </w:style>
  <w:style w:type="paragraph" w:customStyle="1" w:styleId="1751">
    <w:name w:val="样式17"/>
    <w:basedOn w:val="6"/>
    <w:qFormat/>
    <w:uiPriority w:val="0"/>
    <w:pPr>
      <w:numPr>
        <w:numId w:val="0"/>
      </w:numPr>
      <w:adjustRightInd/>
      <w:snapToGrid w:val="0"/>
      <w:jc w:val="center"/>
    </w:pPr>
    <w:rPr>
      <w:lang w:val="en-US" w:eastAsia="zh-CN"/>
    </w:rPr>
  </w:style>
  <w:style w:type="paragraph" w:customStyle="1" w:styleId="1752">
    <w:name w:val="样式18"/>
    <w:basedOn w:val="4"/>
    <w:uiPriority w:val="0"/>
    <w:pPr>
      <w:snapToGrid w:val="0"/>
      <w:spacing w:line="360" w:lineRule="auto"/>
      <w:ind w:firstLine="198" w:firstLineChars="200"/>
      <w:jc w:val="left"/>
    </w:pPr>
  </w:style>
  <w:style w:type="paragraph" w:customStyle="1" w:styleId="1753">
    <w:name w:val="样式19"/>
    <w:basedOn w:val="6"/>
    <w:uiPriority w:val="0"/>
    <w:pPr>
      <w:numPr>
        <w:numId w:val="0"/>
      </w:numPr>
      <w:adjustRightInd/>
      <w:snapToGrid w:val="0"/>
      <w:jc w:val="center"/>
    </w:pPr>
    <w:rPr>
      <w:lang w:val="en-US" w:eastAsia="zh-CN"/>
    </w:rPr>
  </w:style>
  <w:style w:type="character" w:customStyle="1" w:styleId="1754">
    <w:name w:val="Char Char27"/>
    <w:uiPriority w:val="0"/>
    <w:rPr>
      <w:rFonts w:eastAsia="仿宋_GB2312"/>
      <w:kern w:val="2"/>
      <w:sz w:val="18"/>
      <w:lang w:val="en-US" w:eastAsia="zh-CN" w:bidi="ar-SA"/>
    </w:rPr>
  </w:style>
  <w:style w:type="paragraph" w:customStyle="1" w:styleId="1755">
    <w:name w:val="样式 标题 4款标题1.1.1.1标题 4 Char Char标题 4 Char四表格1目H4H41L4Mi...2"/>
    <w:basedOn w:val="6"/>
    <w:uiPriority w:val="0"/>
    <w:pPr>
      <w:numPr>
        <w:numId w:val="0"/>
      </w:numPr>
      <w:adjustRightInd/>
      <w:snapToGrid w:val="0"/>
      <w:spacing w:line="360" w:lineRule="auto"/>
      <w:jc w:val="center"/>
    </w:pPr>
    <w:rPr>
      <w:rFonts w:cs="宋体"/>
      <w:bCs/>
      <w:lang w:val="en-US" w:eastAsia="zh-CN"/>
    </w:rPr>
  </w:style>
  <w:style w:type="character" w:customStyle="1" w:styleId="1756">
    <w:name w:val="样式 标题 2标题 2 Char标题节标题节 Char Char标题 2 Char Char Char标题 2 Cha... Char"/>
    <w:link w:val="758"/>
    <w:uiPriority w:val="0"/>
    <w:rPr>
      <w:rFonts w:ascii="Arial" w:hAnsi="Arial" w:eastAsia="黑体"/>
      <w:color w:val="000000"/>
      <w:kern w:val="2"/>
      <w:sz w:val="28"/>
      <w:lang w:val="zh-CN" w:eastAsia="zh-CN"/>
    </w:rPr>
  </w:style>
  <w:style w:type="paragraph" w:customStyle="1" w:styleId="1757">
    <w:name w:val="样式 标题 4标题 4 Char Char标题 4 Char四款标题1.1.1.1表格1 + (符号) Arial"/>
    <w:basedOn w:val="6"/>
    <w:link w:val="2045"/>
    <w:uiPriority w:val="0"/>
    <w:pPr>
      <w:numPr>
        <w:numId w:val="0"/>
      </w:numPr>
      <w:adjustRightInd/>
      <w:snapToGrid w:val="0"/>
      <w:spacing w:after="120"/>
      <w:jc w:val="center"/>
    </w:pPr>
    <w:rPr>
      <w:rFonts w:hAnsi="宋体" w:eastAsia="宋体" w:cs="Arial"/>
      <w:bCs/>
      <w:spacing w:val="10"/>
      <w:szCs w:val="24"/>
      <w:lang w:val="en-US" w:eastAsia="zh-CN"/>
    </w:rPr>
  </w:style>
  <w:style w:type="paragraph" w:customStyle="1" w:styleId="1758">
    <w:name w:val="样式 样式 标题 4标题 4 Char Char标题 4 Char四款标题1.1.1.1表格1目H4H41L4Mi... + 自..."/>
    <w:basedOn w:val="1"/>
    <w:link w:val="1759"/>
    <w:uiPriority w:val="0"/>
    <w:pPr>
      <w:keepNext/>
      <w:keepLines/>
      <w:tabs>
        <w:tab w:val="left" w:pos="3908"/>
      </w:tabs>
      <w:spacing w:before="120" w:after="120"/>
      <w:jc w:val="center"/>
      <w:outlineLvl w:val="3"/>
    </w:pPr>
    <w:rPr>
      <w:rFonts w:ascii="Arial" w:hAnsi="宋体" w:eastAsia="宋体" w:cs="Arial"/>
      <w:b/>
      <w:bCs/>
      <w:spacing w:val="10"/>
      <w:sz w:val="24"/>
      <w:szCs w:val="24"/>
    </w:rPr>
  </w:style>
  <w:style w:type="character" w:customStyle="1" w:styleId="1759">
    <w:name w:val="样式 样式 标题 4标题 4 Char Char标题 4 Char四款标题1.1.1.1表格1目H4H41L4Mi... + 自... Char"/>
    <w:link w:val="1758"/>
    <w:uiPriority w:val="0"/>
    <w:rPr>
      <w:rFonts w:ascii="Arial" w:hAnsi="宋体" w:cs="Arial"/>
      <w:b/>
      <w:bCs/>
      <w:spacing w:val="10"/>
      <w:kern w:val="2"/>
      <w:sz w:val="24"/>
      <w:szCs w:val="24"/>
    </w:rPr>
  </w:style>
  <w:style w:type="character" w:customStyle="1" w:styleId="1760">
    <w:name w:val="defaultfont1"/>
    <w:basedOn w:val="132"/>
    <w:uiPriority w:val="0"/>
  </w:style>
  <w:style w:type="paragraph" w:customStyle="1" w:styleId="1761">
    <w:name w:val="样式 样式 标题 1标题章标题 1 Char标题章 Char Char Char Char标题 1 Char Char章标题....."/>
    <w:basedOn w:val="365"/>
    <w:uiPriority w:val="0"/>
    <w:pPr>
      <w:tabs>
        <w:tab w:val="clear" w:pos="1080"/>
      </w:tabs>
      <w:snapToGrid w:val="0"/>
      <w:ind w:left="0" w:firstLine="0"/>
    </w:pPr>
    <w:rPr>
      <w:rFonts w:ascii="Arial" w:hAnsi="Arial"/>
      <w:lang w:val="en-US" w:eastAsia="zh-CN"/>
    </w:rPr>
  </w:style>
  <w:style w:type="paragraph" w:customStyle="1" w:styleId="1762">
    <w:name w:val="样式 样式 标题 1标题章标题 1 Char标题章 Char Char Char Char标题 1 Char Char章标题.....1"/>
    <w:basedOn w:val="365"/>
    <w:uiPriority w:val="0"/>
    <w:pPr>
      <w:tabs>
        <w:tab w:val="clear" w:pos="1080"/>
      </w:tabs>
      <w:snapToGrid w:val="0"/>
      <w:ind w:left="0" w:firstLine="0"/>
    </w:pPr>
    <w:rPr>
      <w:rFonts w:ascii="Arial" w:hAnsi="Arial"/>
      <w:color w:val="FF0000"/>
      <w:lang w:val="en-US" w:eastAsia="zh-CN"/>
    </w:rPr>
  </w:style>
  <w:style w:type="paragraph" w:customStyle="1" w:styleId="1763">
    <w:name w:val="Char Char3 Char Char Char Char Char Char Char Char Char Char Char Char"/>
    <w:basedOn w:val="1"/>
    <w:uiPriority w:val="0"/>
    <w:rPr>
      <w:rFonts w:ascii="Tahoma" w:hAnsi="Tahoma" w:eastAsia="宋体"/>
      <w:sz w:val="24"/>
    </w:rPr>
  </w:style>
  <w:style w:type="paragraph" w:customStyle="1" w:styleId="1764">
    <w:name w:val="Char Char Char Char Char Char Char Char Char Char Char Char Char Char Char Char Char"/>
    <w:basedOn w:val="1"/>
    <w:uiPriority w:val="0"/>
    <w:rPr>
      <w:rFonts w:eastAsia="宋体"/>
      <w:sz w:val="24"/>
      <w:szCs w:val="24"/>
    </w:rPr>
  </w:style>
  <w:style w:type="paragraph" w:customStyle="1" w:styleId="1765">
    <w:name w:val="样式 正文缩进首行缩进两字标题4正文不缩进s4正文（首行缩进两字） Char Char Char Char Char ...2"/>
    <w:basedOn w:val="4"/>
    <w:uiPriority w:val="0"/>
    <w:pPr>
      <w:snapToGrid w:val="0"/>
      <w:spacing w:line="360" w:lineRule="auto"/>
      <w:ind w:firstLine="200" w:firstLineChars="200"/>
      <w:jc w:val="left"/>
    </w:pPr>
    <w:rPr>
      <w:rFonts w:cs="宋体"/>
    </w:rPr>
  </w:style>
  <w:style w:type="paragraph" w:customStyle="1" w:styleId="1766">
    <w:name w:val="样式 正文缩进首行缩进两字标题4正文不缩进s4正文（首行缩进两字） Char Char Char Char Char ...4"/>
    <w:basedOn w:val="4"/>
    <w:uiPriority w:val="0"/>
    <w:pPr>
      <w:snapToGrid w:val="0"/>
      <w:spacing w:line="360" w:lineRule="auto"/>
      <w:ind w:firstLine="200" w:firstLineChars="200"/>
      <w:jc w:val="left"/>
    </w:pPr>
    <w:rPr>
      <w:rFonts w:cs="宋体"/>
    </w:rPr>
  </w:style>
  <w:style w:type="paragraph" w:customStyle="1" w:styleId="1767">
    <w:name w:val="样式 (西文) Arial (中文) 宋体 小四 行距: 多倍行距 1.1 字行"/>
    <w:basedOn w:val="1"/>
    <w:uiPriority w:val="0"/>
    <w:pPr>
      <w:spacing w:line="360" w:lineRule="auto"/>
      <w:ind w:firstLine="200" w:firstLineChars="200"/>
    </w:pPr>
    <w:rPr>
      <w:rFonts w:ascii="Arial" w:hAnsi="Arial" w:eastAsia="宋体" w:cs="宋体"/>
      <w:spacing w:val="10"/>
      <w:sz w:val="24"/>
    </w:rPr>
  </w:style>
  <w:style w:type="paragraph" w:customStyle="1" w:styleId="1768">
    <w:name w:val="样式 (西文) Arial (中文) 宋体 小四 行距: 多倍行距 1.1 字行1"/>
    <w:basedOn w:val="1"/>
    <w:uiPriority w:val="0"/>
    <w:pPr>
      <w:spacing w:line="360" w:lineRule="auto"/>
      <w:ind w:firstLine="200" w:firstLineChars="200"/>
    </w:pPr>
    <w:rPr>
      <w:rFonts w:ascii="Arial" w:hAnsi="Arial" w:eastAsia="宋体" w:cs="宋体"/>
      <w:spacing w:val="10"/>
      <w:sz w:val="24"/>
    </w:rPr>
  </w:style>
  <w:style w:type="paragraph" w:customStyle="1" w:styleId="1769">
    <w:name w:val="1.文章"/>
    <w:basedOn w:val="1"/>
    <w:uiPriority w:val="0"/>
    <w:pPr>
      <w:widowControl/>
      <w:autoSpaceDE w:val="0"/>
      <w:autoSpaceDN w:val="0"/>
      <w:adjustRightInd w:val="0"/>
      <w:spacing w:line="360" w:lineRule="atLeast"/>
      <w:ind w:left="198"/>
      <w:jc w:val="left"/>
      <w:textAlignment w:val="baseline"/>
    </w:pPr>
    <w:rPr>
      <w:rFonts w:ascii="宋体" w:eastAsia="宋体"/>
      <w:kern w:val="0"/>
      <w:sz w:val="24"/>
    </w:rPr>
  </w:style>
  <w:style w:type="paragraph" w:customStyle="1" w:styleId="1770">
    <w:name w:val="MY 正文"/>
    <w:basedOn w:val="1"/>
    <w:uiPriority w:val="0"/>
    <w:pPr>
      <w:widowControl/>
      <w:spacing w:line="360" w:lineRule="auto"/>
      <w:ind w:firstLine="480" w:firstLineChars="200"/>
      <w:jc w:val="left"/>
    </w:pPr>
    <w:rPr>
      <w:rFonts w:ascii="宋体" w:hAnsi="宋体" w:eastAsia="宋体" w:cs="宋体"/>
      <w:kern w:val="0"/>
      <w:sz w:val="24"/>
    </w:rPr>
  </w:style>
  <w:style w:type="character" w:customStyle="1" w:styleId="1771">
    <w:name w:val="font71"/>
    <w:uiPriority w:val="0"/>
    <w:rPr>
      <w:rFonts w:hint="eastAsia" w:ascii="宋体" w:hAnsi="宋体" w:eastAsia="宋体" w:cs="宋体"/>
      <w:color w:val="0000FF"/>
      <w:sz w:val="21"/>
      <w:szCs w:val="21"/>
      <w:u w:val="none"/>
    </w:rPr>
  </w:style>
  <w:style w:type="paragraph" w:customStyle="1" w:styleId="1772">
    <w:name w:val="_Style 2"/>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773">
    <w:name w:val="页眉 字符"/>
    <w:uiPriority w:val="0"/>
    <w:rPr>
      <w:kern w:val="2"/>
      <w:sz w:val="18"/>
      <w:szCs w:val="18"/>
    </w:rPr>
  </w:style>
  <w:style w:type="character" w:customStyle="1" w:styleId="1774">
    <w:name w:val="页脚 字符"/>
    <w:uiPriority w:val="0"/>
    <w:rPr>
      <w:kern w:val="2"/>
      <w:sz w:val="18"/>
      <w:szCs w:val="18"/>
    </w:rPr>
  </w:style>
  <w:style w:type="paragraph" w:customStyle="1" w:styleId="1775">
    <w:name w:val="彩色列表 - 着色 11"/>
    <w:basedOn w:val="1"/>
    <w:qFormat/>
    <w:uiPriority w:val="34"/>
    <w:pPr>
      <w:ind w:firstLine="420" w:firstLineChars="200"/>
    </w:pPr>
    <w:rPr>
      <w:rFonts w:ascii="Calibri" w:hAnsi="Calibri" w:eastAsia="宋体"/>
      <w:sz w:val="21"/>
      <w:szCs w:val="22"/>
    </w:rPr>
  </w:style>
  <w:style w:type="paragraph" w:customStyle="1" w:styleId="1776">
    <w:name w:val="样式 样式 样式 样式 正文缩进首行缩进两字标题4正文不缩进s4正文（首行缩进两字） Char Char Char Char C..."/>
    <w:basedOn w:val="1"/>
    <w:uiPriority w:val="0"/>
    <w:pPr>
      <w:spacing w:line="264" w:lineRule="auto"/>
      <w:ind w:firstLine="480" w:firstLineChars="200"/>
    </w:pPr>
    <w:rPr>
      <w:rFonts w:ascii="Arial" w:hAnsi="Arial" w:eastAsia="宋体" w:cs="宋体"/>
      <w:sz w:val="24"/>
    </w:rPr>
  </w:style>
  <w:style w:type="paragraph" w:customStyle="1" w:styleId="1777">
    <w:name w:val="样式 样式 正文文本 + 右侧:  0.2 字符 行距: 单倍行距 + 首行缩进:  2 字符"/>
    <w:basedOn w:val="1"/>
    <w:uiPriority w:val="0"/>
    <w:pPr>
      <w:ind w:firstLine="504" w:firstLineChars="200"/>
    </w:pPr>
    <w:rPr>
      <w:rFonts w:eastAsia="宋体" w:cs="宋体"/>
      <w:sz w:val="24"/>
    </w:rPr>
  </w:style>
  <w:style w:type="paragraph" w:customStyle="1" w:styleId="1778">
    <w:name w:val="正文（ZJGYU）"/>
    <w:basedOn w:val="1"/>
    <w:link w:val="1779"/>
    <w:uiPriority w:val="0"/>
    <w:pPr>
      <w:spacing w:line="440" w:lineRule="exact"/>
      <w:ind w:firstLine="200" w:firstLineChars="200"/>
    </w:pPr>
    <w:rPr>
      <w:rFonts w:eastAsia="宋体"/>
      <w:sz w:val="24"/>
      <w:szCs w:val="24"/>
      <w:lang w:val="zh-CN" w:eastAsia="zh-CN"/>
    </w:rPr>
  </w:style>
  <w:style w:type="character" w:customStyle="1" w:styleId="1779">
    <w:name w:val="正文（ZJGYU） Char"/>
    <w:link w:val="1778"/>
    <w:uiPriority w:val="0"/>
    <w:rPr>
      <w:kern w:val="2"/>
      <w:sz w:val="24"/>
      <w:szCs w:val="24"/>
      <w:lang w:val="zh-CN" w:eastAsia="zh-CN"/>
    </w:rPr>
  </w:style>
  <w:style w:type="table" w:customStyle="1" w:styleId="1780">
    <w:name w:val="Table Normal"/>
    <w:semiHidden/>
    <w:unhideWhenUsed/>
    <w:qFormat/>
    <w:uiPriority w:val="2"/>
    <w:pPr>
      <w:widowControl w:val="0"/>
      <w:autoSpaceDE w:val="0"/>
      <w:autoSpaceDN w:val="0"/>
    </w:pPr>
    <w:rPr>
      <w:rFonts w:asciiTheme="minorHAnsi" w:hAnsiTheme="minorHAnsi" w:eastAsiaTheme="minorEastAsia" w:cstheme="minorBidi"/>
      <w:sz w:val="22"/>
      <w:lang w:eastAsia="en-US"/>
    </w:rPr>
    <w:tblPr>
      <w:tblLayout w:type="fixed"/>
      <w:tblCellMar>
        <w:top w:w="0" w:type="dxa"/>
        <w:left w:w="0" w:type="dxa"/>
        <w:bottom w:w="0" w:type="dxa"/>
        <w:right w:w="0" w:type="dxa"/>
      </w:tblCellMar>
    </w:tblPr>
  </w:style>
  <w:style w:type="paragraph" w:customStyle="1" w:styleId="1781">
    <w:name w:val="@@@@@"/>
    <w:basedOn w:val="45"/>
    <w:link w:val="1782"/>
    <w:qFormat/>
    <w:uiPriority w:val="0"/>
    <w:pPr>
      <w:adjustRightInd w:val="0"/>
      <w:snapToGrid w:val="0"/>
      <w:ind w:left="-16" w:leftChars="-51" w:right="-143" w:rightChars="-68" w:hanging="91" w:hangingChars="38"/>
      <w:jc w:val="center"/>
    </w:pPr>
    <w:rPr>
      <w:rFonts w:hAnsi="宋体"/>
      <w:sz w:val="24"/>
      <w:lang w:val="zh-CN" w:eastAsia="zh-CN"/>
    </w:rPr>
  </w:style>
  <w:style w:type="character" w:customStyle="1" w:styleId="1782">
    <w:name w:val="@@@@@ Char"/>
    <w:link w:val="1781"/>
    <w:uiPriority w:val="0"/>
    <w:rPr>
      <w:rFonts w:ascii="宋体" w:hAnsi="宋体"/>
      <w:kern w:val="2"/>
      <w:sz w:val="24"/>
      <w:lang w:val="zh-CN" w:eastAsia="zh-CN"/>
    </w:rPr>
  </w:style>
  <w:style w:type="paragraph" w:customStyle="1" w:styleId="1783">
    <w:name w:val="样式 (西文) Arial (中文) 宋体 五号 居中"/>
    <w:basedOn w:val="1"/>
    <w:uiPriority w:val="0"/>
    <w:pPr>
      <w:jc w:val="center"/>
      <w:textAlignment w:val="center"/>
    </w:pPr>
    <w:rPr>
      <w:rFonts w:ascii="Arial" w:hAnsi="Arial" w:eastAsia="宋体" w:cs="宋体"/>
      <w:sz w:val="21"/>
      <w:szCs w:val="21"/>
    </w:rPr>
  </w:style>
  <w:style w:type="paragraph" w:customStyle="1" w:styleId="1784">
    <w:name w:val="Char Char2 Char Char"/>
    <w:basedOn w:val="1"/>
    <w:uiPriority w:val="0"/>
    <w:pPr>
      <w:spacing w:line="360" w:lineRule="auto"/>
      <w:ind w:firstLine="200" w:firstLineChars="200"/>
    </w:pPr>
    <w:rPr>
      <w:rFonts w:ascii="宋体" w:hAnsi="宋体" w:eastAsia="宋体" w:cs="宋体"/>
      <w:sz w:val="24"/>
      <w:szCs w:val="24"/>
    </w:rPr>
  </w:style>
  <w:style w:type="character" w:customStyle="1" w:styleId="1785">
    <w:name w:val="正文 new 字符"/>
    <w:link w:val="1786"/>
    <w:locked/>
    <w:uiPriority w:val="0"/>
    <w:rPr>
      <w:sz w:val="24"/>
    </w:rPr>
  </w:style>
  <w:style w:type="paragraph" w:customStyle="1" w:styleId="1786">
    <w:name w:val="正文 new"/>
    <w:basedOn w:val="1"/>
    <w:link w:val="1785"/>
    <w:qFormat/>
    <w:uiPriority w:val="0"/>
    <w:pPr>
      <w:adjustRightInd w:val="0"/>
      <w:snapToGrid w:val="0"/>
      <w:spacing w:line="360" w:lineRule="auto"/>
      <w:ind w:firstLine="200" w:firstLineChars="200"/>
    </w:pPr>
    <w:rPr>
      <w:rFonts w:eastAsia="宋体"/>
      <w:kern w:val="0"/>
      <w:sz w:val="24"/>
    </w:rPr>
  </w:style>
  <w:style w:type="paragraph" w:customStyle="1" w:styleId="1787">
    <w:name w:val="表格内容1"/>
    <w:basedOn w:val="1"/>
    <w:link w:val="1788"/>
    <w:qFormat/>
    <w:uiPriority w:val="0"/>
    <w:pPr>
      <w:adjustRightInd w:val="0"/>
      <w:snapToGrid w:val="0"/>
      <w:jc w:val="center"/>
    </w:pPr>
    <w:rPr>
      <w:rFonts w:eastAsia="宋体"/>
      <w:snapToGrid w:val="0"/>
      <w:kern w:val="24"/>
      <w:sz w:val="18"/>
    </w:rPr>
  </w:style>
  <w:style w:type="character" w:customStyle="1" w:styleId="1788">
    <w:name w:val="表格内容1 Char"/>
    <w:link w:val="1787"/>
    <w:qFormat/>
    <w:uiPriority w:val="0"/>
    <w:rPr>
      <w:snapToGrid w:val="0"/>
      <w:kern w:val="24"/>
      <w:sz w:val="18"/>
    </w:rPr>
  </w:style>
  <w:style w:type="character" w:customStyle="1" w:styleId="1789">
    <w:name w:val="正文首行缩进 2 + Times New Roman Char2"/>
    <w:qFormat/>
    <w:locked/>
    <w:uiPriority w:val="0"/>
    <w:rPr>
      <w:rFonts w:ascii="Times New Roman" w:hAnsi="Times New Roman"/>
      <w:sz w:val="24"/>
      <w:szCs w:val="24"/>
    </w:rPr>
  </w:style>
  <w:style w:type="table" w:customStyle="1" w:styleId="1790">
    <w:name w:val="网格型ZHJICIA1"/>
    <w:basedOn w:val="87"/>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91">
    <w:name w:val="Intense Emphasis"/>
    <w:qFormat/>
    <w:uiPriority w:val="21"/>
    <w:rPr>
      <w:b/>
      <w:bCs/>
      <w:i/>
      <w:iCs/>
      <w:color w:val="4F81BD"/>
    </w:rPr>
  </w:style>
  <w:style w:type="character" w:customStyle="1" w:styleId="1792">
    <w:name w:val="书一级 Char"/>
    <w:link w:val="1021"/>
    <w:uiPriority w:val="0"/>
    <w:rPr>
      <w:rFonts w:ascii="Arial" w:hAnsi="Arial"/>
      <w:b/>
      <w:kern w:val="2"/>
      <w:sz w:val="36"/>
    </w:rPr>
  </w:style>
  <w:style w:type="character" w:customStyle="1" w:styleId="1793">
    <w:name w:val="报告表正文 Char"/>
    <w:link w:val="1412"/>
    <w:uiPriority w:val="0"/>
  </w:style>
  <w:style w:type="paragraph" w:customStyle="1" w:styleId="1794">
    <w:name w:val="标题一"/>
    <w:basedOn w:val="2"/>
    <w:next w:val="1"/>
    <w:link w:val="1808"/>
    <w:uiPriority w:val="0"/>
    <w:pPr>
      <w:tabs>
        <w:tab w:val="left" w:pos="0"/>
        <w:tab w:val="clear" w:pos="1080"/>
      </w:tabs>
      <w:spacing w:before="120" w:after="120" w:line="360" w:lineRule="auto"/>
      <w:ind w:left="0" w:firstLine="0"/>
    </w:pPr>
    <w:rPr>
      <w:lang w:val="en-US" w:eastAsia="zh-CN"/>
    </w:rPr>
  </w:style>
  <w:style w:type="paragraph" w:customStyle="1" w:styleId="1795">
    <w:name w:val="标题三"/>
    <w:basedOn w:val="1"/>
    <w:link w:val="1946"/>
    <w:uiPriority w:val="0"/>
    <w:pPr>
      <w:keepNext/>
      <w:keepLines/>
      <w:tabs>
        <w:tab w:val="left" w:pos="0"/>
      </w:tabs>
      <w:adjustRightInd w:val="0"/>
      <w:snapToGrid w:val="0"/>
      <w:spacing w:beforeLines="50" w:afterLines="50" w:line="440" w:lineRule="exact"/>
      <w:textAlignment w:val="baseline"/>
      <w:outlineLvl w:val="1"/>
    </w:pPr>
    <w:rPr>
      <w:rFonts w:eastAsia="宋体"/>
      <w:b/>
      <w:kern w:val="0"/>
      <w:szCs w:val="32"/>
      <w:lang w:val="zh-CN" w:eastAsia="zh-CN"/>
    </w:rPr>
  </w:style>
  <w:style w:type="paragraph" w:customStyle="1" w:styleId="1796">
    <w:name w:val="表头正"/>
    <w:basedOn w:val="1"/>
    <w:link w:val="1800"/>
    <w:uiPriority w:val="0"/>
    <w:pPr>
      <w:keepNext/>
      <w:keepLines/>
      <w:tabs>
        <w:tab w:val="left" w:pos="0"/>
      </w:tabs>
      <w:adjustRightInd w:val="0"/>
      <w:snapToGrid w:val="0"/>
      <w:spacing w:before="120"/>
      <w:ind w:left="-2328"/>
      <w:jc w:val="center"/>
      <w:outlineLvl w:val="4"/>
    </w:pPr>
    <w:rPr>
      <w:b/>
      <w:bCs/>
      <w:kern w:val="0"/>
      <w:sz w:val="24"/>
      <w:lang w:val="zh-CN" w:eastAsia="zh-CN"/>
    </w:rPr>
  </w:style>
  <w:style w:type="paragraph" w:customStyle="1" w:styleId="1797">
    <w:name w:val="样式 标题三 + 段前: 0.5 行 段后: 0.5 行"/>
    <w:basedOn w:val="1795"/>
    <w:link w:val="1801"/>
    <w:uiPriority w:val="0"/>
    <w:pPr>
      <w:spacing w:beforeLines="0" w:afterLines="0"/>
      <w:ind w:hanging="12"/>
      <w:outlineLvl w:val="2"/>
    </w:pPr>
    <w:rPr>
      <w:rFonts w:hAnsi="宋体"/>
      <w:bCs/>
      <w:sz w:val="24"/>
      <w:szCs w:val="24"/>
    </w:rPr>
  </w:style>
  <w:style w:type="paragraph" w:customStyle="1" w:styleId="1798">
    <w:name w:val="报告表表格"/>
    <w:basedOn w:val="1"/>
    <w:link w:val="1799"/>
    <w:uiPriority w:val="0"/>
    <w:pPr>
      <w:widowControl/>
      <w:spacing w:line="360" w:lineRule="exact"/>
      <w:jc w:val="center"/>
    </w:pPr>
    <w:rPr>
      <w:rFonts w:ascii="Arial" w:hAnsi="Arial" w:eastAsia="宋体"/>
      <w:kern w:val="0"/>
      <w:sz w:val="24"/>
      <w:szCs w:val="21"/>
      <w:lang w:val="zh-CN" w:eastAsia="zh-CN"/>
    </w:rPr>
  </w:style>
  <w:style w:type="character" w:customStyle="1" w:styleId="1799">
    <w:name w:val="报告表表格 Char"/>
    <w:link w:val="1798"/>
    <w:uiPriority w:val="0"/>
    <w:rPr>
      <w:rFonts w:ascii="Arial" w:hAnsi="Arial"/>
      <w:sz w:val="24"/>
      <w:szCs w:val="21"/>
      <w:lang w:val="zh-CN" w:eastAsia="zh-CN"/>
    </w:rPr>
  </w:style>
  <w:style w:type="character" w:customStyle="1" w:styleId="1800">
    <w:name w:val="表头正 Char"/>
    <w:link w:val="1796"/>
    <w:uiPriority w:val="0"/>
    <w:rPr>
      <w:rFonts w:eastAsia="仿宋_GB2312"/>
      <w:b/>
      <w:bCs/>
      <w:sz w:val="24"/>
      <w:lang w:val="zh-CN" w:eastAsia="zh-CN"/>
    </w:rPr>
  </w:style>
  <w:style w:type="character" w:customStyle="1" w:styleId="1801">
    <w:name w:val="样式 标题三 + 段前: 0.5 行 段后: 0.5 行 Char"/>
    <w:link w:val="1797"/>
    <w:uiPriority w:val="0"/>
    <w:rPr>
      <w:rFonts w:hAnsi="宋体"/>
      <w:b/>
      <w:bCs/>
      <w:sz w:val="24"/>
      <w:szCs w:val="24"/>
      <w:lang w:val="zh-CN" w:eastAsia="zh-CN"/>
    </w:rPr>
  </w:style>
  <w:style w:type="paragraph" w:customStyle="1" w:styleId="1802">
    <w:name w:val="标题 二"/>
    <w:basedOn w:val="3"/>
    <w:next w:val="1795"/>
    <w:link w:val="1803"/>
    <w:uiPriority w:val="0"/>
    <w:pPr>
      <w:numPr>
        <w:ilvl w:val="0"/>
        <w:numId w:val="0"/>
      </w:numPr>
      <w:tabs>
        <w:tab w:val="left" w:pos="720"/>
      </w:tabs>
      <w:adjustRightInd w:val="0"/>
      <w:snapToGrid w:val="0"/>
      <w:spacing w:line="264" w:lineRule="auto"/>
    </w:pPr>
    <w:rPr>
      <w:rFonts w:ascii="Times New Roman" w:hAnsi="Times New Roman"/>
      <w:kern w:val="0"/>
    </w:rPr>
  </w:style>
  <w:style w:type="character" w:customStyle="1" w:styleId="1803">
    <w:name w:val="标题 二 Char"/>
    <w:link w:val="1802"/>
    <w:uiPriority w:val="0"/>
    <w:rPr>
      <w:rFonts w:eastAsia="黑体"/>
      <w:sz w:val="28"/>
      <w:lang w:val="zh-CN" w:eastAsia="zh-CN"/>
    </w:rPr>
  </w:style>
  <w:style w:type="paragraph" w:customStyle="1" w:styleId="1804">
    <w:name w:val="Char5"/>
    <w:basedOn w:val="1"/>
    <w:uiPriority w:val="0"/>
    <w:pPr>
      <w:spacing w:line="360" w:lineRule="auto"/>
      <w:ind w:firstLine="200" w:firstLineChars="200"/>
    </w:pPr>
    <w:rPr>
      <w:rFonts w:ascii="宋体" w:hAnsi="宋体" w:eastAsia="宋体"/>
      <w:sz w:val="24"/>
    </w:rPr>
  </w:style>
  <w:style w:type="character" w:customStyle="1" w:styleId="1805">
    <w:name w:val="样式3 Char"/>
    <w:link w:val="409"/>
    <w:uiPriority w:val="0"/>
    <w:rPr>
      <w:rFonts w:ascii="Arial" w:hAnsi="Arial" w:cs="Arial"/>
      <w:spacing w:val="10"/>
      <w:kern w:val="2"/>
      <w:sz w:val="24"/>
      <w:szCs w:val="32"/>
    </w:rPr>
  </w:style>
  <w:style w:type="paragraph" w:customStyle="1" w:styleId="1806">
    <w:name w:val="样式 样式 左侧:  0.64 字符 +"/>
    <w:basedOn w:val="1"/>
    <w:uiPriority w:val="0"/>
    <w:pPr>
      <w:tabs>
        <w:tab w:val="left" w:pos="1440"/>
      </w:tabs>
      <w:spacing w:line="500" w:lineRule="atLeast"/>
      <w:ind w:left="200" w:leftChars="200" w:firstLine="200" w:firstLineChars="200"/>
    </w:pPr>
    <w:rPr>
      <w:rFonts w:ascii="宋体" w:hAnsi="宋体" w:eastAsia="宋体"/>
    </w:rPr>
  </w:style>
  <w:style w:type="paragraph" w:customStyle="1" w:styleId="1807">
    <w:name w:val="样式 标题 2 + 宋体 小三 行距: 多倍行距 1.73 字行"/>
    <w:basedOn w:val="3"/>
    <w:uiPriority w:val="0"/>
    <w:pPr>
      <w:numPr>
        <w:ilvl w:val="0"/>
        <w:numId w:val="0"/>
      </w:numPr>
      <w:tabs>
        <w:tab w:val="left" w:pos="576"/>
        <w:tab w:val="left" w:pos="720"/>
      </w:tabs>
      <w:spacing w:before="260" w:after="260" w:line="413" w:lineRule="auto"/>
      <w:ind w:left="576" w:hanging="576"/>
    </w:pPr>
    <w:rPr>
      <w:rFonts w:ascii="宋体" w:hAnsi="宋体" w:eastAsia="宋体"/>
      <w:kern w:val="0"/>
      <w:sz w:val="30"/>
      <w:lang w:val="zh-CN"/>
    </w:rPr>
  </w:style>
  <w:style w:type="character" w:customStyle="1" w:styleId="1808">
    <w:name w:val="标题一 Char Char"/>
    <w:link w:val="1794"/>
    <w:uiPriority w:val="0"/>
    <w:rPr>
      <w:b/>
      <w:kern w:val="44"/>
      <w:sz w:val="36"/>
    </w:rPr>
  </w:style>
  <w:style w:type="character" w:customStyle="1" w:styleId="1809">
    <w:name w:val="样式13 Char"/>
    <w:link w:val="432"/>
    <w:uiPriority w:val="0"/>
    <w:rPr>
      <w:rFonts w:ascii="Arial" w:hAnsi="Arial" w:cs="Arial"/>
      <w:kern w:val="2"/>
      <w:sz w:val="24"/>
      <w:szCs w:val="24"/>
    </w:rPr>
  </w:style>
  <w:style w:type="paragraph" w:customStyle="1" w:styleId="1810">
    <w:name w:val="a1"/>
    <w:basedOn w:val="1"/>
    <w:uiPriority w:val="0"/>
    <w:pPr>
      <w:widowControl/>
      <w:spacing w:line="420" w:lineRule="atLeast"/>
      <w:jc w:val="center"/>
    </w:pPr>
    <w:rPr>
      <w:rFonts w:eastAsia="宋体"/>
      <w:b/>
      <w:bCs/>
      <w:color w:val="FF0000"/>
      <w:kern w:val="0"/>
      <w:sz w:val="72"/>
      <w:szCs w:val="72"/>
    </w:rPr>
  </w:style>
  <w:style w:type="paragraph" w:customStyle="1" w:styleId="1811">
    <w:name w:val="ab"/>
    <w:basedOn w:val="1"/>
    <w:uiPriority w:val="0"/>
    <w:pPr>
      <w:widowControl/>
      <w:spacing w:line="227" w:lineRule="atLeast"/>
    </w:pPr>
    <w:rPr>
      <w:rFonts w:eastAsia="宋体"/>
      <w:kern w:val="0"/>
      <w:sz w:val="21"/>
      <w:szCs w:val="21"/>
    </w:rPr>
  </w:style>
  <w:style w:type="paragraph" w:customStyle="1" w:styleId="1812">
    <w:name w:val="a5"/>
    <w:basedOn w:val="1"/>
    <w:uiPriority w:val="0"/>
    <w:pPr>
      <w:widowControl/>
      <w:spacing w:line="420" w:lineRule="atLeast"/>
      <w:ind w:firstLine="640"/>
    </w:pPr>
    <w:rPr>
      <w:rFonts w:eastAsia="宋体"/>
      <w:kern w:val="0"/>
      <w:sz w:val="32"/>
      <w:szCs w:val="32"/>
    </w:rPr>
  </w:style>
  <w:style w:type="paragraph" w:customStyle="1" w:styleId="1813">
    <w:name w:val="样式20"/>
    <w:basedOn w:val="4"/>
    <w:uiPriority w:val="0"/>
    <w:rPr>
      <w:rFonts w:cs="Times New Roman"/>
      <w:kern w:val="0"/>
      <w:lang w:val="zh-CN" w:eastAsia="zh-CN"/>
    </w:rPr>
  </w:style>
  <w:style w:type="paragraph" w:customStyle="1" w:styleId="1814">
    <w:name w:val="7表格(治)"/>
    <w:uiPriority w:val="0"/>
    <w:pPr>
      <w:widowControl w:val="0"/>
      <w:spacing w:line="240" w:lineRule="exact"/>
      <w:jc w:val="center"/>
    </w:pPr>
    <w:rPr>
      <w:rFonts w:ascii="Times New Roman" w:hAnsi="宋体" w:eastAsia="宋体" w:cs="Times New Roman"/>
      <w:sz w:val="21"/>
      <w:szCs w:val="21"/>
      <w:lang w:val="en-US" w:eastAsia="zh-CN" w:bidi="ar-SA"/>
    </w:rPr>
  </w:style>
  <w:style w:type="paragraph" w:customStyle="1" w:styleId="1815">
    <w:name w:val="样式23"/>
    <w:basedOn w:val="1794"/>
    <w:uiPriority w:val="0"/>
    <w:pPr>
      <w:keepNext w:val="0"/>
      <w:keepLines w:val="0"/>
      <w:pageBreakBefore w:val="0"/>
      <w:tabs>
        <w:tab w:val="clear" w:pos="0"/>
      </w:tabs>
      <w:spacing w:before="0" w:after="0" w:line="264" w:lineRule="auto"/>
      <w:ind w:firstLine="476"/>
      <w:jc w:val="both"/>
      <w:outlineLvl w:val="9"/>
    </w:pPr>
    <w:rPr>
      <w:rFonts w:ascii="Arial" w:hAnsi="Arial" w:cs="Arial"/>
      <w:b w:val="0"/>
      <w:spacing w:val="10"/>
      <w:kern w:val="2"/>
      <w:sz w:val="24"/>
      <w:lang w:val="en-GB"/>
    </w:rPr>
  </w:style>
  <w:style w:type="paragraph" w:customStyle="1" w:styleId="1816">
    <w:name w:val="样式27"/>
    <w:basedOn w:val="1815"/>
    <w:uiPriority w:val="0"/>
    <w:pPr/>
  </w:style>
  <w:style w:type="character" w:customStyle="1" w:styleId="1817">
    <w:name w:val="样式 宋体"/>
    <w:uiPriority w:val="0"/>
    <w:rPr>
      <w:rFonts w:ascii="宋体" w:hAnsi="宋体" w:eastAsia="宋体" w:cs="宋体"/>
      <w:b/>
      <w:kern w:val="44"/>
      <w:sz w:val="24"/>
      <w:szCs w:val="24"/>
      <w:lang w:val="en-US" w:eastAsia="zh-CN" w:bidi="ar-SA"/>
    </w:rPr>
  </w:style>
  <w:style w:type="paragraph" w:customStyle="1" w:styleId="1818">
    <w:name w:val="样式22"/>
    <w:basedOn w:val="2"/>
    <w:qFormat/>
    <w:uiPriority w:val="0"/>
    <w:pPr>
      <w:tabs>
        <w:tab w:val="left" w:pos="0"/>
        <w:tab w:val="clear" w:pos="1080"/>
      </w:tabs>
      <w:ind w:left="0" w:firstLine="0"/>
    </w:pPr>
  </w:style>
  <w:style w:type="paragraph" w:customStyle="1" w:styleId="1819">
    <w:name w:val="样式24"/>
    <w:basedOn w:val="3"/>
    <w:qFormat/>
    <w:uiPriority w:val="0"/>
    <w:pPr>
      <w:numPr>
        <w:ilvl w:val="0"/>
        <w:numId w:val="0"/>
      </w:numPr>
    </w:pPr>
    <w:rPr>
      <w:kern w:val="0"/>
    </w:rPr>
  </w:style>
  <w:style w:type="paragraph" w:customStyle="1" w:styleId="1820">
    <w:name w:val="样式25"/>
    <w:basedOn w:val="5"/>
    <w:qFormat/>
    <w:uiPriority w:val="0"/>
    <w:pPr>
      <w:numPr>
        <w:ilvl w:val="0"/>
        <w:numId w:val="0"/>
      </w:numPr>
    </w:pPr>
    <w:rPr>
      <w:bCs w:val="0"/>
      <w:kern w:val="2"/>
    </w:rPr>
  </w:style>
  <w:style w:type="character" w:customStyle="1" w:styleId="1821">
    <w:name w:val="样式 小四 Char"/>
    <w:link w:val="1822"/>
    <w:locked/>
    <w:uiPriority w:val="0"/>
    <w:rPr>
      <w:rFonts w:ascii="宋体" w:hAnsi="宋体"/>
      <w:sz w:val="24"/>
      <w:szCs w:val="24"/>
    </w:rPr>
  </w:style>
  <w:style w:type="paragraph" w:customStyle="1" w:styleId="1822">
    <w:name w:val="样式 小四"/>
    <w:basedOn w:val="1"/>
    <w:next w:val="6"/>
    <w:link w:val="1821"/>
    <w:uiPriority w:val="0"/>
    <w:rPr>
      <w:rFonts w:ascii="宋体" w:hAnsi="宋体" w:eastAsia="宋体"/>
      <w:kern w:val="0"/>
      <w:sz w:val="24"/>
      <w:szCs w:val="24"/>
    </w:rPr>
  </w:style>
  <w:style w:type="table" w:customStyle="1" w:styleId="1823">
    <w:name w:val="1环评表格"/>
    <w:basedOn w:val="88"/>
    <w:uiPriority w:val="0"/>
    <w:pPr>
      <w:spacing w:line="0" w:lineRule="atLeast"/>
    </w:pPr>
    <w:rPr>
      <w:rFonts w:ascii="Arial" w:hAnsi="Arial"/>
    </w:rPr>
    <w:tblPr>
      <w:tblLayout w:type="fixed"/>
      <w:tblCellMar>
        <w:left w:w="28" w:type="dxa"/>
        <w:right w:w="28" w:type="dxa"/>
      </w:tblCellMar>
    </w:tblPr>
    <w:tcPr>
      <w:vAlign w:val="center"/>
    </w:tcPr>
  </w:style>
  <w:style w:type="paragraph" w:customStyle="1" w:styleId="1824">
    <w:name w:val="Char Char Char Char Char Char Char Char Char1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1825">
    <w:name w:val="样式 目录 1 + 首行缩进:  1 字符"/>
    <w:basedOn w:val="59"/>
    <w:uiPriority w:val="0"/>
    <w:pPr>
      <w:tabs>
        <w:tab w:val="clear" w:pos="1120"/>
        <w:tab w:val="clear" w:pos="8767"/>
      </w:tabs>
      <w:spacing w:before="120" w:after="120" w:line="360" w:lineRule="auto"/>
      <w:ind w:firstLine="200" w:firstLineChars="200"/>
    </w:pPr>
    <w:rPr>
      <w:rFonts w:ascii="Calibri" w:hAnsi="Calibri" w:cs="宋体"/>
      <w:bCs w:val="0"/>
      <w:caps w:val="0"/>
      <w:szCs w:val="20"/>
    </w:rPr>
  </w:style>
  <w:style w:type="character" w:customStyle="1" w:styleId="1826">
    <w:name w:val="正文首行缩进 2 字符"/>
    <w:link w:val="86"/>
    <w:uiPriority w:val="0"/>
    <w:rPr>
      <w:rFonts w:ascii="宋体"/>
      <w:kern w:val="2"/>
      <w:sz w:val="24"/>
      <w:szCs w:val="28"/>
    </w:rPr>
  </w:style>
  <w:style w:type="paragraph" w:customStyle="1" w:styleId="1827">
    <w:name w:val="333333333333333333333333333"/>
    <w:basedOn w:val="1"/>
    <w:link w:val="1828"/>
    <w:qFormat/>
    <w:uiPriority w:val="0"/>
    <w:pPr>
      <w:keepNext/>
      <w:widowControl/>
      <w:spacing w:before="60" w:after="60" w:line="360" w:lineRule="auto"/>
      <w:jc w:val="left"/>
      <w:outlineLvl w:val="2"/>
    </w:pPr>
    <w:rPr>
      <w:rFonts w:ascii="Arial" w:hAnsi="Arial" w:eastAsia="宋体" w:cs="Arial"/>
      <w:b/>
      <w:bCs/>
      <w:color w:val="000000"/>
      <w:kern w:val="0"/>
      <w:sz w:val="24"/>
      <w:szCs w:val="24"/>
      <w:lang w:val="zh-CN" w:eastAsia="zh-CN" w:bidi="en-US"/>
    </w:rPr>
  </w:style>
  <w:style w:type="character" w:customStyle="1" w:styleId="1828">
    <w:name w:val="333333333333333333333333333 Char"/>
    <w:link w:val="1827"/>
    <w:uiPriority w:val="0"/>
    <w:rPr>
      <w:rFonts w:ascii="Arial" w:hAnsi="Arial" w:cs="Arial"/>
      <w:b/>
      <w:bCs/>
      <w:color w:val="000000"/>
      <w:sz w:val="24"/>
      <w:szCs w:val="24"/>
      <w:lang w:val="zh-CN" w:eastAsia="zh-CN" w:bidi="en-US"/>
    </w:rPr>
  </w:style>
  <w:style w:type="paragraph" w:customStyle="1" w:styleId="1829">
    <w:name w:val="标题二"/>
    <w:basedOn w:val="1631"/>
    <w:link w:val="1945"/>
    <w:uiPriority w:val="0"/>
    <w:pPr>
      <w:widowControl w:val="0"/>
      <w:numPr>
        <w:numId w:val="9"/>
      </w:numPr>
      <w:spacing w:line="264" w:lineRule="auto"/>
      <w:jc w:val="both"/>
    </w:pPr>
    <w:rPr>
      <w:rFonts w:ascii="Times New Roman" w:hAnsi="Times New Roman" w:cs="Times New Roman"/>
      <w:kern w:val="2"/>
      <w:lang w:eastAsia="zh-CN"/>
    </w:rPr>
  </w:style>
  <w:style w:type="paragraph" w:customStyle="1" w:styleId="1830">
    <w:name w:val="表头中"/>
    <w:link w:val="1832"/>
    <w:uiPriority w:val="0"/>
    <w:pPr>
      <w:numPr>
        <w:ilvl w:val="3"/>
        <w:numId w:val="10"/>
      </w:numPr>
      <w:spacing w:before="120"/>
      <w:jc w:val="center"/>
    </w:pPr>
    <w:rPr>
      <w:rFonts w:ascii="Times New Roman" w:hAnsi="Times New Roman" w:eastAsia="宋体" w:cs="Times New Roman"/>
      <w:b/>
      <w:bCs/>
      <w:sz w:val="24"/>
      <w:szCs w:val="24"/>
      <w:lang w:val="en-US" w:eastAsia="zh-CN" w:bidi="ar-SA"/>
    </w:rPr>
  </w:style>
  <w:style w:type="paragraph" w:customStyle="1" w:styleId="1831">
    <w:name w:val="标题四"/>
    <w:basedOn w:val="6"/>
    <w:next w:val="850"/>
    <w:link w:val="1841"/>
    <w:uiPriority w:val="0"/>
    <w:pPr>
      <w:numPr>
        <w:numId w:val="9"/>
      </w:numPr>
      <w:adjustRightInd/>
      <w:spacing w:after="120" w:line="264" w:lineRule="auto"/>
      <w:jc w:val="left"/>
    </w:pPr>
    <w:rPr>
      <w:rFonts w:ascii="Times New Roman" w:eastAsia="宋体"/>
      <w:b w:val="0"/>
    </w:rPr>
  </w:style>
  <w:style w:type="character" w:customStyle="1" w:styleId="1832">
    <w:name w:val="表头中 Char Char"/>
    <w:link w:val="1830"/>
    <w:uiPriority w:val="0"/>
    <w:rPr>
      <w:b/>
      <w:bCs/>
      <w:sz w:val="24"/>
      <w:szCs w:val="24"/>
    </w:rPr>
  </w:style>
  <w:style w:type="paragraph" w:customStyle="1" w:styleId="1833">
    <w:name w:val="样式 标题三"/>
    <w:basedOn w:val="1795"/>
    <w:next w:val="1831"/>
    <w:uiPriority w:val="0"/>
    <w:pPr>
      <w:tabs>
        <w:tab w:val="left" w:pos="720"/>
        <w:tab w:val="clear" w:pos="0"/>
      </w:tabs>
      <w:spacing w:before="210" w:after="210"/>
      <w:ind w:left="720" w:hanging="432"/>
    </w:pPr>
    <w:rPr>
      <w:rFonts w:eastAsia="仿宋_GB2312"/>
      <w:bCs/>
      <w:szCs w:val="20"/>
    </w:rPr>
  </w:style>
  <w:style w:type="paragraph" w:customStyle="1" w:styleId="1834">
    <w:name w:val="样式 章标题"/>
    <w:basedOn w:val="1"/>
    <w:uiPriority w:val="0"/>
    <w:pPr>
      <w:numPr>
        <w:ilvl w:val="0"/>
        <w:numId w:val="9"/>
      </w:numPr>
    </w:pPr>
  </w:style>
  <w:style w:type="paragraph" w:customStyle="1" w:styleId="1835">
    <w:name w:val="样式 标题g3"/>
    <w:basedOn w:val="1"/>
    <w:uiPriority w:val="0"/>
    <w:pPr>
      <w:numPr>
        <w:ilvl w:val="2"/>
        <w:numId w:val="9"/>
      </w:numPr>
    </w:pPr>
  </w:style>
  <w:style w:type="paragraph" w:customStyle="1" w:styleId="1836">
    <w:name w:val="样式 标题g4"/>
    <w:basedOn w:val="1"/>
    <w:uiPriority w:val="0"/>
    <w:pPr>
      <w:numPr>
        <w:ilvl w:val="3"/>
        <w:numId w:val="11"/>
      </w:numPr>
    </w:pPr>
  </w:style>
  <w:style w:type="paragraph" w:customStyle="1" w:styleId="1837">
    <w:name w:val="样式 标题二"/>
    <w:basedOn w:val="1829"/>
    <w:next w:val="1833"/>
    <w:uiPriority w:val="0"/>
    <w:pPr>
      <w:spacing w:before="210" w:after="210"/>
    </w:pPr>
    <w:rPr>
      <w:szCs w:val="20"/>
    </w:rPr>
  </w:style>
  <w:style w:type="paragraph" w:customStyle="1" w:styleId="1838">
    <w:name w:val="样式 报告正文-连续目录 + 首行缩进:  2 字符2"/>
    <w:basedOn w:val="1"/>
    <w:uiPriority w:val="0"/>
    <w:pPr>
      <w:widowControl/>
      <w:spacing w:line="440" w:lineRule="exact"/>
      <w:ind w:firstLine="480" w:firstLineChars="200"/>
    </w:pPr>
    <w:rPr>
      <w:rFonts w:ascii="Arial" w:hAnsi="Arial" w:eastAsia="宋体" w:cs="宋体"/>
      <w:snapToGrid w:val="0"/>
      <w:kern w:val="0"/>
      <w:sz w:val="24"/>
    </w:rPr>
  </w:style>
  <w:style w:type="paragraph" w:customStyle="1" w:styleId="1839">
    <w:name w:val="样式 正文中 + 首行缩进:  2 字符"/>
    <w:basedOn w:val="850"/>
    <w:uiPriority w:val="0"/>
    <w:pPr>
      <w:tabs>
        <w:tab w:val="left" w:pos="3408"/>
      </w:tabs>
      <w:ind w:left="2753" w:hanging="425"/>
    </w:pPr>
    <w:rPr>
      <w:rFonts w:cs="宋体"/>
    </w:rPr>
  </w:style>
  <w:style w:type="paragraph" w:customStyle="1" w:styleId="1840">
    <w:name w:val="标题 三"/>
    <w:basedOn w:val="1797"/>
    <w:uiPriority w:val="0"/>
    <w:pPr>
      <w:tabs>
        <w:tab w:val="left" w:pos="720"/>
        <w:tab w:val="clear" w:pos="0"/>
      </w:tabs>
      <w:ind w:left="720"/>
    </w:pPr>
  </w:style>
  <w:style w:type="character" w:customStyle="1" w:styleId="1841">
    <w:name w:val="标题四 Char Char1"/>
    <w:link w:val="1831"/>
    <w:uiPriority w:val="0"/>
    <w:rPr>
      <w:rFonts w:hAnsi="Arial"/>
      <w:kern w:val="2"/>
      <w:sz w:val="24"/>
      <w:lang w:val="zh-CN" w:eastAsia="zh-CN"/>
    </w:rPr>
  </w:style>
  <w:style w:type="paragraph" w:customStyle="1" w:styleId="1842">
    <w:name w:val="样式 标题 三"/>
    <w:basedOn w:val="1840"/>
    <w:next w:val="850"/>
    <w:uiPriority w:val="0"/>
    <w:pPr>
      <w:spacing w:before="120" w:after="60" w:line="264" w:lineRule="auto"/>
      <w:ind w:left="555"/>
    </w:pPr>
  </w:style>
  <w:style w:type="paragraph" w:customStyle="1" w:styleId="1843">
    <w:name w:val="样式 标题g2"/>
    <w:basedOn w:val="1"/>
    <w:uiPriority w:val="0"/>
    <w:pPr>
      <w:numPr>
        <w:ilvl w:val="1"/>
        <w:numId w:val="12"/>
      </w:numPr>
    </w:pPr>
  </w:style>
  <w:style w:type="paragraph" w:customStyle="1" w:styleId="1844">
    <w:name w:val="样式 表头正"/>
    <w:basedOn w:val="1796"/>
    <w:uiPriority w:val="0"/>
    <w:pPr>
      <w:tabs>
        <w:tab w:val="left" w:pos="864"/>
        <w:tab w:val="clear" w:pos="0"/>
      </w:tabs>
      <w:ind w:left="864" w:hanging="144"/>
    </w:pPr>
  </w:style>
  <w:style w:type="paragraph" w:customStyle="1" w:styleId="1845">
    <w:name w:val="表格非数字"/>
    <w:basedOn w:val="1"/>
    <w:link w:val="1846"/>
    <w:uiPriority w:val="0"/>
    <w:pPr>
      <w:spacing w:line="360" w:lineRule="exact"/>
      <w:jc w:val="left"/>
    </w:pPr>
    <w:rPr>
      <w:rFonts w:ascii="Arial" w:hAnsi="Arial" w:eastAsia="宋体"/>
      <w:kern w:val="0"/>
      <w:sz w:val="20"/>
      <w:lang w:val="zh-CN" w:eastAsia="zh-CN"/>
    </w:rPr>
  </w:style>
  <w:style w:type="character" w:customStyle="1" w:styleId="1846">
    <w:name w:val="表格非数字 Char"/>
    <w:link w:val="1845"/>
    <w:uiPriority w:val="0"/>
    <w:rPr>
      <w:rFonts w:ascii="Arial" w:hAnsi="Arial"/>
      <w:lang w:val="zh-CN" w:eastAsia="zh-CN"/>
    </w:rPr>
  </w:style>
  <w:style w:type="character" w:customStyle="1" w:styleId="1847">
    <w:name w:val="Char Char8"/>
    <w:uiPriority w:val="0"/>
    <w:rPr>
      <w:rFonts w:ascii="Times New Roman" w:hAnsi="Times New Roman" w:eastAsia="宋体" w:cs="Arial"/>
      <w:b/>
      <w:sz w:val="21"/>
    </w:rPr>
  </w:style>
  <w:style w:type="character" w:customStyle="1" w:styleId="1848">
    <w:name w:val="表格居中 Char"/>
    <w:link w:val="603"/>
    <w:qFormat/>
    <w:uiPriority w:val="0"/>
    <w:rPr>
      <w:kern w:val="2"/>
      <w:sz w:val="24"/>
    </w:rPr>
  </w:style>
  <w:style w:type="paragraph" w:customStyle="1" w:styleId="1849">
    <w:name w:val="正文编号(1)"/>
    <w:basedOn w:val="1"/>
    <w:next w:val="4"/>
    <w:link w:val="1850"/>
    <w:qFormat/>
    <w:uiPriority w:val="0"/>
    <w:pPr>
      <w:widowControl/>
      <w:numPr>
        <w:ilvl w:val="0"/>
        <w:numId w:val="13"/>
      </w:numPr>
      <w:tabs>
        <w:tab w:val="left" w:pos="896"/>
      </w:tabs>
      <w:contextualSpacing/>
    </w:pPr>
    <w:rPr>
      <w:rFonts w:eastAsia="宋体"/>
      <w:kern w:val="0"/>
      <w:sz w:val="24"/>
      <w:szCs w:val="22"/>
      <w:lang w:val="zh-CN" w:eastAsia="zh-CN"/>
    </w:rPr>
  </w:style>
  <w:style w:type="character" w:customStyle="1" w:styleId="1850">
    <w:name w:val="正文编号(1) Char"/>
    <w:link w:val="1849"/>
    <w:uiPriority w:val="0"/>
    <w:rPr>
      <w:sz w:val="24"/>
      <w:szCs w:val="22"/>
      <w:lang w:val="zh-CN" w:eastAsia="zh-CN"/>
    </w:rPr>
  </w:style>
  <w:style w:type="character" w:customStyle="1" w:styleId="1851">
    <w:name w:val="标题2 Char Char"/>
    <w:link w:val="404"/>
    <w:uiPriority w:val="0"/>
    <w:rPr>
      <w:rFonts w:ascii="Arial" w:hAnsi="Arial"/>
      <w:b/>
      <w:bCs/>
      <w:kern w:val="2"/>
      <w:sz w:val="24"/>
      <w:szCs w:val="32"/>
      <w:lang w:val="zh-CN" w:eastAsia="zh-CN"/>
    </w:rPr>
  </w:style>
  <w:style w:type="paragraph" w:customStyle="1" w:styleId="1852">
    <w:name w:val="标题4 非连续"/>
    <w:basedOn w:val="1831"/>
    <w:link w:val="1861"/>
    <w:uiPriority w:val="0"/>
    <w:pPr>
      <w:widowControl/>
      <w:numPr>
        <w:numId w:val="0"/>
      </w:numPr>
      <w:spacing w:beforeLines="50" w:after="0" w:line="440" w:lineRule="exact"/>
    </w:pPr>
    <w:rPr>
      <w:rFonts w:ascii="Arial"/>
      <w:b/>
      <w:bCs/>
      <w:snapToGrid w:val="0"/>
      <w:kern w:val="0"/>
      <w:szCs w:val="28"/>
    </w:rPr>
  </w:style>
  <w:style w:type="paragraph" w:customStyle="1" w:styleId="1853">
    <w:name w:val="标题2 非连续"/>
    <w:basedOn w:val="404"/>
    <w:link w:val="1857"/>
    <w:uiPriority w:val="0"/>
    <w:pPr>
      <w:widowControl/>
      <w:tabs>
        <w:tab w:val="left" w:pos="425"/>
        <w:tab w:val="clear" w:pos="576"/>
      </w:tabs>
      <w:spacing w:beforeLines="50" w:line="440" w:lineRule="exact"/>
      <w:jc w:val="left"/>
    </w:pPr>
    <w:rPr>
      <w:rFonts w:eastAsia="黑体"/>
      <w:kern w:val="0"/>
      <w:sz w:val="28"/>
    </w:rPr>
  </w:style>
  <w:style w:type="paragraph" w:customStyle="1" w:styleId="1854">
    <w:name w:val="标题3 非连续"/>
    <w:basedOn w:val="403"/>
    <w:link w:val="1856"/>
    <w:uiPriority w:val="0"/>
    <w:pPr>
      <w:widowControl/>
      <w:tabs>
        <w:tab w:val="clear" w:pos="1080"/>
      </w:tabs>
      <w:spacing w:beforeLines="50" w:line="440" w:lineRule="exact"/>
      <w:jc w:val="left"/>
    </w:pPr>
    <w:rPr>
      <w:szCs w:val="20"/>
    </w:rPr>
  </w:style>
  <w:style w:type="character" w:customStyle="1" w:styleId="1855">
    <w:name w:val="标题3 Char"/>
    <w:link w:val="403"/>
    <w:uiPriority w:val="0"/>
    <w:rPr>
      <w:sz w:val="24"/>
      <w:szCs w:val="32"/>
      <w:lang w:val="zh-CN" w:eastAsia="zh-CN"/>
    </w:rPr>
  </w:style>
  <w:style w:type="character" w:customStyle="1" w:styleId="1856">
    <w:name w:val="标题3 非连续 Char"/>
    <w:link w:val="1854"/>
    <w:uiPriority w:val="0"/>
    <w:rPr>
      <w:sz w:val="24"/>
      <w:lang w:val="zh-CN" w:eastAsia="zh-CN"/>
    </w:rPr>
  </w:style>
  <w:style w:type="character" w:customStyle="1" w:styleId="1857">
    <w:name w:val="标题2 非连续 Char"/>
    <w:link w:val="1853"/>
    <w:uiPriority w:val="0"/>
    <w:rPr>
      <w:rFonts w:ascii="Arial" w:hAnsi="Arial" w:eastAsia="黑体"/>
      <w:b/>
      <w:bCs/>
      <w:sz w:val="28"/>
      <w:szCs w:val="32"/>
      <w:lang w:val="zh-CN" w:eastAsia="zh-CN"/>
    </w:rPr>
  </w:style>
  <w:style w:type="paragraph" w:customStyle="1" w:styleId="1858">
    <w:name w:val="表格数字"/>
    <w:basedOn w:val="1"/>
    <w:link w:val="1859"/>
    <w:uiPriority w:val="0"/>
    <w:pPr>
      <w:widowControl/>
      <w:spacing w:line="360" w:lineRule="exact"/>
      <w:jc w:val="center"/>
    </w:pPr>
    <w:rPr>
      <w:rFonts w:ascii="Arial" w:hAnsi="Arial" w:eastAsia="宋体"/>
      <w:kern w:val="0"/>
      <w:sz w:val="20"/>
      <w:lang w:val="zh-CN" w:eastAsia="zh-CN"/>
    </w:rPr>
  </w:style>
  <w:style w:type="character" w:customStyle="1" w:styleId="1859">
    <w:name w:val="表格数字 Char"/>
    <w:link w:val="1858"/>
    <w:uiPriority w:val="0"/>
    <w:rPr>
      <w:rFonts w:ascii="Arial" w:hAnsi="Arial"/>
      <w:lang w:val="zh-CN" w:eastAsia="zh-CN"/>
    </w:rPr>
  </w:style>
  <w:style w:type="paragraph" w:customStyle="1" w:styleId="1860">
    <w:name w:val="标题（4）"/>
    <w:basedOn w:val="1852"/>
    <w:link w:val="1863"/>
    <w:uiPriority w:val="0"/>
    <w:pPr>
      <w:spacing w:beforeLines="0"/>
    </w:pPr>
  </w:style>
  <w:style w:type="character" w:customStyle="1" w:styleId="1861">
    <w:name w:val="标题4 非连续 Char"/>
    <w:link w:val="1852"/>
    <w:uiPriority w:val="0"/>
    <w:rPr>
      <w:rFonts w:ascii="Arial" w:hAnsi="Arial"/>
      <w:b/>
      <w:bCs/>
      <w:snapToGrid w:val="0"/>
      <w:sz w:val="24"/>
      <w:szCs w:val="28"/>
      <w:lang w:val="zh-CN" w:eastAsia="zh-CN"/>
    </w:rPr>
  </w:style>
  <w:style w:type="paragraph" w:customStyle="1" w:styleId="1862">
    <w:name w:val="样式 标题五 + 居中"/>
    <w:basedOn w:val="1"/>
    <w:uiPriority w:val="0"/>
    <w:pPr>
      <w:widowControl/>
      <w:spacing w:line="440" w:lineRule="exact"/>
      <w:jc w:val="center"/>
    </w:pPr>
    <w:rPr>
      <w:rFonts w:ascii="Arial" w:hAnsi="Arial" w:eastAsia="宋体" w:cs="宋体"/>
      <w:snapToGrid w:val="0"/>
      <w:kern w:val="0"/>
      <w:sz w:val="24"/>
    </w:rPr>
  </w:style>
  <w:style w:type="character" w:customStyle="1" w:styleId="1863">
    <w:name w:val="标题（4） Char"/>
    <w:link w:val="1860"/>
    <w:uiPriority w:val="0"/>
    <w:rPr>
      <w:rFonts w:ascii="Arial" w:hAnsi="Arial"/>
      <w:b/>
      <w:bCs/>
      <w:snapToGrid w:val="0"/>
      <w:sz w:val="24"/>
      <w:szCs w:val="28"/>
      <w:lang w:val="zh-CN" w:eastAsia="zh-CN"/>
    </w:rPr>
  </w:style>
  <w:style w:type="paragraph" w:customStyle="1" w:styleId="1864">
    <w:name w:val="样式 标题五 + 居中1"/>
    <w:basedOn w:val="1"/>
    <w:uiPriority w:val="0"/>
    <w:pPr>
      <w:widowControl/>
      <w:spacing w:line="440" w:lineRule="exact"/>
      <w:jc w:val="center"/>
    </w:pPr>
    <w:rPr>
      <w:rFonts w:ascii="Arial" w:hAnsi="Arial" w:eastAsia="宋体" w:cs="宋体"/>
      <w:snapToGrid w:val="0"/>
      <w:kern w:val="0"/>
      <w:sz w:val="24"/>
    </w:rPr>
  </w:style>
  <w:style w:type="paragraph" w:customStyle="1" w:styleId="1865">
    <w:name w:val="2级"/>
    <w:basedOn w:val="1"/>
    <w:uiPriority w:val="0"/>
    <w:pPr>
      <w:widowControl/>
      <w:numPr>
        <w:ilvl w:val="1"/>
        <w:numId w:val="14"/>
      </w:numPr>
      <w:jc w:val="left"/>
    </w:pPr>
    <w:rPr>
      <w:rFonts w:ascii="宋体" w:hAnsi="宋体" w:eastAsia="宋体" w:cs="宋体"/>
      <w:kern w:val="0"/>
      <w:sz w:val="24"/>
      <w:szCs w:val="24"/>
    </w:rPr>
  </w:style>
  <w:style w:type="paragraph" w:customStyle="1" w:styleId="1866">
    <w:name w:val="样式 1级 +"/>
    <w:basedOn w:val="2"/>
    <w:uiPriority w:val="0"/>
    <w:pPr>
      <w:pageBreakBefore w:val="0"/>
      <w:widowControl/>
      <w:numPr>
        <w:ilvl w:val="0"/>
        <w:numId w:val="15"/>
      </w:numPr>
      <w:tabs>
        <w:tab w:val="left" w:pos="315"/>
        <w:tab w:val="left" w:pos="378"/>
        <w:tab w:val="clear" w:pos="1080"/>
      </w:tabs>
      <w:spacing w:before="340" w:beforeLines="50" w:after="0" w:line="440" w:lineRule="exact"/>
      <w:jc w:val="left"/>
    </w:pPr>
    <w:rPr>
      <w:rFonts w:ascii="Arial" w:hAnsi="Arial" w:eastAsia="黑体" w:cs="宋体"/>
      <w:b w:val="0"/>
      <w:kern w:val="0"/>
      <w:sz w:val="30"/>
      <w:szCs w:val="32"/>
    </w:rPr>
  </w:style>
  <w:style w:type="paragraph" w:customStyle="1" w:styleId="1867">
    <w:name w:val="样式 2级标题 + 非加粗"/>
    <w:basedOn w:val="404"/>
    <w:link w:val="1868"/>
    <w:uiPriority w:val="0"/>
    <w:pPr>
      <w:widowControl/>
      <w:tabs>
        <w:tab w:val="left" w:pos="425"/>
        <w:tab w:val="clear" w:pos="576"/>
      </w:tabs>
      <w:spacing w:line="440" w:lineRule="exact"/>
      <w:jc w:val="left"/>
    </w:pPr>
    <w:rPr>
      <w:rFonts w:eastAsia="黑体"/>
      <w:b w:val="0"/>
      <w:bCs w:val="0"/>
      <w:kern w:val="0"/>
      <w:sz w:val="28"/>
    </w:rPr>
  </w:style>
  <w:style w:type="character" w:customStyle="1" w:styleId="1868">
    <w:name w:val="样式 2级标题 + 非加粗 Char"/>
    <w:link w:val="1867"/>
    <w:uiPriority w:val="0"/>
    <w:rPr>
      <w:rFonts w:ascii="Arial" w:hAnsi="Arial" w:eastAsia="黑体"/>
      <w:sz w:val="28"/>
      <w:szCs w:val="32"/>
      <w:lang w:val="zh-CN" w:eastAsia="zh-CN"/>
    </w:rPr>
  </w:style>
  <w:style w:type="paragraph" w:customStyle="1" w:styleId="1869">
    <w:name w:val="样式 报告正文-连续目录 + 首行缩进:  2 字符"/>
    <w:basedOn w:val="905"/>
    <w:uiPriority w:val="0"/>
    <w:pPr>
      <w:widowControl/>
      <w:ind w:firstLine="480"/>
      <w:jc w:val="left"/>
    </w:pPr>
    <w:rPr>
      <w:rFonts w:cs="宋体"/>
      <w:kern w:val="0"/>
      <w:szCs w:val="20"/>
    </w:rPr>
  </w:style>
  <w:style w:type="paragraph" w:customStyle="1" w:styleId="1870">
    <w:name w:val="报告正文-非连续目录"/>
    <w:basedOn w:val="1"/>
    <w:link w:val="1904"/>
    <w:uiPriority w:val="0"/>
    <w:pPr>
      <w:widowControl/>
      <w:spacing w:before="240" w:line="440" w:lineRule="exact"/>
      <w:ind w:firstLine="482"/>
      <w:jc w:val="left"/>
    </w:pPr>
    <w:rPr>
      <w:rFonts w:ascii="Arial" w:hAnsi="Arial" w:eastAsia="宋体"/>
      <w:kern w:val="0"/>
      <w:sz w:val="24"/>
      <w:szCs w:val="24"/>
      <w:lang w:val="zh-CN" w:eastAsia="zh-CN"/>
    </w:rPr>
  </w:style>
  <w:style w:type="paragraph" w:customStyle="1" w:styleId="1871">
    <w:name w:val="标题五"/>
    <w:basedOn w:val="1"/>
    <w:link w:val="1902"/>
    <w:uiPriority w:val="0"/>
    <w:pPr>
      <w:widowControl/>
      <w:numPr>
        <w:ilvl w:val="0"/>
        <w:numId w:val="16"/>
      </w:numPr>
      <w:spacing w:line="440" w:lineRule="exact"/>
      <w:jc w:val="left"/>
    </w:pPr>
    <w:rPr>
      <w:rFonts w:ascii="Arial" w:hAnsi="Arial" w:eastAsia="宋体"/>
      <w:snapToGrid w:val="0"/>
      <w:kern w:val="0"/>
      <w:sz w:val="24"/>
      <w:szCs w:val="24"/>
      <w:lang w:val="zh-CN" w:eastAsia="zh-CN"/>
    </w:rPr>
  </w:style>
  <w:style w:type="character" w:customStyle="1" w:styleId="1872">
    <w:name w:val="页眉 Char Char1"/>
    <w:uiPriority w:val="0"/>
    <w:rPr>
      <w:rFonts w:eastAsia="宋体"/>
      <w:kern w:val="2"/>
      <w:sz w:val="18"/>
      <w:lang w:val="en-US" w:eastAsia="zh-CN" w:bidi="ar-SA"/>
    </w:rPr>
  </w:style>
  <w:style w:type="paragraph" w:customStyle="1" w:styleId="1873">
    <w:name w:val="请勿折叠！"/>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74">
    <w:name w:val="Char Char5"/>
    <w:uiPriority w:val="0"/>
    <w:rPr>
      <w:rFonts w:ascii="宋体" w:hAnsi="宋体" w:eastAsia="宋体"/>
      <w:sz w:val="24"/>
      <w:szCs w:val="24"/>
      <w:lang w:val="en-US" w:eastAsia="zh-CN" w:bidi="ar-SA"/>
    </w:rPr>
  </w:style>
  <w:style w:type="paragraph" w:customStyle="1" w:styleId="1875">
    <w:name w:val="样式6 正文"/>
    <w:uiPriority w:val="0"/>
    <w:pPr>
      <w:spacing w:line="360" w:lineRule="auto"/>
      <w:ind w:firstLine="510"/>
      <w:jc w:val="both"/>
    </w:pPr>
    <w:rPr>
      <w:rFonts w:ascii="Times New Roman" w:hAnsi="Times New Roman" w:eastAsia="宋体" w:cs="Times New Roman"/>
      <w:sz w:val="24"/>
      <w:lang w:val="en-US" w:eastAsia="zh-CN" w:bidi="ar-SA"/>
    </w:rPr>
  </w:style>
  <w:style w:type="paragraph" w:customStyle="1" w:styleId="1876">
    <w:name w:val="正文文本缩进 31"/>
    <w:basedOn w:val="1"/>
    <w:uiPriority w:val="0"/>
    <w:pPr>
      <w:widowControl/>
      <w:adjustRightInd w:val="0"/>
      <w:spacing w:line="360" w:lineRule="atLeast"/>
      <w:ind w:firstLine="480"/>
      <w:jc w:val="left"/>
      <w:textAlignment w:val="baseline"/>
    </w:pPr>
    <w:rPr>
      <w:rFonts w:ascii="宋体" w:hAnsi="宋体" w:eastAsia="宋体" w:cs="宋体"/>
      <w:kern w:val="0"/>
      <w:sz w:val="24"/>
    </w:rPr>
  </w:style>
  <w:style w:type="character" w:customStyle="1" w:styleId="1877">
    <w:name w:val="表格字体 Char"/>
    <w:uiPriority w:val="0"/>
    <w:rPr>
      <w:rFonts w:eastAsia="宋体"/>
      <w:sz w:val="21"/>
      <w:szCs w:val="21"/>
      <w:lang w:val="en-US" w:eastAsia="zh-CN" w:bidi="ar-SA"/>
    </w:rPr>
  </w:style>
  <w:style w:type="paragraph" w:customStyle="1" w:styleId="1878">
    <w:name w:val="样式 正文首行缩进 + 小四 段后: 0 磅 行距: 1.5 倍行距"/>
    <w:basedOn w:val="1"/>
    <w:uiPriority w:val="0"/>
    <w:pPr>
      <w:widowControl/>
      <w:spacing w:line="360" w:lineRule="auto"/>
      <w:ind w:firstLine="480" w:firstLineChars="200"/>
      <w:jc w:val="left"/>
    </w:pPr>
    <w:rPr>
      <w:rFonts w:ascii="宋体" w:hAnsi="宋体" w:eastAsia="宋体" w:cs="宋体"/>
      <w:kern w:val="0"/>
      <w:sz w:val="24"/>
    </w:rPr>
  </w:style>
  <w:style w:type="paragraph" w:customStyle="1" w:styleId="1879">
    <w:name w:val="样式 标题 2标题 31 + 段前: 0.5 行 段后: 0.5 行"/>
    <w:basedOn w:val="3"/>
    <w:uiPriority w:val="0"/>
    <w:pPr>
      <w:widowControl/>
      <w:numPr>
        <w:ilvl w:val="0"/>
        <w:numId w:val="0"/>
      </w:numPr>
      <w:adjustRightInd w:val="0"/>
      <w:snapToGrid w:val="0"/>
      <w:spacing w:before="0" w:beforeLines="50" w:after="0" w:afterLines="50" w:line="360" w:lineRule="auto"/>
      <w:jc w:val="left"/>
      <w:outlineLvl w:val="2"/>
    </w:pPr>
    <w:rPr>
      <w:rFonts w:ascii="Times New Roman" w:hAnsi="Times New Roman" w:eastAsia="宋体" w:cs="宋体"/>
      <w:b/>
      <w:bCs/>
      <w:color w:val="FF00FF"/>
      <w:kern w:val="0"/>
    </w:rPr>
  </w:style>
  <w:style w:type="paragraph" w:customStyle="1" w:styleId="1880">
    <w:name w:val="样式 标题 2mystyle2style2 + 四号"/>
    <w:basedOn w:val="3"/>
    <w:uiPriority w:val="0"/>
    <w:pPr>
      <w:widowControl/>
      <w:numPr>
        <w:ilvl w:val="0"/>
        <w:numId w:val="0"/>
      </w:numPr>
      <w:adjustRightInd w:val="0"/>
      <w:snapToGrid w:val="0"/>
      <w:spacing w:before="0" w:beforeLines="50" w:after="0" w:afterLines="50" w:line="360" w:lineRule="auto"/>
      <w:jc w:val="left"/>
      <w:outlineLvl w:val="2"/>
    </w:pPr>
    <w:rPr>
      <w:rFonts w:ascii="Times New Roman" w:hAnsi="Times New Roman" w:eastAsia="宋体" w:cs="Arial"/>
      <w:b/>
      <w:bCs/>
      <w:color w:val="FF00FF"/>
      <w:kern w:val="0"/>
      <w:szCs w:val="30"/>
    </w:rPr>
  </w:style>
  <w:style w:type="paragraph" w:customStyle="1" w:styleId="1881">
    <w:name w:val="样式4 a.b."/>
    <w:basedOn w:val="1875"/>
    <w:uiPriority w:val="0"/>
    <w:pPr>
      <w:tabs>
        <w:tab w:val="left" w:pos="780"/>
      </w:tabs>
      <w:ind w:left="780" w:leftChars="200" w:hanging="360" w:hangingChars="200"/>
    </w:pPr>
  </w:style>
  <w:style w:type="paragraph" w:customStyle="1" w:styleId="1882">
    <w:name w:val="Char4"/>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883">
    <w:name w:val="列表1"/>
    <w:basedOn w:val="1"/>
    <w:next w:val="66"/>
    <w:uiPriority w:val="0"/>
    <w:pPr>
      <w:widowControl/>
      <w:spacing w:before="60" w:line="240" w:lineRule="exact"/>
      <w:jc w:val="center"/>
    </w:pPr>
    <w:rPr>
      <w:rFonts w:ascii="宋体" w:hAnsi="宋体" w:eastAsia="宋体" w:cs="宋体"/>
      <w:kern w:val="0"/>
      <w:sz w:val="24"/>
    </w:rPr>
  </w:style>
  <w:style w:type="paragraph" w:customStyle="1" w:styleId="1884">
    <w:name w:val="Char Char Char Char Char Char1 Char Char Char Char Char Char Char"/>
    <w:basedOn w:val="5"/>
    <w:uiPriority w:val="0"/>
    <w:pPr>
      <w:widowControl/>
      <w:numPr>
        <w:ilvl w:val="0"/>
        <w:numId w:val="0"/>
      </w:numPr>
      <w:tabs>
        <w:tab w:val="left" w:pos="360"/>
        <w:tab w:val="left" w:pos="900"/>
      </w:tabs>
      <w:snapToGrid w:val="0"/>
      <w:spacing w:line="360" w:lineRule="auto"/>
      <w:ind w:left="542" w:leftChars="-12" w:firstLine="200" w:firstLineChars="200"/>
      <w:jc w:val="left"/>
    </w:pPr>
    <w:rPr>
      <w:rFonts w:ascii="宋体" w:hAnsi="宋体" w:eastAsia="黑体" w:cs="宋体"/>
      <w:b w:val="0"/>
      <w:bCs w:val="0"/>
      <w:snapToGrid w:val="0"/>
      <w:szCs w:val="24"/>
    </w:rPr>
  </w:style>
  <w:style w:type="paragraph" w:customStyle="1" w:styleId="1885">
    <w:name w:val="样式 haydonli + 首行缩进:  2 字符"/>
    <w:basedOn w:val="1"/>
    <w:uiPriority w:val="0"/>
    <w:pPr>
      <w:widowControl/>
      <w:adjustRightInd w:val="0"/>
      <w:snapToGrid w:val="0"/>
      <w:spacing w:line="360" w:lineRule="auto"/>
      <w:ind w:firstLine="420"/>
      <w:jc w:val="left"/>
    </w:pPr>
    <w:rPr>
      <w:rFonts w:ascii="宋体" w:hAnsi="宋体" w:eastAsia="宋体" w:cs="宋体"/>
      <w:kern w:val="0"/>
      <w:sz w:val="24"/>
      <w:szCs w:val="24"/>
    </w:rPr>
  </w:style>
  <w:style w:type="character" w:customStyle="1" w:styleId="1886">
    <w:name w:val="正文-biao Char"/>
    <w:link w:val="966"/>
    <w:uiPriority w:val="0"/>
    <w:rPr>
      <w:rFonts w:hAnsi="宋体"/>
      <w:kern w:val="2"/>
      <w:sz w:val="24"/>
      <w:szCs w:val="24"/>
    </w:rPr>
  </w:style>
  <w:style w:type="paragraph" w:customStyle="1" w:styleId="1887">
    <w:name w:val="大田正文"/>
    <w:basedOn w:val="34"/>
    <w:uiPriority w:val="0"/>
    <w:pPr>
      <w:widowControl/>
      <w:spacing w:line="500" w:lineRule="exact"/>
      <w:ind w:firstLine="567"/>
      <w:jc w:val="left"/>
    </w:pPr>
    <w:rPr>
      <w:rFonts w:ascii="宋体" w:hAnsi="宋体" w:cs="宋体"/>
      <w:kern w:val="0"/>
      <w:sz w:val="28"/>
      <w:lang w:val="zh-CN" w:eastAsia="zh-CN"/>
    </w:rPr>
  </w:style>
  <w:style w:type="paragraph" w:customStyle="1" w:styleId="1888">
    <w:name w:val="样式 标题 1 + 黑体 二号 两端对齐"/>
    <w:basedOn w:val="2"/>
    <w:uiPriority w:val="0"/>
    <w:pPr>
      <w:keepLines w:val="0"/>
      <w:pageBreakBefore w:val="0"/>
      <w:widowControl/>
      <w:tabs>
        <w:tab w:val="left" w:pos="432"/>
        <w:tab w:val="right" w:pos="8640"/>
        <w:tab w:val="clear" w:pos="1080"/>
      </w:tabs>
      <w:spacing w:before="340" w:beforeLines="100" w:after="330" w:afterLines="50" w:line="240" w:lineRule="auto"/>
      <w:ind w:left="432" w:hanging="432"/>
    </w:pPr>
    <w:rPr>
      <w:rFonts w:ascii="黑体" w:hAnsi="Garamond" w:eastAsia="黑体" w:cs="宋体"/>
      <w:bCs/>
      <w:snapToGrid w:val="0"/>
      <w:spacing w:val="-2"/>
      <w:kern w:val="0"/>
      <w:sz w:val="44"/>
    </w:rPr>
  </w:style>
  <w:style w:type="character" w:customStyle="1" w:styleId="1889">
    <w:name w:val="t10l201"/>
    <w:uiPriority w:val="0"/>
    <w:rPr>
      <w:sz w:val="21"/>
      <w:szCs w:val="21"/>
    </w:rPr>
  </w:style>
  <w:style w:type="paragraph" w:customStyle="1" w:styleId="1890">
    <w:name w:val="编制依据"/>
    <w:basedOn w:val="4"/>
    <w:uiPriority w:val="0"/>
    <w:pPr>
      <w:widowControl/>
      <w:tabs>
        <w:tab w:val="left" w:pos="1304"/>
      </w:tabs>
      <w:spacing w:line="500" w:lineRule="exact"/>
      <w:ind w:left="1304" w:hanging="850"/>
      <w:jc w:val="left"/>
    </w:pPr>
    <w:rPr>
      <w:rFonts w:ascii="宋体" w:hAnsi="宋体" w:cs="宋体"/>
      <w:spacing w:val="-4"/>
      <w:kern w:val="0"/>
      <w:sz w:val="28"/>
      <w:lang w:val="zh-CN" w:eastAsia="zh-CN"/>
    </w:rPr>
  </w:style>
  <w:style w:type="paragraph" w:customStyle="1" w:styleId="1891">
    <w:name w:val="条文"/>
    <w:basedOn w:val="4"/>
    <w:uiPriority w:val="0"/>
    <w:pPr>
      <w:widowControl/>
      <w:tabs>
        <w:tab w:val="left" w:pos="1287"/>
        <w:tab w:val="left" w:pos="1472"/>
      </w:tabs>
      <w:adjustRightInd w:val="0"/>
      <w:spacing w:beforeLines="50" w:line="360" w:lineRule="auto"/>
      <w:ind w:firstLine="567"/>
      <w:jc w:val="left"/>
      <w:textAlignment w:val="baseline"/>
    </w:pPr>
    <w:rPr>
      <w:rFonts w:ascii="宋体" w:hAnsi="宋体" w:cs="宋体"/>
      <w:spacing w:val="0"/>
      <w:kern w:val="0"/>
      <w:sz w:val="28"/>
      <w:lang w:val="zh-CN" w:eastAsia="zh-CN"/>
    </w:rPr>
  </w:style>
  <w:style w:type="character" w:customStyle="1" w:styleId="1892">
    <w:name w:val="d1"/>
    <w:uiPriority w:val="0"/>
    <w:rPr>
      <w:rFonts w:hint="default" w:ascii="ˎ̥" w:hAnsi="ˎ̥"/>
      <w:color w:val="5C5C5C"/>
      <w:sz w:val="23"/>
      <w:szCs w:val="23"/>
      <w:u w:val="none"/>
    </w:rPr>
  </w:style>
  <w:style w:type="character" w:customStyle="1" w:styleId="1893">
    <w:name w:val="14t1"/>
    <w:basedOn w:val="132"/>
    <w:uiPriority w:val="0"/>
  </w:style>
  <w:style w:type="paragraph" w:customStyle="1" w:styleId="1894">
    <w:name w:val="法规"/>
    <w:basedOn w:val="1"/>
    <w:uiPriority w:val="0"/>
    <w:pPr>
      <w:widowControl/>
      <w:tabs>
        <w:tab w:val="left" w:pos="400"/>
      </w:tabs>
      <w:spacing w:line="440" w:lineRule="exact"/>
      <w:ind w:firstLine="400"/>
      <w:jc w:val="left"/>
    </w:pPr>
    <w:rPr>
      <w:rFonts w:ascii="宋体" w:hAnsi="宋体" w:eastAsia="宋体" w:cs="宋体"/>
      <w:kern w:val="0"/>
      <w:sz w:val="25"/>
    </w:rPr>
  </w:style>
  <w:style w:type="paragraph" w:customStyle="1" w:styleId="1895">
    <w:name w:val="正文 + 首行缩进:  2 字符"/>
    <w:basedOn w:val="1"/>
    <w:uiPriority w:val="0"/>
    <w:pPr>
      <w:widowControl/>
      <w:spacing w:line="460" w:lineRule="exact"/>
      <w:ind w:firstLine="480" w:firstLineChars="200"/>
      <w:jc w:val="left"/>
    </w:pPr>
    <w:rPr>
      <w:rFonts w:ascii="宋体" w:hAnsi="宋体" w:eastAsia="宋体" w:cs="宋体"/>
      <w:kern w:val="0"/>
      <w:sz w:val="24"/>
    </w:rPr>
  </w:style>
  <w:style w:type="paragraph" w:customStyle="1" w:styleId="1896">
    <w:name w:val="T表格"/>
    <w:uiPriority w:val="0"/>
    <w:pPr>
      <w:jc w:val="center"/>
    </w:pPr>
    <w:rPr>
      <w:rFonts w:ascii="Times New Roman" w:hAnsi="Times New Roman" w:eastAsia="宋体" w:cs="Times New Roman"/>
      <w:sz w:val="21"/>
      <w:lang w:val="en-US" w:eastAsia="zh-CN" w:bidi="ar-SA"/>
    </w:rPr>
  </w:style>
  <w:style w:type="paragraph" w:customStyle="1" w:styleId="1897">
    <w:name w:val="图标题"/>
    <w:basedOn w:val="45"/>
    <w:uiPriority w:val="0"/>
    <w:pPr>
      <w:widowControl/>
      <w:tabs>
        <w:tab w:val="left" w:pos="-256"/>
      </w:tabs>
      <w:spacing w:line="460" w:lineRule="exact"/>
      <w:ind w:firstLine="200" w:firstLineChars="200"/>
      <w:jc w:val="center"/>
      <w:outlineLvl w:val="0"/>
    </w:pPr>
    <w:rPr>
      <w:rFonts w:ascii="Times New Roman" w:hAnsi="Times New Roman" w:eastAsia="楷体_GB2312" w:cs="宋体"/>
      <w:b/>
      <w:bCs/>
      <w:kern w:val="0"/>
      <w:sz w:val="24"/>
      <w:lang w:val="zh-CN" w:eastAsia="zh-CN"/>
    </w:rPr>
  </w:style>
  <w:style w:type="paragraph" w:customStyle="1" w:styleId="1898">
    <w:name w:val="文本框10号"/>
    <w:basedOn w:val="1"/>
    <w:uiPriority w:val="0"/>
    <w:pPr>
      <w:widowControl/>
      <w:jc w:val="left"/>
    </w:pPr>
    <w:rPr>
      <w:rFonts w:ascii="宋体" w:hAnsi="宋体" w:eastAsia="宋体" w:cs="宋体"/>
      <w:kern w:val="0"/>
      <w:sz w:val="20"/>
    </w:rPr>
  </w:style>
  <w:style w:type="paragraph" w:customStyle="1" w:styleId="1899">
    <w:name w:val="报告书正文 Char Char Char Char Char Char Char"/>
    <w:basedOn w:val="1"/>
    <w:link w:val="1900"/>
    <w:uiPriority w:val="0"/>
    <w:pPr>
      <w:widowControl/>
      <w:spacing w:line="300" w:lineRule="auto"/>
      <w:ind w:firstLine="480" w:firstLineChars="200"/>
      <w:jc w:val="left"/>
    </w:pPr>
    <w:rPr>
      <w:rFonts w:ascii="宋体" w:hAnsi="宋体" w:eastAsia="宋体"/>
      <w:color w:val="000000"/>
      <w:kern w:val="0"/>
      <w:sz w:val="24"/>
      <w:szCs w:val="24"/>
      <w:lang w:val="zh-CN" w:eastAsia="zh-CN"/>
    </w:rPr>
  </w:style>
  <w:style w:type="character" w:customStyle="1" w:styleId="1900">
    <w:name w:val="报告书正文 Char Char Char Char Char Char Char Char"/>
    <w:link w:val="1899"/>
    <w:uiPriority w:val="0"/>
    <w:rPr>
      <w:rFonts w:ascii="宋体" w:hAnsi="宋体"/>
      <w:color w:val="000000"/>
      <w:sz w:val="24"/>
      <w:szCs w:val="24"/>
      <w:lang w:val="zh-CN" w:eastAsia="zh-CN"/>
    </w:rPr>
  </w:style>
  <w:style w:type="paragraph" w:customStyle="1" w:styleId="1901">
    <w:name w:val="图表头"/>
    <w:basedOn w:val="1"/>
    <w:uiPriority w:val="0"/>
    <w:pPr>
      <w:widowControl/>
      <w:adjustRightInd w:val="0"/>
      <w:spacing w:line="360" w:lineRule="auto"/>
      <w:jc w:val="center"/>
      <w:textAlignment w:val="baseline"/>
    </w:pPr>
    <w:rPr>
      <w:rFonts w:ascii="黑体" w:hAnsi="宋体" w:eastAsia="黑体" w:cs="宋体"/>
      <w:spacing w:val="5"/>
      <w:kern w:val="0"/>
      <w:sz w:val="24"/>
    </w:rPr>
  </w:style>
  <w:style w:type="character" w:customStyle="1" w:styleId="1902">
    <w:name w:val="标题五 Char Char"/>
    <w:link w:val="1871"/>
    <w:uiPriority w:val="0"/>
    <w:rPr>
      <w:rFonts w:ascii="Arial" w:hAnsi="Arial"/>
      <w:snapToGrid w:val="0"/>
      <w:sz w:val="24"/>
      <w:szCs w:val="24"/>
      <w:lang w:val="zh-CN" w:eastAsia="zh-CN"/>
    </w:rPr>
  </w:style>
  <w:style w:type="character" w:customStyle="1" w:styleId="1903">
    <w:name w:val="标题四 Char Char"/>
    <w:uiPriority w:val="0"/>
    <w:rPr>
      <w:rFonts w:ascii="Arial" w:hAnsi="Arial" w:eastAsia="宋体"/>
      <w:bCs/>
      <w:snapToGrid w:val="0"/>
      <w:sz w:val="24"/>
      <w:szCs w:val="28"/>
      <w:lang w:val="en-US" w:eastAsia="zh-CN" w:bidi="ar-SA"/>
    </w:rPr>
  </w:style>
  <w:style w:type="character" w:customStyle="1" w:styleId="1904">
    <w:name w:val="报告正文-非连续目录 Char"/>
    <w:link w:val="1870"/>
    <w:uiPriority w:val="0"/>
    <w:rPr>
      <w:rFonts w:ascii="Arial" w:hAnsi="Arial"/>
      <w:sz w:val="24"/>
      <w:szCs w:val="24"/>
      <w:lang w:val="zh-CN" w:eastAsia="zh-CN"/>
    </w:rPr>
  </w:style>
  <w:style w:type="paragraph" w:customStyle="1" w:styleId="1905">
    <w:name w:val="样式 标题2 非连续 + 段前: 0.5 行"/>
    <w:basedOn w:val="1853"/>
    <w:uiPriority w:val="0"/>
    <w:pPr>
      <w:tabs>
        <w:tab w:val="clear" w:pos="425"/>
      </w:tabs>
      <w:adjustRightInd w:val="0"/>
      <w:ind w:left="-1" w:leftChars="-1" w:hanging="1"/>
    </w:pPr>
    <w:rPr>
      <w:szCs w:val="20"/>
    </w:rPr>
  </w:style>
  <w:style w:type="character" w:customStyle="1" w:styleId="1906">
    <w:name w:val="正文标准文字"/>
    <w:uiPriority w:val="0"/>
    <w:rPr>
      <w:rFonts w:ascii="宋体" w:hAnsi="宋体" w:eastAsia="宋体" w:cs="宋体"/>
      <w:spacing w:val="0"/>
      <w:sz w:val="28"/>
      <w:szCs w:val="28"/>
    </w:rPr>
  </w:style>
  <w:style w:type="paragraph" w:customStyle="1" w:styleId="1907">
    <w:name w:val="表-二级标题"/>
    <w:basedOn w:val="3"/>
    <w:link w:val="1908"/>
    <w:uiPriority w:val="0"/>
    <w:pPr>
      <w:keepNext w:val="0"/>
      <w:keepLines w:val="0"/>
      <w:pageBreakBefore/>
      <w:widowControl/>
      <w:numPr>
        <w:ilvl w:val="0"/>
        <w:numId w:val="0"/>
      </w:numPr>
      <w:tabs>
        <w:tab w:val="left" w:pos="615"/>
      </w:tabs>
      <w:spacing w:before="60" w:after="0" w:line="460" w:lineRule="exact"/>
      <w:ind w:left="48" w:firstLine="482"/>
      <w:jc w:val="left"/>
    </w:pPr>
    <w:rPr>
      <w:rFonts w:ascii="Times New Roman" w:hAnsi="Times New Roman" w:eastAsia="宋体"/>
      <w:color w:val="000000"/>
      <w:kern w:val="0"/>
      <w:sz w:val="24"/>
      <w:szCs w:val="28"/>
    </w:rPr>
  </w:style>
  <w:style w:type="character" w:customStyle="1" w:styleId="1908">
    <w:name w:val="表-二级标题 Char"/>
    <w:link w:val="1907"/>
    <w:uiPriority w:val="0"/>
    <w:rPr>
      <w:color w:val="000000"/>
      <w:sz w:val="24"/>
      <w:szCs w:val="28"/>
      <w:lang w:val="zh-CN" w:eastAsia="zh-CN"/>
    </w:rPr>
  </w:style>
  <w:style w:type="paragraph" w:customStyle="1" w:styleId="1909">
    <w:name w:val="表-三级标题"/>
    <w:basedOn w:val="5"/>
    <w:uiPriority w:val="0"/>
    <w:pPr>
      <w:keepNext w:val="0"/>
      <w:keepLines w:val="0"/>
      <w:widowControl/>
      <w:numPr>
        <w:ilvl w:val="0"/>
        <w:numId w:val="17"/>
      </w:numPr>
      <w:spacing w:before="260" w:beforeLines="50" w:after="0" w:line="440" w:lineRule="exact"/>
      <w:jc w:val="left"/>
    </w:pPr>
    <w:rPr>
      <w:rFonts w:ascii="黑体" w:hAnsi="Arial" w:eastAsia="黑体" w:cs="Arial"/>
      <w:b w:val="0"/>
      <w:bCs w:val="0"/>
      <w:szCs w:val="24"/>
    </w:rPr>
  </w:style>
  <w:style w:type="character" w:customStyle="1" w:styleId="1910">
    <w:name w:val="yqlink"/>
    <w:basedOn w:val="132"/>
    <w:uiPriority w:val="0"/>
  </w:style>
  <w:style w:type="paragraph" w:customStyle="1" w:styleId="1911">
    <w:name w:val="HTML Top of Form"/>
    <w:basedOn w:val="1"/>
    <w:next w:val="1"/>
    <w:link w:val="1912"/>
    <w:uiPriority w:val="0"/>
    <w:pPr>
      <w:widowControl/>
      <w:pBdr>
        <w:bottom w:val="single" w:color="auto" w:sz="6" w:space="1"/>
      </w:pBdr>
      <w:jc w:val="center"/>
    </w:pPr>
    <w:rPr>
      <w:rFonts w:ascii="Arial" w:hAnsi="Arial" w:eastAsia="宋体"/>
      <w:vanish/>
      <w:kern w:val="0"/>
      <w:sz w:val="16"/>
      <w:szCs w:val="16"/>
      <w:lang w:val="zh-CN" w:eastAsia="zh-CN"/>
    </w:rPr>
  </w:style>
  <w:style w:type="character" w:customStyle="1" w:styleId="1912">
    <w:name w:val="z-窗体顶端 字符"/>
    <w:basedOn w:val="132"/>
    <w:link w:val="1911"/>
    <w:uiPriority w:val="0"/>
    <w:rPr>
      <w:rFonts w:ascii="Arial" w:hAnsi="Arial"/>
      <w:vanish/>
      <w:sz w:val="16"/>
      <w:szCs w:val="16"/>
      <w:lang w:val="zh-CN" w:eastAsia="zh-CN"/>
    </w:rPr>
  </w:style>
  <w:style w:type="paragraph" w:customStyle="1" w:styleId="1913">
    <w:name w:val="HTML Bottom of Form"/>
    <w:basedOn w:val="1"/>
    <w:next w:val="1"/>
    <w:link w:val="1914"/>
    <w:uiPriority w:val="0"/>
    <w:pPr>
      <w:widowControl/>
      <w:pBdr>
        <w:top w:val="single" w:color="auto" w:sz="6" w:space="1"/>
      </w:pBdr>
      <w:jc w:val="center"/>
    </w:pPr>
    <w:rPr>
      <w:rFonts w:ascii="Arial" w:hAnsi="Arial" w:eastAsia="宋体"/>
      <w:vanish/>
      <w:kern w:val="0"/>
      <w:sz w:val="16"/>
      <w:szCs w:val="16"/>
      <w:lang w:val="zh-CN" w:eastAsia="zh-CN"/>
    </w:rPr>
  </w:style>
  <w:style w:type="character" w:customStyle="1" w:styleId="1914">
    <w:name w:val="z-窗体底端 字符"/>
    <w:basedOn w:val="132"/>
    <w:link w:val="1913"/>
    <w:uiPriority w:val="0"/>
    <w:rPr>
      <w:rFonts w:ascii="Arial" w:hAnsi="Arial"/>
      <w:vanish/>
      <w:sz w:val="16"/>
      <w:szCs w:val="16"/>
      <w:lang w:val="zh-CN" w:eastAsia="zh-CN"/>
    </w:rPr>
  </w:style>
  <w:style w:type="paragraph" w:customStyle="1" w:styleId="1915">
    <w:name w:val="Char Char Char3 Char Char Char4 Char"/>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916">
    <w:name w:val="报告书正文 Char Char Char"/>
    <w:basedOn w:val="1"/>
    <w:uiPriority w:val="0"/>
    <w:pPr>
      <w:widowControl/>
      <w:spacing w:line="300" w:lineRule="auto"/>
      <w:ind w:firstLine="480" w:firstLineChars="200"/>
      <w:jc w:val="left"/>
    </w:pPr>
    <w:rPr>
      <w:rFonts w:ascii="宋体" w:hAnsi="宋体" w:eastAsia="宋体" w:cs="宋体"/>
      <w:color w:val="000000"/>
      <w:kern w:val="0"/>
      <w:sz w:val="24"/>
      <w:szCs w:val="24"/>
    </w:rPr>
  </w:style>
  <w:style w:type="paragraph" w:customStyle="1" w:styleId="1917">
    <w:name w:val="!标题4(alt+4)"/>
    <w:basedOn w:val="1"/>
    <w:uiPriority w:val="0"/>
    <w:pPr>
      <w:widowControl/>
      <w:tabs>
        <w:tab w:val="left" w:pos="1825"/>
      </w:tabs>
      <w:spacing w:before="60" w:after="20" w:line="500" w:lineRule="exact"/>
      <w:jc w:val="left"/>
      <w:outlineLvl w:val="3"/>
    </w:pPr>
    <w:rPr>
      <w:rFonts w:ascii="宋体" w:hAnsi="宋体" w:eastAsia="黑体" w:cs="宋体"/>
      <w:kern w:val="0"/>
      <w:sz w:val="24"/>
      <w:szCs w:val="24"/>
    </w:rPr>
  </w:style>
  <w:style w:type="paragraph" w:customStyle="1" w:styleId="1918">
    <w:name w:val="报告书正文 Char Char Char Char"/>
    <w:basedOn w:val="1"/>
    <w:uiPriority w:val="0"/>
    <w:pPr>
      <w:widowControl/>
      <w:spacing w:line="300" w:lineRule="auto"/>
      <w:ind w:firstLine="480" w:firstLineChars="200"/>
      <w:jc w:val="left"/>
    </w:pPr>
    <w:rPr>
      <w:rFonts w:ascii="宋体" w:hAnsi="宋体" w:eastAsia="宋体" w:cs="宋体"/>
      <w:color w:val="000000"/>
      <w:kern w:val="0"/>
      <w:sz w:val="24"/>
      <w:szCs w:val="24"/>
    </w:rPr>
  </w:style>
  <w:style w:type="paragraph" w:customStyle="1" w:styleId="1919">
    <w:name w:val="图表正文"/>
    <w:basedOn w:val="1"/>
    <w:uiPriority w:val="0"/>
    <w:pPr>
      <w:widowControl/>
      <w:snapToGrid w:val="0"/>
      <w:spacing w:beforeLines="2" w:afterLines="2" w:line="320" w:lineRule="exact"/>
      <w:jc w:val="center"/>
    </w:pPr>
    <w:rPr>
      <w:rFonts w:ascii="宋体" w:hAnsi="宋体" w:eastAsia="宋体" w:cs="宋体"/>
      <w:kern w:val="0"/>
      <w:sz w:val="24"/>
      <w:szCs w:val="24"/>
    </w:rPr>
  </w:style>
  <w:style w:type="paragraph" w:customStyle="1" w:styleId="1920">
    <w:name w:val="报告书正文 Char Char Char Char Char Char"/>
    <w:basedOn w:val="1"/>
    <w:uiPriority w:val="0"/>
    <w:pPr>
      <w:widowControl/>
      <w:spacing w:line="300" w:lineRule="auto"/>
      <w:ind w:firstLine="480" w:firstLineChars="200"/>
      <w:jc w:val="left"/>
    </w:pPr>
    <w:rPr>
      <w:rFonts w:ascii="宋体" w:hAnsi="宋体" w:eastAsia="宋体" w:cs="宋体"/>
      <w:color w:val="000000"/>
      <w:kern w:val="0"/>
      <w:sz w:val="24"/>
      <w:szCs w:val="24"/>
    </w:rPr>
  </w:style>
  <w:style w:type="paragraph" w:customStyle="1" w:styleId="1921">
    <w:name w:val="黑宋体"/>
    <w:basedOn w:val="6"/>
    <w:uiPriority w:val="0"/>
    <w:pPr>
      <w:keepNext w:val="0"/>
      <w:keepLines w:val="0"/>
      <w:widowControl/>
      <w:numPr>
        <w:ilvl w:val="0"/>
        <w:numId w:val="0"/>
      </w:numPr>
      <w:snapToGrid w:val="0"/>
      <w:spacing w:before="0" w:line="440" w:lineRule="exact"/>
      <w:jc w:val="left"/>
      <w:outlineLvl w:val="9"/>
    </w:pPr>
    <w:rPr>
      <w:rFonts w:eastAsia="宋体" w:cs="Arial"/>
      <w:b w:val="0"/>
      <w:bCs/>
      <w:kern w:val="0"/>
      <w:szCs w:val="24"/>
    </w:rPr>
  </w:style>
  <w:style w:type="paragraph" w:customStyle="1" w:styleId="1922">
    <w:name w:val="样式 样式 样式 标题 3标题 33 + 段前: 0.5 行 + 段前: 0.5 行 + 段前: 6 磅 段后: 0.5 行"/>
    <w:basedOn w:val="1"/>
    <w:uiPriority w:val="0"/>
    <w:pPr>
      <w:keepNext/>
      <w:keepLines/>
      <w:widowControl/>
      <w:spacing w:line="360" w:lineRule="auto"/>
      <w:jc w:val="left"/>
      <w:outlineLvl w:val="2"/>
    </w:pPr>
    <w:rPr>
      <w:rFonts w:ascii="黑体" w:hAnsi="宋体" w:eastAsia="黑体" w:cs="宋体"/>
      <w:snapToGrid w:val="0"/>
      <w:color w:val="FF0000"/>
      <w:kern w:val="0"/>
      <w:sz w:val="24"/>
    </w:rPr>
  </w:style>
  <w:style w:type="paragraph" w:customStyle="1" w:styleId="1923">
    <w:name w:val="样式 表格文字 + 首行缩进:  0.85 厘米 段前: 0.3 行 段后: 0.3 行"/>
    <w:basedOn w:val="490"/>
    <w:uiPriority w:val="0"/>
    <w:pPr>
      <w:snapToGrid w:val="0"/>
      <w:spacing w:beforeLines="30" w:afterLines="30"/>
      <w:ind w:firstLine="480"/>
      <w:jc w:val="center"/>
    </w:pPr>
    <w:rPr>
      <w:rFonts w:cs="宋体"/>
      <w:kern w:val="0"/>
      <w:sz w:val="24"/>
      <w:szCs w:val="20"/>
      <w:lang w:val="zh-CN" w:eastAsia="zh-CN"/>
    </w:rPr>
  </w:style>
  <w:style w:type="character" w:customStyle="1" w:styleId="1924">
    <w:name w:val="mailrt2"/>
    <w:basedOn w:val="132"/>
    <w:uiPriority w:val="0"/>
  </w:style>
  <w:style w:type="paragraph" w:customStyle="1" w:styleId="1925">
    <w:name w:val="报告书表格其他"/>
    <w:basedOn w:val="1798"/>
    <w:link w:val="2017"/>
    <w:uiPriority w:val="0"/>
    <w:pPr>
      <w:jc w:val="left"/>
    </w:pPr>
  </w:style>
  <w:style w:type="paragraph" w:customStyle="1" w:styleId="1926">
    <w:name w:val="Char Char Char Char Char Char Char Char Char1 Char Char Char1 Char"/>
    <w:basedOn w:val="1"/>
    <w:uiPriority w:val="0"/>
    <w:pPr>
      <w:widowControl/>
      <w:spacing w:line="360" w:lineRule="auto"/>
      <w:ind w:firstLine="200" w:firstLineChars="200"/>
      <w:jc w:val="left"/>
    </w:pPr>
    <w:rPr>
      <w:rFonts w:ascii="宋体" w:hAnsi="宋体" w:eastAsia="宋体" w:cs="宋体"/>
      <w:kern w:val="0"/>
      <w:sz w:val="24"/>
      <w:szCs w:val="24"/>
    </w:rPr>
  </w:style>
  <w:style w:type="character" w:customStyle="1" w:styleId="1927">
    <w:name w:val="zw2"/>
    <w:uiPriority w:val="0"/>
    <w:rPr>
      <w:rFonts w:hint="default" w:ascii="Arial" w:hAnsi="Arial" w:cs="Arial"/>
      <w:color w:val="333333"/>
      <w:sz w:val="17"/>
      <w:szCs w:val="17"/>
      <w:u w:val="none"/>
    </w:rPr>
  </w:style>
  <w:style w:type="paragraph" w:customStyle="1" w:styleId="1928">
    <w:name w:val="－列表2"/>
    <w:basedOn w:val="1"/>
    <w:semiHidden/>
    <w:uiPriority w:val="0"/>
    <w:pPr>
      <w:widowControl/>
      <w:jc w:val="center"/>
    </w:pPr>
    <w:rPr>
      <w:rFonts w:ascii="宋体" w:hAnsi="宋体" w:eastAsia="宋体" w:cs="宋体"/>
      <w:kern w:val="0"/>
      <w:sz w:val="24"/>
      <w:szCs w:val="21"/>
    </w:rPr>
  </w:style>
  <w:style w:type="paragraph" w:customStyle="1" w:styleId="1929">
    <w:name w:val="样式 标题 1标题章 + 小三 两端对齐 段前: 0 磅 段后: 0 磅 行距: 1.5 倍行距"/>
    <w:basedOn w:val="2"/>
    <w:uiPriority w:val="0"/>
    <w:pPr>
      <w:pageBreakBefore w:val="0"/>
      <w:widowControl/>
      <w:tabs>
        <w:tab w:val="clear" w:pos="1080"/>
      </w:tabs>
      <w:spacing w:before="0" w:after="0" w:line="360" w:lineRule="auto"/>
      <w:ind w:left="0" w:firstLine="0"/>
      <w:jc w:val="both"/>
    </w:pPr>
    <w:rPr>
      <w:rFonts w:eastAsia="仿宋_GB2312" w:cs="宋体"/>
      <w:bCs/>
      <w:sz w:val="30"/>
    </w:rPr>
  </w:style>
  <w:style w:type="paragraph" w:customStyle="1" w:styleId="1930">
    <w:name w:val="样式 标题4 非连续 + 段前: 0.5 行"/>
    <w:basedOn w:val="1852"/>
    <w:uiPriority w:val="0"/>
    <w:rPr>
      <w:bCs w:val="0"/>
      <w:szCs w:val="20"/>
    </w:rPr>
  </w:style>
  <w:style w:type="paragraph" w:customStyle="1" w:styleId="1931">
    <w:name w:val="说明"/>
    <w:basedOn w:val="1"/>
    <w:uiPriority w:val="0"/>
    <w:pPr>
      <w:widowControl/>
      <w:spacing w:line="300" w:lineRule="exact"/>
      <w:ind w:firstLine="420" w:firstLineChars="200"/>
      <w:jc w:val="left"/>
    </w:pPr>
    <w:rPr>
      <w:rFonts w:ascii="宋体" w:hAnsi="宋体" w:eastAsia="宋体" w:cs="宋体"/>
      <w:kern w:val="0"/>
      <w:sz w:val="24"/>
      <w:szCs w:val="24"/>
    </w:rPr>
  </w:style>
  <w:style w:type="paragraph" w:customStyle="1" w:styleId="1932">
    <w:name w:val="样式 样式 样式 样式 标题 3 + 仿宋_GB2312 小三 + 段前: 0 磅 段后: 0 磅 行距: 多倍行距 1.2 字..."/>
    <w:basedOn w:val="1"/>
    <w:uiPriority w:val="0"/>
    <w:pPr>
      <w:keepNext/>
      <w:keepLines/>
      <w:widowControl/>
      <w:ind w:firstLine="280" w:firstLineChars="100"/>
      <w:jc w:val="left"/>
      <w:outlineLvl w:val="2"/>
    </w:pPr>
    <w:rPr>
      <w:rFonts w:ascii="仿宋_GB2312" w:hAnsi="仿宋_GB2312" w:cs="宋体"/>
      <w:b/>
      <w:bCs/>
      <w:kern w:val="0"/>
    </w:rPr>
  </w:style>
  <w:style w:type="paragraph" w:customStyle="1" w:styleId="1933">
    <w:name w:val="Style52"/>
    <w:basedOn w:val="1"/>
    <w:uiPriority w:val="0"/>
    <w:pPr>
      <w:widowControl/>
      <w:adjustRightInd w:val="0"/>
      <w:spacing w:line="466" w:lineRule="exact"/>
      <w:ind w:firstLine="485"/>
      <w:jc w:val="left"/>
    </w:pPr>
    <w:rPr>
      <w:rFonts w:ascii="宋体" w:hAnsi="宋体" w:eastAsia="宋体" w:cs="宋体"/>
      <w:kern w:val="0"/>
      <w:sz w:val="24"/>
      <w:szCs w:val="24"/>
    </w:rPr>
  </w:style>
  <w:style w:type="character" w:customStyle="1" w:styleId="1934">
    <w:name w:val="标题4 非连续 Char Char"/>
    <w:uiPriority w:val="0"/>
    <w:rPr>
      <w:rFonts w:ascii="Times New Roman" w:hAnsi="Arial" w:eastAsia="宋体" w:cs="宋体"/>
      <w:bCs/>
      <w:snapToGrid w:val="0"/>
      <w:kern w:val="2"/>
      <w:sz w:val="24"/>
      <w:szCs w:val="28"/>
      <w:lang w:val="en-US" w:eastAsia="zh-CN" w:bidi="ar-SA"/>
    </w:rPr>
  </w:style>
  <w:style w:type="character" w:customStyle="1" w:styleId="1935">
    <w:name w:val="默认段落字体1 Char Char"/>
    <w:uiPriority w:val="0"/>
    <w:rPr>
      <w:rFonts w:eastAsia="宋体" w:cs="Arial"/>
      <w:b/>
      <w:sz w:val="21"/>
      <w:lang w:val="en-US" w:eastAsia="zh-CN" w:bidi="ar-SA"/>
    </w:rPr>
  </w:style>
  <w:style w:type="paragraph" w:customStyle="1" w:styleId="1936">
    <w:name w:val="表格内序号"/>
    <w:basedOn w:val="603"/>
    <w:link w:val="2202"/>
    <w:qFormat/>
    <w:uiPriority w:val="0"/>
    <w:pPr>
      <w:widowControl/>
      <w:numPr>
        <w:ilvl w:val="0"/>
        <w:numId w:val="18"/>
      </w:numPr>
      <w:tabs>
        <w:tab w:val="left" w:pos="360"/>
      </w:tabs>
      <w:spacing w:line="0" w:lineRule="atLeast"/>
      <w:ind w:left="0" w:firstLine="0"/>
    </w:pPr>
    <w:rPr>
      <w:kern w:val="0"/>
      <w:sz w:val="20"/>
      <w:szCs w:val="24"/>
    </w:rPr>
  </w:style>
  <w:style w:type="paragraph" w:customStyle="1" w:styleId="1937">
    <w:name w:val="样式 标题2 非连续 + 段前: 0.5 行2"/>
    <w:basedOn w:val="1"/>
    <w:uiPriority w:val="0"/>
    <w:pPr>
      <w:keepNext/>
      <w:keepLines/>
      <w:tabs>
        <w:tab w:val="left" w:pos="425"/>
      </w:tabs>
      <w:spacing w:beforeLines="50" w:line="440" w:lineRule="exact"/>
      <w:outlineLvl w:val="1"/>
    </w:pPr>
    <w:rPr>
      <w:rFonts w:ascii="Arial" w:hAnsi="Arial" w:eastAsia="黑体" w:cs="宋体"/>
      <w:b/>
      <w:bCs/>
      <w:kern w:val="0"/>
    </w:rPr>
  </w:style>
  <w:style w:type="paragraph" w:customStyle="1" w:styleId="1938">
    <w:name w:val="reader-word-layer reader-word-s1-0 reader-word-s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39">
    <w:name w:val="reader-word-layer reader-word-s1-5"/>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0">
    <w:name w:val="reader-word-layer reader-word-s1-9"/>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41">
    <w:name w:val="样式26 Char"/>
    <w:link w:val="1116"/>
    <w:uiPriority w:val="0"/>
    <w:rPr>
      <w:rFonts w:ascii="Arial" w:hAnsi="Arial"/>
      <w:kern w:val="2"/>
    </w:rPr>
  </w:style>
  <w:style w:type="character" w:customStyle="1" w:styleId="1942">
    <w:name w:val="纯文本 Char Char Char Char"/>
    <w:uiPriority w:val="0"/>
    <w:rPr>
      <w:rFonts w:ascii="宋体" w:hAnsi="Courier New" w:eastAsia="宋体"/>
      <w:sz w:val="21"/>
      <w:lang w:val="en-US" w:eastAsia="zh-CN" w:bidi="ar-SA"/>
    </w:rPr>
  </w:style>
  <w:style w:type="character" w:customStyle="1" w:styleId="1943">
    <w:name w:val="表格数字 Char Char"/>
    <w:uiPriority w:val="0"/>
    <w:rPr>
      <w:rFonts w:ascii="Arial" w:hAnsi="Arial" w:eastAsia="宋体" w:cs="宋体"/>
      <w:sz w:val="21"/>
      <w:lang w:val="en-US" w:eastAsia="zh-CN" w:bidi="ar-SA"/>
    </w:rPr>
  </w:style>
  <w:style w:type="character" w:customStyle="1" w:styleId="1944">
    <w:name w:val="样式 标题 2 + Times New Roman Char"/>
    <w:link w:val="1631"/>
    <w:uiPriority w:val="0"/>
    <w:rPr>
      <w:rFonts w:ascii="宋体" w:hAnsi="宋体" w:cs="宋体"/>
      <w:b/>
      <w:bCs/>
      <w:sz w:val="28"/>
      <w:szCs w:val="32"/>
      <w:lang w:val="zh-CN"/>
    </w:rPr>
  </w:style>
  <w:style w:type="character" w:customStyle="1" w:styleId="1945">
    <w:name w:val="标题二 Char"/>
    <w:link w:val="1829"/>
    <w:uiPriority w:val="0"/>
    <w:rPr>
      <w:b/>
      <w:bCs/>
      <w:kern w:val="2"/>
      <w:sz w:val="28"/>
      <w:szCs w:val="32"/>
      <w:lang w:val="zh-CN" w:eastAsia="zh-CN"/>
    </w:rPr>
  </w:style>
  <w:style w:type="character" w:customStyle="1" w:styleId="1946">
    <w:name w:val="标题三 Char"/>
    <w:link w:val="1795"/>
    <w:uiPriority w:val="0"/>
    <w:rPr>
      <w:b/>
      <w:sz w:val="28"/>
      <w:szCs w:val="32"/>
      <w:lang w:val="zh-CN" w:eastAsia="zh-CN"/>
    </w:rPr>
  </w:style>
  <w:style w:type="paragraph" w:customStyle="1" w:styleId="1947">
    <w:name w:val="Char Char1 Char Char Char Char Char Char Char Char Char1 Char"/>
    <w:basedOn w:val="1"/>
    <w:uiPriority w:val="0"/>
    <w:pPr>
      <w:spacing w:line="360" w:lineRule="auto"/>
      <w:ind w:firstLine="200" w:firstLineChars="200"/>
    </w:pPr>
    <w:rPr>
      <w:rFonts w:eastAsia="宋体"/>
      <w:sz w:val="24"/>
    </w:rPr>
  </w:style>
  <w:style w:type="character" w:customStyle="1" w:styleId="1948">
    <w:name w:val="标题3 非连续 Char Char"/>
    <w:uiPriority w:val="0"/>
    <w:rPr>
      <w:rFonts w:ascii="Arial" w:hAnsi="Arial" w:eastAsia="宋体"/>
      <w:b/>
      <w:bCs/>
      <w:sz w:val="24"/>
      <w:szCs w:val="32"/>
      <w:lang w:val="en-US" w:eastAsia="zh-CN" w:bidi="ar-SA"/>
    </w:rPr>
  </w:style>
  <w:style w:type="character" w:customStyle="1" w:styleId="1949">
    <w:name w:val="首行缩进两字 Char5"/>
    <w:uiPriority w:val="0"/>
    <w:rPr>
      <w:rFonts w:ascii="Arial" w:hAnsi="Arial" w:eastAsia="宋体" w:cs="Arial"/>
      <w:spacing w:val="10"/>
      <w:kern w:val="2"/>
      <w:sz w:val="24"/>
      <w:lang w:val="en-US" w:eastAsia="zh-CN" w:bidi="ar-SA"/>
    </w:rPr>
  </w:style>
  <w:style w:type="paragraph" w:customStyle="1" w:styleId="1950">
    <w:name w:val="33人"/>
    <w:basedOn w:val="1802"/>
    <w:link w:val="1951"/>
    <w:uiPriority w:val="0"/>
  </w:style>
  <w:style w:type="character" w:customStyle="1" w:styleId="1951">
    <w:name w:val="33人 Char"/>
    <w:link w:val="1950"/>
    <w:uiPriority w:val="0"/>
    <w:rPr>
      <w:rFonts w:eastAsia="黑体"/>
      <w:sz w:val="28"/>
      <w:lang w:val="zh-CN" w:eastAsia="zh-CN"/>
    </w:rPr>
  </w:style>
  <w:style w:type="character" w:customStyle="1" w:styleId="1952">
    <w:name w:val="正文 Char"/>
    <w:uiPriority w:val="0"/>
    <w:rPr>
      <w:rFonts w:ascii="Arial" w:hAnsi="Arial" w:eastAsia="宋体" w:cs="Arial"/>
      <w:color w:val="000000"/>
      <w:kern w:val="10"/>
      <w:sz w:val="24"/>
      <w:szCs w:val="24"/>
      <w:lang w:val="en-US" w:eastAsia="zh-CN" w:bidi="ar-SA"/>
    </w:rPr>
  </w:style>
  <w:style w:type="paragraph" w:customStyle="1" w:styleId="1953">
    <w:name w:val="Char Char Char Char1 Char Char6"/>
    <w:basedOn w:val="6"/>
    <w:uiPriority w:val="0"/>
    <w:pPr>
      <w:numPr>
        <w:numId w:val="0"/>
      </w:numPr>
      <w:tabs>
        <w:tab w:val="left" w:pos="0"/>
      </w:tabs>
      <w:snapToGrid w:val="0"/>
      <w:spacing w:line="360" w:lineRule="auto"/>
      <w:jc w:val="center"/>
    </w:pPr>
    <w:rPr>
      <w:rFonts w:ascii="仿宋_GB2312" w:cs="Arial"/>
      <w:kern w:val="0"/>
    </w:rPr>
  </w:style>
  <w:style w:type="character" w:customStyle="1" w:styleId="1954">
    <w:name w:val="样式 标题三 + 段前: 0.5 行 段后: 0.5 行 Char Char"/>
    <w:uiPriority w:val="0"/>
    <w:rPr>
      <w:rFonts w:eastAsia="宋体" w:cs="宋体"/>
      <w:b/>
      <w:bCs/>
      <w:kern w:val="2"/>
      <w:sz w:val="24"/>
      <w:szCs w:val="24"/>
      <w:lang w:val="en-US" w:eastAsia="zh-CN" w:bidi="ar-SA"/>
    </w:rPr>
  </w:style>
  <w:style w:type="paragraph" w:customStyle="1" w:styleId="1955">
    <w:name w:val="Char Char Char Char Char Char Char Char Char Char4"/>
    <w:basedOn w:val="1"/>
    <w:uiPriority w:val="0"/>
    <w:pPr>
      <w:spacing w:line="360" w:lineRule="auto"/>
      <w:ind w:firstLine="200" w:firstLineChars="200"/>
    </w:pPr>
    <w:rPr>
      <w:rFonts w:ascii="宋体" w:hAnsi="宋体" w:eastAsia="宋体" w:cs="宋体"/>
      <w:sz w:val="24"/>
      <w:szCs w:val="24"/>
    </w:rPr>
  </w:style>
  <w:style w:type="paragraph" w:customStyle="1" w:styleId="1956">
    <w:name w:val="Char8"/>
    <w:basedOn w:val="1"/>
    <w:uiPriority w:val="0"/>
    <w:pPr>
      <w:spacing w:line="360" w:lineRule="auto"/>
      <w:ind w:firstLine="200" w:firstLineChars="200"/>
    </w:pPr>
  </w:style>
  <w:style w:type="paragraph" w:customStyle="1" w:styleId="1957">
    <w:name w:val="Char Char1 Char4"/>
    <w:basedOn w:val="25"/>
    <w:uiPriority w:val="0"/>
    <w:pPr>
      <w:adjustRightInd w:val="0"/>
      <w:spacing w:line="436" w:lineRule="exact"/>
      <w:ind w:left="357"/>
      <w:jc w:val="left"/>
      <w:outlineLvl w:val="3"/>
    </w:pPr>
    <w:rPr>
      <w:rFonts w:ascii="Tahoma" w:hAnsi="Tahoma" w:eastAsia="宋体"/>
      <w:b/>
      <w:kern w:val="0"/>
      <w:sz w:val="24"/>
    </w:rPr>
  </w:style>
  <w:style w:type="paragraph" w:customStyle="1" w:styleId="1958">
    <w:name w:val="Char Char Char1 Char4"/>
    <w:basedOn w:val="1"/>
    <w:uiPriority w:val="0"/>
    <w:rPr>
      <w:rFonts w:eastAsia="宋体"/>
      <w:sz w:val="21"/>
      <w:szCs w:val="24"/>
    </w:rPr>
  </w:style>
  <w:style w:type="paragraph" w:customStyle="1" w:styleId="1959">
    <w:name w:val="字元 字元5"/>
    <w:basedOn w:val="1"/>
    <w:uiPriority w:val="0"/>
    <w:pPr>
      <w:spacing w:line="360" w:lineRule="auto"/>
      <w:ind w:firstLine="200" w:firstLineChars="200"/>
    </w:pPr>
    <w:rPr>
      <w:rFonts w:ascii="宋体" w:hAnsi="宋体" w:eastAsia="宋体" w:cs="宋体"/>
      <w:sz w:val="24"/>
      <w:szCs w:val="24"/>
    </w:rPr>
  </w:style>
  <w:style w:type="paragraph" w:customStyle="1" w:styleId="1960">
    <w:name w:val="字元 字元13"/>
    <w:basedOn w:val="1"/>
    <w:uiPriority w:val="0"/>
    <w:pPr>
      <w:spacing w:line="360" w:lineRule="auto"/>
      <w:ind w:firstLine="200" w:firstLineChars="200"/>
    </w:pPr>
    <w:rPr>
      <w:rFonts w:ascii="宋体" w:hAnsi="宋体" w:eastAsia="宋体" w:cs="宋体"/>
      <w:sz w:val="24"/>
      <w:szCs w:val="24"/>
    </w:rPr>
  </w:style>
  <w:style w:type="paragraph" w:customStyle="1" w:styleId="1961">
    <w:name w:val="Char33"/>
    <w:basedOn w:val="1"/>
    <w:uiPriority w:val="0"/>
    <w:pPr>
      <w:spacing w:line="360" w:lineRule="auto"/>
      <w:ind w:firstLine="200" w:firstLineChars="200"/>
    </w:pPr>
    <w:rPr>
      <w:rFonts w:ascii="宋体" w:hAnsi="宋体" w:eastAsia="宋体" w:cs="宋体"/>
      <w:sz w:val="24"/>
      <w:szCs w:val="24"/>
    </w:rPr>
  </w:style>
  <w:style w:type="paragraph" w:customStyle="1" w:styleId="1962">
    <w:name w:val="Char Char Char Char Char Char2 Char Char Char Char3"/>
    <w:basedOn w:val="1"/>
    <w:uiPriority w:val="0"/>
    <w:rPr>
      <w:rFonts w:eastAsia="宋体"/>
      <w:sz w:val="21"/>
      <w:szCs w:val="24"/>
    </w:rPr>
  </w:style>
  <w:style w:type="paragraph" w:customStyle="1" w:styleId="1963">
    <w:name w:val="Char Char1 Char Char Char Char Char Char Char Char Char Char Char Char Char Char Char Char Char Char3"/>
    <w:basedOn w:val="1"/>
    <w:uiPriority w:val="0"/>
    <w:pPr>
      <w:spacing w:line="360" w:lineRule="auto"/>
      <w:ind w:firstLine="200" w:firstLineChars="200"/>
    </w:pPr>
    <w:rPr>
      <w:rFonts w:ascii="宋体" w:hAnsi="宋体" w:eastAsia="宋体" w:cs="宋体"/>
      <w:sz w:val="24"/>
      <w:szCs w:val="24"/>
    </w:rPr>
  </w:style>
  <w:style w:type="paragraph" w:customStyle="1" w:styleId="1964">
    <w:name w:val="Char Char Char Char Char Char4"/>
    <w:basedOn w:val="6"/>
    <w:uiPriority w:val="0"/>
    <w:pPr>
      <w:numPr>
        <w:numId w:val="0"/>
      </w:numPr>
      <w:tabs>
        <w:tab w:val="left" w:pos="0"/>
      </w:tabs>
      <w:snapToGrid w:val="0"/>
      <w:spacing w:line="360" w:lineRule="auto"/>
      <w:jc w:val="center"/>
    </w:pPr>
    <w:rPr>
      <w:rFonts w:cs="Arial"/>
      <w:kern w:val="0"/>
    </w:rPr>
  </w:style>
  <w:style w:type="paragraph" w:customStyle="1" w:styleId="1965">
    <w:name w:val="Char Char Char Char Char Char1 Char Char Char Char3"/>
    <w:basedOn w:val="2"/>
    <w:uiPriority w:val="0"/>
    <w:pPr>
      <w:adjustRightInd w:val="0"/>
      <w:snapToGrid w:val="0"/>
      <w:spacing w:line="480" w:lineRule="auto"/>
    </w:pPr>
    <w:rPr>
      <w:rFonts w:ascii="宋体" w:hAnsi="宋体" w:cs="宋体"/>
      <w:b w:val="0"/>
      <w:bCs/>
      <w:sz w:val="24"/>
      <w:szCs w:val="24"/>
      <w:u w:val="words"/>
    </w:rPr>
  </w:style>
  <w:style w:type="paragraph" w:customStyle="1" w:styleId="1966">
    <w:name w:val="Char Char Char Char Char Char Char Char Char1 Char Char Char Char Char Char Char13"/>
    <w:basedOn w:val="1"/>
    <w:uiPriority w:val="0"/>
    <w:pPr>
      <w:spacing w:line="360" w:lineRule="auto"/>
      <w:ind w:firstLine="200" w:firstLineChars="200"/>
    </w:pPr>
    <w:rPr>
      <w:rFonts w:ascii="宋体" w:hAnsi="宋体" w:eastAsia="宋体" w:cs="宋体"/>
      <w:sz w:val="24"/>
      <w:szCs w:val="24"/>
    </w:rPr>
  </w:style>
  <w:style w:type="paragraph" w:customStyle="1" w:styleId="1967">
    <w:name w:val="Char Char Char Char Char Char Char Char Char Char Char Char Char Char Char Char3"/>
    <w:basedOn w:val="1"/>
    <w:uiPriority w:val="0"/>
    <w:pPr>
      <w:spacing w:line="360" w:lineRule="auto"/>
      <w:ind w:firstLine="200" w:firstLineChars="200"/>
    </w:pPr>
    <w:rPr>
      <w:rFonts w:ascii="宋体" w:hAnsi="宋体" w:eastAsia="宋体" w:cs="宋体"/>
      <w:sz w:val="24"/>
      <w:szCs w:val="24"/>
    </w:rPr>
  </w:style>
  <w:style w:type="paragraph" w:customStyle="1" w:styleId="1968">
    <w:name w:val="Char23"/>
    <w:basedOn w:val="1"/>
    <w:uiPriority w:val="0"/>
    <w:pPr>
      <w:spacing w:line="360" w:lineRule="auto"/>
      <w:ind w:firstLine="200" w:firstLineChars="200"/>
    </w:pPr>
    <w:rPr>
      <w:rFonts w:ascii="宋体" w:hAnsi="宋体" w:eastAsia="宋体" w:cs="宋体"/>
      <w:sz w:val="24"/>
      <w:szCs w:val="24"/>
    </w:rPr>
  </w:style>
  <w:style w:type="paragraph" w:customStyle="1" w:styleId="1969">
    <w:name w:val="Char Char Char Char Char Char Char4"/>
    <w:basedOn w:val="1"/>
    <w:uiPriority w:val="0"/>
    <w:pPr>
      <w:spacing w:line="360" w:lineRule="auto"/>
      <w:ind w:firstLine="200" w:firstLineChars="200"/>
    </w:pPr>
    <w:rPr>
      <w:rFonts w:ascii="宋体" w:hAnsi="宋体" w:eastAsia="宋体" w:cs="宋体"/>
      <w:sz w:val="24"/>
      <w:szCs w:val="24"/>
    </w:rPr>
  </w:style>
  <w:style w:type="paragraph" w:customStyle="1" w:styleId="1970">
    <w:name w:val="样式 标题三 + 段前: 0.5 行 段后: 0.5 行1"/>
    <w:basedOn w:val="1795"/>
    <w:uiPriority w:val="0"/>
    <w:pPr>
      <w:tabs>
        <w:tab w:val="clear" w:pos="0"/>
      </w:tabs>
    </w:pPr>
    <w:rPr>
      <w:bCs/>
      <w:szCs w:val="20"/>
    </w:rPr>
  </w:style>
  <w:style w:type="paragraph" w:customStyle="1" w:styleId="1971">
    <w:name w:val="样式 标题三 + 段前: 0.5 行 段后: 0.5 行2"/>
    <w:basedOn w:val="1795"/>
    <w:uiPriority w:val="0"/>
    <w:pPr>
      <w:tabs>
        <w:tab w:val="clear" w:pos="0"/>
      </w:tabs>
    </w:pPr>
    <w:rPr>
      <w:bCs/>
      <w:szCs w:val="20"/>
    </w:rPr>
  </w:style>
  <w:style w:type="paragraph" w:customStyle="1" w:styleId="1972">
    <w:name w:val="样式 标题三 + 段前: 0.5 行 段后: 0.5 行3"/>
    <w:basedOn w:val="1795"/>
    <w:uiPriority w:val="0"/>
    <w:pPr>
      <w:tabs>
        <w:tab w:val="clear" w:pos="0"/>
      </w:tabs>
    </w:pPr>
    <w:rPr>
      <w:bCs/>
      <w:szCs w:val="20"/>
    </w:rPr>
  </w:style>
  <w:style w:type="paragraph" w:customStyle="1" w:styleId="1973">
    <w:name w:val="样式 样式 标题三 + 段前: 0.5 行 段后: 0.5 行3 + 段前: 0.5 行 段后: 0.5 行"/>
    <w:basedOn w:val="1972"/>
    <w:uiPriority w:val="0"/>
    <w:pPr/>
  </w:style>
  <w:style w:type="character" w:customStyle="1" w:styleId="1974">
    <w:name w:val="标题四 Char"/>
    <w:uiPriority w:val="0"/>
    <w:rPr>
      <w:rFonts w:ascii="Arial" w:hAnsi="Arial" w:eastAsia="宋体" w:cs="宋体"/>
      <w:b/>
      <w:kern w:val="2"/>
      <w:sz w:val="24"/>
      <w:lang w:val="en-US" w:eastAsia="zh-CN" w:bidi="ar-SA"/>
    </w:rPr>
  </w:style>
  <w:style w:type="character" w:customStyle="1" w:styleId="1975">
    <w:name w:val="Char Char83"/>
    <w:uiPriority w:val="0"/>
    <w:rPr>
      <w:rFonts w:ascii="Times New Roman" w:hAnsi="Times New Roman" w:eastAsia="宋体" w:cs="Arial"/>
      <w:b/>
      <w:sz w:val="21"/>
    </w:rPr>
  </w:style>
  <w:style w:type="character" w:customStyle="1" w:styleId="1976">
    <w:name w:val="Char Char43"/>
    <w:uiPriority w:val="0"/>
    <w:rPr>
      <w:rFonts w:eastAsia="宋体"/>
      <w:kern w:val="2"/>
      <w:sz w:val="24"/>
      <w:lang w:val="en-US" w:eastAsia="zh-CN" w:bidi="ar-SA"/>
    </w:rPr>
  </w:style>
  <w:style w:type="character" w:customStyle="1" w:styleId="1977">
    <w:name w:val="Char Char53"/>
    <w:uiPriority w:val="0"/>
    <w:rPr>
      <w:rFonts w:ascii="宋体" w:hAnsi="宋体" w:eastAsia="宋体"/>
      <w:sz w:val="24"/>
      <w:szCs w:val="24"/>
      <w:lang w:val="en-US" w:eastAsia="zh-CN" w:bidi="ar-SA"/>
    </w:rPr>
  </w:style>
  <w:style w:type="paragraph" w:customStyle="1" w:styleId="1978">
    <w:name w:val="正文文本缩进 32"/>
    <w:basedOn w:val="1"/>
    <w:uiPriority w:val="0"/>
    <w:pPr>
      <w:widowControl/>
      <w:adjustRightInd w:val="0"/>
      <w:spacing w:line="360" w:lineRule="atLeast"/>
      <w:ind w:firstLine="480"/>
      <w:jc w:val="left"/>
      <w:textAlignment w:val="baseline"/>
    </w:pPr>
    <w:rPr>
      <w:rFonts w:ascii="宋体" w:hAnsi="宋体" w:eastAsia="宋体" w:cs="宋体"/>
      <w:kern w:val="0"/>
      <w:sz w:val="24"/>
    </w:rPr>
  </w:style>
  <w:style w:type="paragraph" w:customStyle="1" w:styleId="1979">
    <w:name w:val="Char43"/>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980">
    <w:name w:val="Char Char Char Char Char Char1 Char Char Char Char Char Char Char3"/>
    <w:basedOn w:val="5"/>
    <w:uiPriority w:val="0"/>
    <w:pPr>
      <w:widowControl/>
      <w:numPr>
        <w:ilvl w:val="0"/>
        <w:numId w:val="0"/>
      </w:numPr>
      <w:tabs>
        <w:tab w:val="left" w:pos="360"/>
        <w:tab w:val="left" w:pos="900"/>
      </w:tabs>
      <w:snapToGrid w:val="0"/>
      <w:spacing w:line="360" w:lineRule="auto"/>
      <w:ind w:left="542" w:leftChars="-12" w:firstLine="200" w:firstLineChars="200"/>
      <w:jc w:val="left"/>
    </w:pPr>
    <w:rPr>
      <w:rFonts w:ascii="宋体" w:hAnsi="宋体" w:eastAsia="黑体" w:cs="宋体"/>
      <w:b w:val="0"/>
      <w:bCs w:val="0"/>
      <w:snapToGrid w:val="0"/>
      <w:szCs w:val="24"/>
    </w:rPr>
  </w:style>
  <w:style w:type="paragraph" w:customStyle="1" w:styleId="1981">
    <w:name w:val="正文文本 32"/>
    <w:basedOn w:val="1"/>
    <w:semiHidden/>
    <w:uiPriority w:val="0"/>
    <w:pPr>
      <w:widowControl/>
      <w:adjustRightInd w:val="0"/>
      <w:spacing w:line="360" w:lineRule="atLeast"/>
      <w:jc w:val="center"/>
      <w:textAlignment w:val="baseline"/>
    </w:pPr>
    <w:rPr>
      <w:rFonts w:ascii="仿宋体" w:hAnsi="宋体" w:eastAsia="仿宋体" w:cs="宋体"/>
      <w:kern w:val="0"/>
      <w:sz w:val="24"/>
    </w:rPr>
  </w:style>
  <w:style w:type="paragraph" w:customStyle="1" w:styleId="1982">
    <w:name w:val="Char Char Char3 Char Char Char4 Char3"/>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983">
    <w:name w:val="Char Char Char Char Char Char3 Char Char Char Char Char Char Char3"/>
    <w:basedOn w:val="1"/>
    <w:next w:val="1"/>
    <w:uiPriority w:val="0"/>
    <w:pPr>
      <w:widowControl/>
      <w:jc w:val="left"/>
    </w:pPr>
    <w:rPr>
      <w:rFonts w:ascii="宋体" w:hAnsi="宋体" w:eastAsia="黑体" w:cs="宋体"/>
      <w:kern w:val="0"/>
      <w:szCs w:val="24"/>
    </w:rPr>
  </w:style>
  <w:style w:type="paragraph" w:customStyle="1" w:styleId="1984">
    <w:name w:val="Char Char Char Char Char Char Char Char3"/>
    <w:basedOn w:val="1"/>
    <w:uiPriority w:val="0"/>
    <w:pPr>
      <w:widowControl/>
      <w:adjustRightInd w:val="0"/>
      <w:snapToGrid w:val="0"/>
      <w:spacing w:line="360" w:lineRule="auto"/>
      <w:ind w:firstLine="200" w:firstLineChars="200"/>
      <w:jc w:val="left"/>
    </w:pPr>
    <w:rPr>
      <w:rFonts w:ascii="仿宋_GB2312" w:hAnsi="仿宋_GB2312" w:cs="宋体"/>
      <w:kern w:val="0"/>
      <w:sz w:val="24"/>
      <w:szCs w:val="24"/>
    </w:rPr>
  </w:style>
  <w:style w:type="character" w:customStyle="1" w:styleId="1985">
    <w:name w:val="Char Char23"/>
    <w:uiPriority w:val="0"/>
    <w:rPr>
      <w:rFonts w:ascii="宋体" w:hAnsi="Courier New" w:eastAsia="宋体"/>
      <w:kern w:val="2"/>
      <w:lang w:val="en-US" w:eastAsia="zh-CN" w:bidi="ar-SA"/>
    </w:rPr>
  </w:style>
  <w:style w:type="paragraph" w:customStyle="1" w:styleId="1986">
    <w:name w:val="Char Char Char Char Char Char Char Char Char Char Char Char Char3"/>
    <w:basedOn w:val="1"/>
    <w:uiPriority w:val="0"/>
    <w:pPr>
      <w:widowControl/>
      <w:tabs>
        <w:tab w:val="left" w:pos="432"/>
      </w:tabs>
      <w:ind w:left="432" w:hanging="432"/>
      <w:jc w:val="left"/>
    </w:pPr>
    <w:rPr>
      <w:rFonts w:ascii="Tahoma" w:hAnsi="Tahoma" w:eastAsia="宋体" w:cs="宋体"/>
      <w:kern w:val="0"/>
      <w:sz w:val="24"/>
    </w:rPr>
  </w:style>
  <w:style w:type="paragraph" w:customStyle="1" w:styleId="1987">
    <w:name w:val="样式 样式 报告正文-连续目录 + 首行缩进:  2 字符1 + 首行缩进:  4 字符"/>
    <w:basedOn w:val="1"/>
    <w:link w:val="1988"/>
    <w:uiPriority w:val="0"/>
    <w:pPr>
      <w:widowControl/>
      <w:spacing w:line="440" w:lineRule="exact"/>
      <w:ind w:firstLine="200" w:firstLineChars="200"/>
    </w:pPr>
    <w:rPr>
      <w:rFonts w:ascii="Arial" w:hAnsi="Arial" w:eastAsia="宋体"/>
      <w:snapToGrid w:val="0"/>
      <w:kern w:val="0"/>
      <w:sz w:val="24"/>
      <w:lang w:val="zh-CN" w:eastAsia="zh-CN"/>
    </w:rPr>
  </w:style>
  <w:style w:type="character" w:customStyle="1" w:styleId="1988">
    <w:name w:val="样式 样式 报告正文-连续目录 + 首行缩进:  2 字符1 + 首行缩进:  4 字符 Char"/>
    <w:link w:val="1987"/>
    <w:uiPriority w:val="0"/>
    <w:rPr>
      <w:rFonts w:ascii="Arial" w:hAnsi="Arial"/>
      <w:snapToGrid w:val="0"/>
      <w:sz w:val="24"/>
      <w:lang w:val="zh-CN" w:eastAsia="zh-CN"/>
    </w:rPr>
  </w:style>
  <w:style w:type="paragraph" w:customStyle="1" w:styleId="1989">
    <w:name w:val="报告表正文非连续目录"/>
    <w:basedOn w:val="1412"/>
    <w:link w:val="1990"/>
    <w:uiPriority w:val="0"/>
    <w:pPr>
      <w:tabs>
        <w:tab w:val="left" w:pos="7838"/>
      </w:tabs>
      <w:adjustRightInd/>
      <w:spacing w:before="240" w:line="240" w:lineRule="auto"/>
      <w:ind w:left="0" w:right="0" w:firstLine="0"/>
      <w:jc w:val="center"/>
    </w:pPr>
    <w:rPr>
      <w:rFonts w:ascii="Arial" w:hAnsi="Arial"/>
      <w:color w:val="000000"/>
      <w:kern w:val="10"/>
      <w:sz w:val="24"/>
      <w:szCs w:val="24"/>
      <w:lang w:val="zh-CN" w:eastAsia="zh-CN"/>
    </w:rPr>
  </w:style>
  <w:style w:type="character" w:customStyle="1" w:styleId="1990">
    <w:name w:val="报告表正文非连续目录 Char"/>
    <w:link w:val="1989"/>
    <w:uiPriority w:val="0"/>
    <w:rPr>
      <w:rFonts w:ascii="Arial" w:hAnsi="Arial"/>
      <w:color w:val="000000"/>
      <w:kern w:val="10"/>
      <w:sz w:val="24"/>
      <w:szCs w:val="24"/>
      <w:lang w:val="zh-CN" w:eastAsia="zh-CN"/>
    </w:rPr>
  </w:style>
  <w:style w:type="paragraph" w:customStyle="1" w:styleId="1991">
    <w:name w:val="reader-word-layer reader-word-s1-4"/>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2">
    <w:name w:val="reader-word-layer reader-word-s1-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3">
    <w:name w:val="Char Char Char Char Char Char Char Char Char Char3"/>
    <w:basedOn w:val="1"/>
    <w:uiPriority w:val="0"/>
    <w:pPr>
      <w:spacing w:line="360" w:lineRule="auto"/>
      <w:ind w:firstLine="200" w:firstLineChars="200"/>
    </w:pPr>
    <w:rPr>
      <w:rFonts w:ascii="宋体" w:hAnsi="宋体" w:eastAsia="宋体" w:cs="宋体"/>
      <w:sz w:val="24"/>
      <w:szCs w:val="24"/>
    </w:rPr>
  </w:style>
  <w:style w:type="paragraph" w:customStyle="1" w:styleId="1994">
    <w:name w:val="Char7"/>
    <w:basedOn w:val="1"/>
    <w:uiPriority w:val="0"/>
    <w:pPr>
      <w:spacing w:line="360" w:lineRule="auto"/>
      <w:ind w:firstLine="200" w:firstLineChars="200"/>
    </w:pPr>
  </w:style>
  <w:style w:type="paragraph" w:customStyle="1" w:styleId="1995">
    <w:name w:val="Char Char1 Char3"/>
    <w:basedOn w:val="25"/>
    <w:uiPriority w:val="0"/>
    <w:pPr>
      <w:adjustRightInd w:val="0"/>
      <w:spacing w:line="436" w:lineRule="exact"/>
      <w:ind w:left="357"/>
      <w:jc w:val="left"/>
      <w:outlineLvl w:val="3"/>
    </w:pPr>
    <w:rPr>
      <w:rFonts w:ascii="Tahoma" w:hAnsi="Tahoma" w:eastAsia="宋体"/>
      <w:b/>
      <w:kern w:val="0"/>
      <w:sz w:val="24"/>
    </w:rPr>
  </w:style>
  <w:style w:type="paragraph" w:customStyle="1" w:styleId="1996">
    <w:name w:val="Char Char Char1 Char3"/>
    <w:basedOn w:val="1"/>
    <w:uiPriority w:val="0"/>
    <w:rPr>
      <w:rFonts w:eastAsia="宋体"/>
      <w:sz w:val="21"/>
      <w:szCs w:val="24"/>
    </w:rPr>
  </w:style>
  <w:style w:type="paragraph" w:customStyle="1" w:styleId="1997">
    <w:name w:val="字元 字元4"/>
    <w:basedOn w:val="1"/>
    <w:qFormat/>
    <w:uiPriority w:val="0"/>
    <w:pPr>
      <w:spacing w:line="360" w:lineRule="auto"/>
      <w:ind w:firstLine="200" w:firstLineChars="200"/>
    </w:pPr>
    <w:rPr>
      <w:rFonts w:ascii="宋体" w:hAnsi="宋体" w:eastAsia="宋体" w:cs="宋体"/>
      <w:sz w:val="24"/>
      <w:szCs w:val="24"/>
    </w:rPr>
  </w:style>
  <w:style w:type="paragraph" w:customStyle="1" w:styleId="1998">
    <w:name w:val="字元 字元12"/>
    <w:basedOn w:val="1"/>
    <w:uiPriority w:val="0"/>
    <w:pPr>
      <w:spacing w:line="360" w:lineRule="auto"/>
      <w:ind w:firstLine="200" w:firstLineChars="200"/>
    </w:pPr>
    <w:rPr>
      <w:rFonts w:ascii="宋体" w:hAnsi="宋体" w:eastAsia="宋体" w:cs="宋体"/>
      <w:sz w:val="24"/>
      <w:szCs w:val="24"/>
    </w:rPr>
  </w:style>
  <w:style w:type="paragraph" w:customStyle="1" w:styleId="1999">
    <w:name w:val="Char32"/>
    <w:basedOn w:val="1"/>
    <w:uiPriority w:val="0"/>
    <w:pPr>
      <w:spacing w:line="360" w:lineRule="auto"/>
      <w:ind w:firstLine="200" w:firstLineChars="200"/>
    </w:pPr>
    <w:rPr>
      <w:rFonts w:ascii="宋体" w:hAnsi="宋体" w:eastAsia="宋体" w:cs="宋体"/>
      <w:sz w:val="24"/>
      <w:szCs w:val="24"/>
    </w:rPr>
  </w:style>
  <w:style w:type="paragraph" w:customStyle="1" w:styleId="2000">
    <w:name w:val="Char Char Char Char Char Char2 Char Char Char Char2"/>
    <w:basedOn w:val="1"/>
    <w:uiPriority w:val="0"/>
    <w:rPr>
      <w:rFonts w:eastAsia="宋体"/>
      <w:sz w:val="21"/>
      <w:szCs w:val="24"/>
    </w:rPr>
  </w:style>
  <w:style w:type="paragraph" w:customStyle="1" w:styleId="2001">
    <w:name w:val="Char Char Char Char Char Char3"/>
    <w:basedOn w:val="6"/>
    <w:uiPriority w:val="0"/>
    <w:pPr>
      <w:numPr>
        <w:numId w:val="0"/>
      </w:numPr>
      <w:tabs>
        <w:tab w:val="left" w:pos="0"/>
      </w:tabs>
      <w:snapToGrid w:val="0"/>
      <w:spacing w:line="360" w:lineRule="auto"/>
      <w:jc w:val="center"/>
    </w:pPr>
    <w:rPr>
      <w:rFonts w:cs="Arial"/>
      <w:kern w:val="0"/>
    </w:rPr>
  </w:style>
  <w:style w:type="paragraph" w:customStyle="1" w:styleId="2002">
    <w:name w:val="正文文本缩进 23"/>
    <w:basedOn w:val="1"/>
    <w:uiPriority w:val="0"/>
    <w:pPr>
      <w:adjustRightInd w:val="0"/>
      <w:spacing w:line="560" w:lineRule="exact"/>
      <w:ind w:firstLine="570"/>
      <w:jc w:val="left"/>
      <w:textAlignment w:val="baseline"/>
    </w:pPr>
    <w:rPr>
      <w:rFonts w:eastAsia="宋体"/>
    </w:rPr>
  </w:style>
  <w:style w:type="paragraph" w:customStyle="1" w:styleId="2003">
    <w:name w:val="Char Char Char Char Char Char Char Char Char1 Char Char Char Char Char Char Char12"/>
    <w:basedOn w:val="1"/>
    <w:uiPriority w:val="0"/>
    <w:pPr>
      <w:spacing w:line="360" w:lineRule="auto"/>
      <w:ind w:firstLine="200" w:firstLineChars="200"/>
    </w:pPr>
    <w:rPr>
      <w:rFonts w:ascii="宋体" w:hAnsi="宋体" w:eastAsia="宋体" w:cs="宋体"/>
      <w:sz w:val="24"/>
      <w:szCs w:val="24"/>
    </w:rPr>
  </w:style>
  <w:style w:type="paragraph" w:customStyle="1" w:styleId="2004">
    <w:name w:val="Char22"/>
    <w:basedOn w:val="1"/>
    <w:uiPriority w:val="0"/>
    <w:pPr>
      <w:spacing w:line="360" w:lineRule="auto"/>
      <w:ind w:firstLine="200" w:firstLineChars="200"/>
    </w:pPr>
    <w:rPr>
      <w:rFonts w:ascii="宋体" w:hAnsi="宋体" w:eastAsia="宋体" w:cs="宋体"/>
      <w:sz w:val="24"/>
      <w:szCs w:val="24"/>
    </w:rPr>
  </w:style>
  <w:style w:type="paragraph" w:customStyle="1" w:styleId="2005">
    <w:name w:val="Char Char Char Char Char Char Char3"/>
    <w:basedOn w:val="1"/>
    <w:uiPriority w:val="0"/>
    <w:pPr>
      <w:spacing w:line="360" w:lineRule="auto"/>
      <w:ind w:firstLine="200" w:firstLineChars="200"/>
    </w:pPr>
    <w:rPr>
      <w:rFonts w:ascii="宋体" w:hAnsi="宋体" w:eastAsia="宋体" w:cs="宋体"/>
      <w:sz w:val="24"/>
      <w:szCs w:val="24"/>
    </w:rPr>
  </w:style>
  <w:style w:type="character" w:customStyle="1" w:styleId="2006">
    <w:name w:val="Char Char82"/>
    <w:uiPriority w:val="0"/>
    <w:rPr>
      <w:rFonts w:ascii="Times New Roman" w:hAnsi="Times New Roman" w:eastAsia="宋体" w:cs="Arial"/>
      <w:b/>
      <w:sz w:val="21"/>
    </w:rPr>
  </w:style>
  <w:style w:type="character" w:customStyle="1" w:styleId="2007">
    <w:name w:val="Char Char42"/>
    <w:uiPriority w:val="0"/>
    <w:rPr>
      <w:rFonts w:eastAsia="宋体"/>
      <w:kern w:val="2"/>
      <w:sz w:val="24"/>
      <w:lang w:val="en-US" w:eastAsia="zh-CN" w:bidi="ar-SA"/>
    </w:rPr>
  </w:style>
  <w:style w:type="character" w:customStyle="1" w:styleId="2008">
    <w:name w:val="Char Char52"/>
    <w:uiPriority w:val="0"/>
    <w:rPr>
      <w:rFonts w:ascii="宋体" w:hAnsi="宋体" w:eastAsia="宋体"/>
      <w:sz w:val="24"/>
      <w:szCs w:val="24"/>
      <w:lang w:val="en-US" w:eastAsia="zh-CN" w:bidi="ar-SA"/>
    </w:rPr>
  </w:style>
  <w:style w:type="paragraph" w:customStyle="1" w:styleId="2009">
    <w:name w:val="正文文本缩进 33"/>
    <w:basedOn w:val="1"/>
    <w:uiPriority w:val="0"/>
    <w:pPr>
      <w:widowControl/>
      <w:adjustRightInd w:val="0"/>
      <w:spacing w:line="360" w:lineRule="atLeast"/>
      <w:ind w:firstLine="480"/>
      <w:jc w:val="left"/>
      <w:textAlignment w:val="baseline"/>
    </w:pPr>
    <w:rPr>
      <w:rFonts w:ascii="宋体" w:hAnsi="宋体" w:eastAsia="宋体" w:cs="宋体"/>
      <w:kern w:val="0"/>
      <w:sz w:val="24"/>
    </w:rPr>
  </w:style>
  <w:style w:type="paragraph" w:customStyle="1" w:styleId="2010">
    <w:name w:val="Char42"/>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011">
    <w:name w:val="Char Char Char Char Char Char1 Char Char Char Char Char Char Char2"/>
    <w:basedOn w:val="5"/>
    <w:uiPriority w:val="0"/>
    <w:pPr>
      <w:widowControl/>
      <w:numPr>
        <w:ilvl w:val="0"/>
        <w:numId w:val="0"/>
      </w:numPr>
      <w:tabs>
        <w:tab w:val="left" w:pos="360"/>
        <w:tab w:val="left" w:pos="900"/>
      </w:tabs>
      <w:snapToGrid w:val="0"/>
      <w:spacing w:line="360" w:lineRule="auto"/>
      <w:ind w:left="542" w:leftChars="-12" w:firstLine="200" w:firstLineChars="200"/>
      <w:jc w:val="left"/>
    </w:pPr>
    <w:rPr>
      <w:rFonts w:ascii="宋体" w:hAnsi="宋体" w:eastAsia="黑体" w:cs="宋体"/>
      <w:b w:val="0"/>
      <w:bCs w:val="0"/>
      <w:snapToGrid w:val="0"/>
      <w:szCs w:val="24"/>
    </w:rPr>
  </w:style>
  <w:style w:type="paragraph" w:customStyle="1" w:styleId="2012">
    <w:name w:val="正文文本 33"/>
    <w:basedOn w:val="1"/>
    <w:semiHidden/>
    <w:uiPriority w:val="0"/>
    <w:pPr>
      <w:widowControl/>
      <w:adjustRightInd w:val="0"/>
      <w:spacing w:line="360" w:lineRule="atLeast"/>
      <w:jc w:val="center"/>
      <w:textAlignment w:val="baseline"/>
    </w:pPr>
    <w:rPr>
      <w:rFonts w:ascii="仿宋体" w:hAnsi="宋体" w:eastAsia="仿宋体" w:cs="宋体"/>
      <w:kern w:val="0"/>
      <w:sz w:val="24"/>
    </w:rPr>
  </w:style>
  <w:style w:type="paragraph" w:customStyle="1" w:styleId="2013">
    <w:name w:val="Char Char Char3 Char Char Char4 Char2"/>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014">
    <w:name w:val="Char Char Char Char Char Char3 Char Char Char Char Char Char Char2"/>
    <w:basedOn w:val="1"/>
    <w:next w:val="1"/>
    <w:uiPriority w:val="0"/>
    <w:pPr>
      <w:widowControl/>
      <w:jc w:val="left"/>
    </w:pPr>
    <w:rPr>
      <w:rFonts w:ascii="宋体" w:hAnsi="宋体" w:eastAsia="黑体" w:cs="宋体"/>
      <w:kern w:val="0"/>
      <w:szCs w:val="24"/>
    </w:rPr>
  </w:style>
  <w:style w:type="paragraph" w:customStyle="1" w:styleId="2015">
    <w:name w:val="Char Char Char Char Char Char Char Char2"/>
    <w:basedOn w:val="1"/>
    <w:uiPriority w:val="0"/>
    <w:pPr>
      <w:widowControl/>
      <w:adjustRightInd w:val="0"/>
      <w:snapToGrid w:val="0"/>
      <w:spacing w:line="360" w:lineRule="auto"/>
      <w:ind w:firstLine="200" w:firstLineChars="200"/>
      <w:jc w:val="left"/>
    </w:pPr>
    <w:rPr>
      <w:rFonts w:ascii="仿宋_GB2312" w:hAnsi="仿宋_GB2312" w:cs="宋体"/>
      <w:kern w:val="0"/>
      <w:sz w:val="24"/>
      <w:szCs w:val="24"/>
    </w:rPr>
  </w:style>
  <w:style w:type="paragraph" w:customStyle="1" w:styleId="2016">
    <w:name w:val="Char Char Char Char1 Char Char5"/>
    <w:basedOn w:val="6"/>
    <w:uiPriority w:val="0"/>
    <w:pPr>
      <w:numPr>
        <w:numId w:val="0"/>
      </w:numPr>
      <w:tabs>
        <w:tab w:val="left" w:pos="0"/>
      </w:tabs>
      <w:snapToGrid w:val="0"/>
      <w:spacing w:line="360" w:lineRule="auto"/>
      <w:jc w:val="center"/>
    </w:pPr>
    <w:rPr>
      <w:rFonts w:ascii="仿宋_GB2312" w:cs="Arial"/>
      <w:kern w:val="0"/>
    </w:rPr>
  </w:style>
  <w:style w:type="character" w:customStyle="1" w:styleId="2017">
    <w:name w:val="报告书表格其他 Char"/>
    <w:link w:val="1925"/>
    <w:uiPriority w:val="0"/>
    <w:rPr>
      <w:rFonts w:ascii="Arial" w:hAnsi="Arial"/>
      <w:sz w:val="24"/>
      <w:szCs w:val="21"/>
      <w:lang w:val="zh-CN" w:eastAsia="zh-CN"/>
    </w:rPr>
  </w:style>
  <w:style w:type="paragraph" w:customStyle="1" w:styleId="2018">
    <w:name w:val="Char6"/>
    <w:basedOn w:val="1"/>
    <w:uiPriority w:val="0"/>
    <w:pPr>
      <w:spacing w:line="360" w:lineRule="auto"/>
      <w:ind w:firstLine="200" w:firstLineChars="200"/>
    </w:pPr>
  </w:style>
  <w:style w:type="paragraph" w:customStyle="1" w:styleId="2019">
    <w:name w:val="正文文本缩进 24"/>
    <w:basedOn w:val="1"/>
    <w:uiPriority w:val="0"/>
    <w:pPr>
      <w:adjustRightInd w:val="0"/>
      <w:spacing w:line="560" w:lineRule="exact"/>
      <w:ind w:firstLine="570"/>
      <w:jc w:val="left"/>
      <w:textAlignment w:val="baseline"/>
    </w:pPr>
    <w:rPr>
      <w:rFonts w:eastAsia="宋体"/>
    </w:rPr>
  </w:style>
  <w:style w:type="paragraph" w:customStyle="1" w:styleId="2020">
    <w:name w:val="Char Char Char Char Char Char Char Char Char1 Char Char Char Char Char Char Char11"/>
    <w:basedOn w:val="1"/>
    <w:uiPriority w:val="0"/>
    <w:pPr>
      <w:spacing w:line="360" w:lineRule="auto"/>
      <w:ind w:firstLine="200" w:firstLineChars="200"/>
    </w:pPr>
    <w:rPr>
      <w:rFonts w:ascii="宋体" w:hAnsi="宋体" w:eastAsia="宋体" w:cs="宋体"/>
      <w:sz w:val="24"/>
      <w:szCs w:val="24"/>
    </w:rPr>
  </w:style>
  <w:style w:type="paragraph" w:customStyle="1" w:styleId="2021">
    <w:name w:val="Char Char Char Char Char Char Char2"/>
    <w:basedOn w:val="1"/>
    <w:uiPriority w:val="0"/>
    <w:pPr>
      <w:spacing w:line="360" w:lineRule="auto"/>
      <w:ind w:firstLine="200" w:firstLineChars="200"/>
    </w:pPr>
    <w:rPr>
      <w:rFonts w:ascii="宋体" w:hAnsi="宋体" w:eastAsia="宋体" w:cs="宋体"/>
      <w:sz w:val="24"/>
      <w:szCs w:val="24"/>
    </w:rPr>
  </w:style>
  <w:style w:type="character" w:customStyle="1" w:styleId="2022">
    <w:name w:val="Char Char81"/>
    <w:uiPriority w:val="0"/>
    <w:rPr>
      <w:rFonts w:ascii="Times New Roman" w:hAnsi="Times New Roman" w:eastAsia="宋体" w:cs="Arial"/>
      <w:b/>
      <w:sz w:val="21"/>
    </w:rPr>
  </w:style>
  <w:style w:type="character" w:customStyle="1" w:styleId="2023">
    <w:name w:val="Char Char41"/>
    <w:uiPriority w:val="0"/>
    <w:rPr>
      <w:rFonts w:eastAsia="宋体"/>
      <w:kern w:val="2"/>
      <w:sz w:val="24"/>
      <w:lang w:val="en-US" w:eastAsia="zh-CN" w:bidi="ar-SA"/>
    </w:rPr>
  </w:style>
  <w:style w:type="paragraph" w:customStyle="1" w:styleId="2024">
    <w:name w:val="正文首行缩进4"/>
    <w:basedOn w:val="33"/>
    <w:uiPriority w:val="0"/>
    <w:pPr>
      <w:widowControl/>
      <w:adjustRightInd w:val="0"/>
      <w:spacing w:before="60" w:line="312" w:lineRule="atLeast"/>
      <w:ind w:firstLine="420" w:firstLineChars="200"/>
      <w:jc w:val="left"/>
      <w:textAlignment w:val="baseline"/>
    </w:pPr>
    <w:rPr>
      <w:rFonts w:ascii="Arial" w:hAnsi="Arial" w:eastAsia="宋体" w:cs="宋体"/>
      <w:kern w:val="0"/>
      <w:sz w:val="27"/>
    </w:rPr>
  </w:style>
  <w:style w:type="character" w:customStyle="1" w:styleId="2025">
    <w:name w:val="Char Char51"/>
    <w:uiPriority w:val="0"/>
    <w:rPr>
      <w:rFonts w:ascii="宋体" w:hAnsi="宋体" w:eastAsia="宋体"/>
      <w:sz w:val="24"/>
      <w:szCs w:val="24"/>
      <w:lang w:val="en-US" w:eastAsia="zh-CN" w:bidi="ar-SA"/>
    </w:rPr>
  </w:style>
  <w:style w:type="paragraph" w:customStyle="1" w:styleId="2026">
    <w:name w:val="正文文本缩进 34"/>
    <w:basedOn w:val="1"/>
    <w:uiPriority w:val="0"/>
    <w:pPr>
      <w:widowControl/>
      <w:adjustRightInd w:val="0"/>
      <w:spacing w:line="360" w:lineRule="atLeast"/>
      <w:ind w:firstLine="480"/>
      <w:jc w:val="left"/>
      <w:textAlignment w:val="baseline"/>
    </w:pPr>
    <w:rPr>
      <w:rFonts w:ascii="宋体" w:hAnsi="宋体" w:eastAsia="宋体" w:cs="宋体"/>
      <w:kern w:val="0"/>
      <w:sz w:val="24"/>
    </w:rPr>
  </w:style>
  <w:style w:type="paragraph" w:customStyle="1" w:styleId="2027">
    <w:name w:val="Char41"/>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028">
    <w:name w:val="Char Char Char Char Char Char1 Char Char Char Char Char Char Char1"/>
    <w:basedOn w:val="5"/>
    <w:uiPriority w:val="0"/>
    <w:pPr>
      <w:widowControl/>
      <w:numPr>
        <w:ilvl w:val="0"/>
        <w:numId w:val="0"/>
      </w:numPr>
      <w:tabs>
        <w:tab w:val="left" w:pos="360"/>
        <w:tab w:val="left" w:pos="900"/>
      </w:tabs>
      <w:snapToGrid w:val="0"/>
      <w:spacing w:line="360" w:lineRule="auto"/>
      <w:ind w:left="542" w:leftChars="-12" w:firstLine="200" w:firstLineChars="200"/>
      <w:jc w:val="left"/>
    </w:pPr>
    <w:rPr>
      <w:rFonts w:ascii="宋体" w:hAnsi="宋体" w:eastAsia="黑体" w:cs="宋体"/>
      <w:b w:val="0"/>
      <w:bCs w:val="0"/>
      <w:snapToGrid w:val="0"/>
      <w:szCs w:val="24"/>
    </w:rPr>
  </w:style>
  <w:style w:type="paragraph" w:customStyle="1" w:styleId="2029">
    <w:name w:val="正文文本 34"/>
    <w:basedOn w:val="1"/>
    <w:semiHidden/>
    <w:uiPriority w:val="0"/>
    <w:pPr>
      <w:widowControl/>
      <w:adjustRightInd w:val="0"/>
      <w:spacing w:line="360" w:lineRule="atLeast"/>
      <w:jc w:val="center"/>
      <w:textAlignment w:val="baseline"/>
    </w:pPr>
    <w:rPr>
      <w:rFonts w:ascii="仿宋体" w:hAnsi="宋体" w:eastAsia="仿宋体" w:cs="宋体"/>
      <w:kern w:val="0"/>
      <w:sz w:val="24"/>
    </w:rPr>
  </w:style>
  <w:style w:type="paragraph" w:customStyle="1" w:styleId="2030">
    <w:name w:val="Char Char Char3 Char Char Char4 Char1"/>
    <w:basedOn w:val="1"/>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2031">
    <w:name w:val="Char Char Char Char Char Char3 Char Char Char Char Char Char Char1"/>
    <w:basedOn w:val="1"/>
    <w:next w:val="1"/>
    <w:uiPriority w:val="0"/>
    <w:pPr>
      <w:widowControl/>
      <w:jc w:val="left"/>
    </w:pPr>
    <w:rPr>
      <w:rFonts w:ascii="宋体" w:hAnsi="宋体" w:eastAsia="黑体" w:cs="宋体"/>
      <w:kern w:val="0"/>
      <w:szCs w:val="24"/>
    </w:rPr>
  </w:style>
  <w:style w:type="paragraph" w:customStyle="1" w:styleId="2032">
    <w:name w:val="Char Char Char Char Char Char Char Char1"/>
    <w:basedOn w:val="1"/>
    <w:uiPriority w:val="0"/>
    <w:pPr>
      <w:widowControl/>
      <w:adjustRightInd w:val="0"/>
      <w:snapToGrid w:val="0"/>
      <w:spacing w:line="360" w:lineRule="auto"/>
      <w:ind w:firstLine="200" w:firstLineChars="200"/>
      <w:jc w:val="left"/>
    </w:pPr>
    <w:rPr>
      <w:rFonts w:ascii="仿宋_GB2312" w:hAnsi="仿宋_GB2312" w:cs="宋体"/>
      <w:kern w:val="0"/>
      <w:sz w:val="24"/>
      <w:szCs w:val="24"/>
    </w:rPr>
  </w:style>
  <w:style w:type="paragraph" w:customStyle="1" w:styleId="2033">
    <w:name w:val="Char Char Char Char1 Char Char4"/>
    <w:basedOn w:val="6"/>
    <w:uiPriority w:val="0"/>
    <w:pPr>
      <w:numPr>
        <w:numId w:val="0"/>
      </w:numPr>
      <w:tabs>
        <w:tab w:val="left" w:pos="0"/>
      </w:tabs>
      <w:snapToGrid w:val="0"/>
      <w:spacing w:line="360" w:lineRule="auto"/>
      <w:jc w:val="center"/>
    </w:pPr>
    <w:rPr>
      <w:rFonts w:ascii="仿宋_GB2312" w:cs="Arial"/>
      <w:kern w:val="0"/>
    </w:rPr>
  </w:style>
  <w:style w:type="paragraph" w:customStyle="1" w:styleId="2034">
    <w:name w:val="Char Char Char Char1 Char Char3"/>
    <w:basedOn w:val="6"/>
    <w:uiPriority w:val="0"/>
    <w:pPr>
      <w:numPr>
        <w:numId w:val="0"/>
      </w:numPr>
      <w:tabs>
        <w:tab w:val="left" w:pos="0"/>
      </w:tabs>
      <w:snapToGrid w:val="0"/>
      <w:spacing w:line="360" w:lineRule="auto"/>
      <w:jc w:val="center"/>
    </w:pPr>
    <w:rPr>
      <w:rFonts w:ascii="仿宋_GB2312" w:cs="Arial"/>
      <w:kern w:val="0"/>
    </w:rPr>
  </w:style>
  <w:style w:type="character" w:customStyle="1" w:styleId="2035">
    <w:name w:val="主体 Char Char"/>
    <w:uiPriority w:val="0"/>
    <w:rPr>
      <w:rFonts w:eastAsia="仿宋_GB2312"/>
      <w:bCs/>
      <w:kern w:val="2"/>
      <w:sz w:val="24"/>
      <w:szCs w:val="24"/>
      <w:lang w:val="en-US" w:eastAsia="zh-CN" w:bidi="ar-SA"/>
    </w:rPr>
  </w:style>
  <w:style w:type="paragraph" w:customStyle="1" w:styleId="2036">
    <w:name w:val="Char Char Char Char1 Char Char2"/>
    <w:basedOn w:val="6"/>
    <w:uiPriority w:val="0"/>
    <w:pPr>
      <w:numPr>
        <w:numId w:val="0"/>
      </w:numPr>
      <w:tabs>
        <w:tab w:val="left" w:pos="0"/>
      </w:tabs>
      <w:snapToGrid w:val="0"/>
      <w:spacing w:line="360" w:lineRule="auto"/>
      <w:jc w:val="center"/>
    </w:pPr>
    <w:rPr>
      <w:rFonts w:ascii="仿宋_GB2312" w:cs="Arial"/>
      <w:kern w:val="0"/>
    </w:rPr>
  </w:style>
  <w:style w:type="character" w:customStyle="1" w:styleId="2037">
    <w:name w:val="主体 Char Char Char Char"/>
    <w:uiPriority w:val="0"/>
    <w:rPr>
      <w:rFonts w:eastAsia="仿宋_GB2312"/>
      <w:bCs/>
      <w:kern w:val="2"/>
      <w:sz w:val="24"/>
      <w:szCs w:val="24"/>
    </w:rPr>
  </w:style>
  <w:style w:type="character" w:customStyle="1" w:styleId="2038">
    <w:name w:val="表头正 Char Char"/>
    <w:uiPriority w:val="0"/>
    <w:rPr>
      <w:rFonts w:eastAsia="仿宋_GB2312"/>
      <w:b/>
      <w:bCs/>
      <w:kern w:val="2"/>
      <w:sz w:val="24"/>
      <w:lang w:val="en-US" w:eastAsia="zh-CN" w:bidi="ar-SA"/>
    </w:rPr>
  </w:style>
  <w:style w:type="character" w:customStyle="1" w:styleId="2039">
    <w:name w:val="Char Char16"/>
    <w:uiPriority w:val="0"/>
    <w:rPr>
      <w:rFonts w:ascii="Arial" w:hAnsi="Arial" w:eastAsia="宋体"/>
      <w:kern w:val="2"/>
      <w:sz w:val="18"/>
      <w:szCs w:val="18"/>
      <w:lang w:val="en-US" w:eastAsia="zh-CN" w:bidi="ar-SA"/>
    </w:rPr>
  </w:style>
  <w:style w:type="character" w:customStyle="1" w:styleId="2040">
    <w:name w:val="kbz3"/>
    <w:uiPriority w:val="0"/>
    <w:rPr>
      <w:color w:val="333333"/>
    </w:rPr>
  </w:style>
  <w:style w:type="paragraph" w:customStyle="1" w:styleId="2041">
    <w:name w:val="样式 样式 标题三 + 段前: 0.5 行 段后: 0.5 行 + (符号) Times New Roman"/>
    <w:basedOn w:val="1797"/>
    <w:uiPriority w:val="0"/>
    <w:pPr>
      <w:tabs>
        <w:tab w:val="clear" w:pos="0"/>
      </w:tabs>
      <w:ind w:left="709" w:firstLine="0"/>
    </w:pPr>
  </w:style>
  <w:style w:type="paragraph" w:customStyle="1" w:styleId="2042">
    <w:name w:val="表格 32"/>
    <w:basedOn w:val="1"/>
    <w:uiPriority w:val="0"/>
    <w:pPr>
      <w:autoSpaceDE w:val="0"/>
      <w:autoSpaceDN w:val="0"/>
      <w:adjustRightInd w:val="0"/>
      <w:jc w:val="center"/>
      <w:textAlignment w:val="baseline"/>
    </w:pPr>
    <w:rPr>
      <w:rFonts w:ascii="宋体" w:hAnsi="Impact" w:eastAsia="宋体"/>
      <w:kern w:val="24"/>
      <w:sz w:val="24"/>
    </w:rPr>
  </w:style>
  <w:style w:type="paragraph" w:customStyle="1" w:styleId="2043">
    <w:name w:val="Char Char Char Char1 Char Char1"/>
    <w:basedOn w:val="6"/>
    <w:uiPriority w:val="0"/>
    <w:pPr>
      <w:numPr>
        <w:numId w:val="0"/>
      </w:numPr>
      <w:tabs>
        <w:tab w:val="left" w:pos="0"/>
      </w:tabs>
      <w:snapToGrid w:val="0"/>
      <w:spacing w:line="360" w:lineRule="auto"/>
      <w:jc w:val="center"/>
    </w:pPr>
    <w:rPr>
      <w:rFonts w:ascii="仿宋_GB2312" w:cs="Arial"/>
      <w:kern w:val="0"/>
    </w:rPr>
  </w:style>
  <w:style w:type="paragraph" w:customStyle="1" w:styleId="2044">
    <w:name w:val="Char Char Char Char1 Char Char7"/>
    <w:basedOn w:val="6"/>
    <w:uiPriority w:val="0"/>
    <w:pPr>
      <w:numPr>
        <w:numId w:val="0"/>
      </w:numPr>
      <w:tabs>
        <w:tab w:val="left" w:pos="0"/>
      </w:tabs>
      <w:snapToGrid w:val="0"/>
      <w:spacing w:line="360" w:lineRule="auto"/>
      <w:jc w:val="center"/>
    </w:pPr>
    <w:rPr>
      <w:rFonts w:ascii="仿宋_GB2312" w:cs="Arial"/>
      <w:kern w:val="0"/>
    </w:rPr>
  </w:style>
  <w:style w:type="character" w:customStyle="1" w:styleId="2045">
    <w:name w:val="样式 标题 4标题 4 Char Char标题 4 Char四款标题1.1.1.1表格1 + (符号) Arial Char"/>
    <w:link w:val="1757"/>
    <w:uiPriority w:val="0"/>
    <w:rPr>
      <w:rFonts w:ascii="Arial" w:hAnsi="宋体" w:cs="Arial"/>
      <w:b/>
      <w:bCs/>
      <w:spacing w:val="10"/>
      <w:kern w:val="2"/>
      <w:sz w:val="24"/>
      <w:szCs w:val="24"/>
    </w:rPr>
  </w:style>
  <w:style w:type="paragraph" w:customStyle="1" w:styleId="2046">
    <w:name w:val="reader-word-layer reader-word-s3-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47">
    <w:name w:val="reader-word-layer reader-word-s1-2"/>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48">
    <w:name w:val="样式 样式 标题 4表格1 + 两端对齐 段前: 0.5 行 段后: 0.5 行 + 段前: 0.5 行 段后: 0.5 行"/>
    <w:basedOn w:val="1"/>
    <w:uiPriority w:val="0"/>
    <w:pPr>
      <w:keepNext/>
      <w:keepLines/>
      <w:numPr>
        <w:ilvl w:val="3"/>
        <w:numId w:val="19"/>
      </w:numPr>
      <w:tabs>
        <w:tab w:val="left" w:pos="0"/>
      </w:tabs>
      <w:spacing w:line="360" w:lineRule="auto"/>
      <w:jc w:val="center"/>
      <w:outlineLvl w:val="3"/>
    </w:pPr>
    <w:rPr>
      <w:rFonts w:ascii="Arial" w:hAnsi="Arial" w:eastAsia="宋体" w:cs="宋体"/>
      <w:sz w:val="24"/>
    </w:rPr>
  </w:style>
  <w:style w:type="paragraph" w:customStyle="1" w:styleId="2049">
    <w:name w:val="仿宋表格正文"/>
    <w:basedOn w:val="1"/>
    <w:uiPriority w:val="0"/>
    <w:pPr>
      <w:spacing w:line="360" w:lineRule="exact"/>
      <w:jc w:val="center"/>
    </w:pPr>
    <w:rPr>
      <w:sz w:val="24"/>
      <w:szCs w:val="70"/>
    </w:rPr>
  </w:style>
  <w:style w:type="character" w:customStyle="1" w:styleId="2050">
    <w:name w:val="span_35"/>
    <w:uiPriority w:val="0"/>
    <w:rPr>
      <w:shd w:val="clear" w:color="auto" w:fill="5ED522"/>
    </w:rPr>
  </w:style>
  <w:style w:type="character" w:customStyle="1" w:styleId="2051">
    <w:name w:val="span_46"/>
    <w:uiPriority w:val="0"/>
    <w:rPr>
      <w:shd w:val="clear" w:color="auto" w:fill="24B462"/>
    </w:rPr>
  </w:style>
  <w:style w:type="character" w:customStyle="1" w:styleId="2052">
    <w:name w:val="content1"/>
    <w:uiPriority w:val="0"/>
    <w:rPr>
      <w:rFonts w:hint="eastAsia" w:ascii="宋体" w:hAnsi="宋体" w:eastAsia="宋体"/>
      <w:sz w:val="22"/>
      <w:szCs w:val="22"/>
    </w:rPr>
  </w:style>
  <w:style w:type="paragraph" w:customStyle="1" w:styleId="2053">
    <w:name w:val="Char25"/>
    <w:basedOn w:val="1"/>
    <w:uiPriority w:val="0"/>
    <w:pPr>
      <w:spacing w:line="360" w:lineRule="auto"/>
      <w:ind w:firstLine="200" w:firstLineChars="200"/>
    </w:pPr>
    <w:rPr>
      <w:rFonts w:ascii="宋体" w:hAnsi="宋体" w:eastAsia="宋体" w:cs="宋体"/>
      <w:sz w:val="24"/>
      <w:szCs w:val="24"/>
    </w:rPr>
  </w:style>
  <w:style w:type="paragraph" w:customStyle="1" w:styleId="2054">
    <w:name w:val="12"/>
    <w:basedOn w:val="1"/>
    <w:uiPriority w:val="0"/>
    <w:pPr>
      <w:adjustRightInd w:val="0"/>
      <w:snapToGrid w:val="0"/>
      <w:spacing w:line="440" w:lineRule="exact"/>
      <w:ind w:firstLine="480" w:firstLineChars="200"/>
    </w:pPr>
    <w:rPr>
      <w:rFonts w:ascii="仿宋_GB2312" w:hAnsi="Arial" w:cs="Arial"/>
      <w:b/>
      <w:sz w:val="24"/>
    </w:rPr>
  </w:style>
  <w:style w:type="paragraph" w:customStyle="1" w:styleId="2055">
    <w:name w:val="reader-word-layer reader-word-s1-2 reader-word-s1-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6">
    <w:name w:val="reader-word-layer reader-word-s1-8"/>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7">
    <w:name w:val="reader-word-layer reader-word-s1-1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8">
    <w:name w:val="reader-word-layer reader-word-s1-4 reader-word-s1-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59">
    <w:name w:val="reader-word-layer reader-word-s1-2 reader-word-s1-11"/>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60">
    <w:name w:val="样式 正文缩进 + 黑色 首行缩进:  0.7 厘米 行距: 最小值 23 磅"/>
    <w:basedOn w:val="4"/>
    <w:uiPriority w:val="0"/>
    <w:pPr>
      <w:widowControl/>
      <w:suppressAutoHyphens/>
      <w:adjustRightInd w:val="0"/>
      <w:snapToGrid w:val="0"/>
      <w:spacing w:line="460" w:lineRule="atLeast"/>
      <w:ind w:firstLine="510"/>
    </w:pPr>
    <w:rPr>
      <w:rFonts w:ascii="Times New Roman" w:hAnsi="Times New Roman" w:cs="Times New Roman"/>
      <w:color w:val="000000"/>
      <w:spacing w:val="0"/>
      <w:kern w:val="24"/>
      <w:lang w:val="zh-CN" w:eastAsia="zh-CN"/>
    </w:rPr>
  </w:style>
  <w:style w:type="paragraph" w:customStyle="1" w:styleId="2061">
    <w:name w:val="表格内容22"/>
    <w:basedOn w:val="1"/>
    <w:uiPriority w:val="0"/>
    <w:pPr>
      <w:snapToGrid w:val="0"/>
      <w:jc w:val="center"/>
    </w:pPr>
    <w:rPr>
      <w:rFonts w:eastAsia="宋体" w:cs="宋体"/>
      <w:sz w:val="21"/>
      <w:szCs w:val="21"/>
    </w:rPr>
  </w:style>
  <w:style w:type="paragraph" w:customStyle="1" w:styleId="2062">
    <w:name w:val="可研表头22"/>
    <w:basedOn w:val="66"/>
    <w:link w:val="2063"/>
    <w:uiPriority w:val="0"/>
    <w:pPr>
      <w:spacing w:line="300" w:lineRule="auto"/>
      <w:ind w:left="480" w:hanging="480"/>
      <w:jc w:val="center"/>
    </w:pPr>
    <w:rPr>
      <w:rFonts w:eastAsia="黑体"/>
      <w:sz w:val="24"/>
      <w:szCs w:val="24"/>
    </w:rPr>
  </w:style>
  <w:style w:type="character" w:customStyle="1" w:styleId="2063">
    <w:name w:val="可研表头22 Char"/>
    <w:link w:val="2062"/>
    <w:uiPriority w:val="0"/>
    <w:rPr>
      <w:rFonts w:eastAsia="黑体"/>
      <w:kern w:val="2"/>
      <w:sz w:val="24"/>
      <w:szCs w:val="24"/>
      <w:lang w:val="zh-CN" w:eastAsia="zh-CN"/>
    </w:rPr>
  </w:style>
  <w:style w:type="paragraph" w:customStyle="1" w:styleId="2064">
    <w:name w:val="正文首行缩进2字"/>
    <w:basedOn w:val="1"/>
    <w:semiHidden/>
    <w:qFormat/>
    <w:uiPriority w:val="0"/>
    <w:pPr>
      <w:adjustRightInd w:val="0"/>
      <w:snapToGrid w:val="0"/>
      <w:spacing w:line="300" w:lineRule="auto"/>
      <w:ind w:left="108" w:firstLine="563" w:firstLineChars="201"/>
    </w:pPr>
    <w:rPr>
      <w:rFonts w:eastAsia="宋体"/>
      <w:szCs w:val="24"/>
    </w:rPr>
  </w:style>
  <w:style w:type="paragraph" w:customStyle="1" w:styleId="2065">
    <w:name w:val="标准正文样式-MHZ-标准正文段落"/>
    <w:basedOn w:val="1"/>
    <w:link w:val="2066"/>
    <w:uiPriority w:val="0"/>
    <w:pPr>
      <w:spacing w:line="360" w:lineRule="auto"/>
      <w:ind w:firstLine="480" w:firstLineChars="200"/>
      <w:jc w:val="left"/>
    </w:pPr>
    <w:rPr>
      <w:rFonts w:ascii="Arial" w:hAnsi="Arial" w:eastAsia="宋体"/>
      <w:kern w:val="24"/>
      <w:sz w:val="24"/>
      <w:szCs w:val="24"/>
      <w:lang w:val="zh-CN" w:eastAsia="zh-CN"/>
    </w:rPr>
  </w:style>
  <w:style w:type="character" w:customStyle="1" w:styleId="2066">
    <w:name w:val="标准正文样式-MHZ-标准正文段落 Char"/>
    <w:link w:val="2065"/>
    <w:uiPriority w:val="0"/>
    <w:rPr>
      <w:rFonts w:ascii="Arial" w:hAnsi="Arial"/>
      <w:kern w:val="24"/>
      <w:sz w:val="24"/>
      <w:szCs w:val="24"/>
      <w:lang w:val="zh-CN" w:eastAsia="zh-CN"/>
    </w:rPr>
  </w:style>
  <w:style w:type="paragraph" w:customStyle="1" w:styleId="2067">
    <w:name w:val="正文一"/>
    <w:basedOn w:val="1"/>
    <w:link w:val="2068"/>
    <w:uiPriority w:val="0"/>
    <w:pPr>
      <w:spacing w:line="312" w:lineRule="auto"/>
      <w:ind w:firstLine="480"/>
    </w:pPr>
    <w:rPr>
      <w:rFonts w:eastAsia="宋体"/>
      <w:sz w:val="24"/>
      <w:lang w:val="zh-CN" w:eastAsia="zh-CN"/>
    </w:rPr>
  </w:style>
  <w:style w:type="character" w:customStyle="1" w:styleId="2068">
    <w:name w:val="正文一 Char"/>
    <w:link w:val="2067"/>
    <w:uiPriority w:val="0"/>
    <w:rPr>
      <w:kern w:val="2"/>
      <w:sz w:val="24"/>
      <w:lang w:val="zh-CN" w:eastAsia="zh-CN"/>
    </w:rPr>
  </w:style>
  <w:style w:type="paragraph" w:customStyle="1" w:styleId="2069">
    <w:name w:val="附表名称"/>
    <w:basedOn w:val="45"/>
    <w:semiHidden/>
    <w:uiPriority w:val="0"/>
    <w:pPr>
      <w:adjustRightInd w:val="0"/>
      <w:snapToGrid w:val="0"/>
      <w:spacing w:line="360" w:lineRule="auto"/>
      <w:ind w:left="108"/>
      <w:jc w:val="center"/>
    </w:pPr>
    <w:rPr>
      <w:rFonts w:ascii="Arial Narrow" w:hAnsi="Arial Narrow" w:eastAsia="黑体"/>
      <w:kern w:val="0"/>
      <w:sz w:val="28"/>
      <w:szCs w:val="21"/>
      <w:lang w:val="zh-CN" w:eastAsia="zh-CN"/>
    </w:rPr>
  </w:style>
  <w:style w:type="character" w:customStyle="1" w:styleId="2070">
    <w:name w:val="表 Char"/>
    <w:link w:val="412"/>
    <w:uiPriority w:val="0"/>
    <w:rPr>
      <w:b/>
      <w:bCs/>
      <w:sz w:val="28"/>
      <w:szCs w:val="32"/>
      <w:lang w:val="zh-CN" w:eastAsia="zh-CN"/>
    </w:rPr>
  </w:style>
  <w:style w:type="paragraph" w:customStyle="1" w:styleId="2071">
    <w:name w:val="样式 首行缩进:  0.77 厘米 行距: 固定值 20 磅4"/>
    <w:basedOn w:val="1"/>
    <w:uiPriority w:val="0"/>
    <w:pPr>
      <w:spacing w:line="360" w:lineRule="auto"/>
      <w:ind w:firstLine="435"/>
    </w:pPr>
    <w:rPr>
      <w:rFonts w:eastAsia="宋体" w:cs="宋体"/>
      <w:sz w:val="24"/>
    </w:rPr>
  </w:style>
  <w:style w:type="paragraph" w:customStyle="1" w:styleId="2072">
    <w:name w:val="extinfo2"/>
    <w:basedOn w:val="1"/>
    <w:uiPriority w:val="0"/>
    <w:pPr>
      <w:widowControl/>
      <w:spacing w:before="100" w:beforeAutospacing="1" w:after="100" w:afterAutospacing="1"/>
      <w:jc w:val="left"/>
    </w:pPr>
    <w:rPr>
      <w:rFonts w:ascii="宋体" w:hAnsi="宋体" w:eastAsia="宋体" w:cs="宋体"/>
      <w:color w:val="999999"/>
      <w:kern w:val="0"/>
      <w:sz w:val="24"/>
      <w:szCs w:val="24"/>
    </w:rPr>
  </w:style>
  <w:style w:type="paragraph" w:customStyle="1" w:styleId="2073">
    <w:name w:val="Style 79"/>
    <w:basedOn w:val="517"/>
    <w:next w:val="517"/>
    <w:uiPriority w:val="0"/>
    <w:pPr>
      <w:spacing w:before="200"/>
    </w:pPr>
    <w:rPr>
      <w:color w:val="auto"/>
    </w:rPr>
  </w:style>
  <w:style w:type="paragraph" w:customStyle="1" w:styleId="2074">
    <w:name w:val="Style 12"/>
    <w:basedOn w:val="1"/>
    <w:next w:val="1"/>
    <w:qFormat/>
    <w:uiPriority w:val="0"/>
    <w:pPr>
      <w:autoSpaceDE w:val="0"/>
      <w:autoSpaceDN w:val="0"/>
      <w:adjustRightInd w:val="0"/>
      <w:spacing w:before="380"/>
      <w:jc w:val="left"/>
    </w:pPr>
    <w:rPr>
      <w:rFonts w:ascii="宋体" w:eastAsia="宋体"/>
      <w:kern w:val="0"/>
      <w:sz w:val="24"/>
      <w:szCs w:val="24"/>
    </w:rPr>
  </w:style>
  <w:style w:type="character" w:customStyle="1" w:styleId="2075">
    <w:name w:val="5文章(治) Char"/>
    <w:uiPriority w:val="0"/>
    <w:rPr>
      <w:rFonts w:ascii="Times New Roman" w:hAnsi="Times New Roman"/>
      <w:kern w:val="2"/>
      <w:sz w:val="24"/>
      <w:lang w:val="zh-CN" w:eastAsia="zh-CN"/>
    </w:rPr>
  </w:style>
  <w:style w:type="character" w:customStyle="1" w:styleId="2076">
    <w:name w:val="报告正文 Char1"/>
    <w:link w:val="395"/>
    <w:uiPriority w:val="0"/>
    <w:rPr>
      <w:kern w:val="2"/>
      <w:sz w:val="24"/>
      <w:szCs w:val="21"/>
    </w:rPr>
  </w:style>
  <w:style w:type="table" w:customStyle="1" w:styleId="2077">
    <w:name w:val="普通表格1环评表格"/>
    <w:basedOn w:val="87"/>
    <w:uiPriority w:val="0"/>
    <w:pPr>
      <w:spacing w:line="0" w:lineRule="atLeast"/>
    </w:pPr>
    <w:rPr>
      <w:rFonts w:ascii="Arial" w:hAnsi="Arial"/>
      <w:sz w:val="21"/>
    </w:rPr>
    <w:tblPr>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28" w:type="dxa"/>
        <w:right w:w="28" w:type="dxa"/>
      </w:tblCellMar>
    </w:tblPr>
    <w:trPr>
      <w:jc w:val="center"/>
    </w:trPr>
    <w:tcPr>
      <w:vAlign w:val="center"/>
    </w:tcPr>
  </w:style>
  <w:style w:type="paragraph" w:customStyle="1" w:styleId="2078">
    <w:name w:val="正文 小四 行距: 1.5 倍行距"/>
    <w:basedOn w:val="1"/>
    <w:qFormat/>
    <w:uiPriority w:val="0"/>
    <w:pPr>
      <w:spacing w:line="360" w:lineRule="auto"/>
      <w:ind w:firstLine="480"/>
    </w:pPr>
    <w:rPr>
      <w:rFonts w:ascii="Arial" w:hAnsi="Arial" w:eastAsia="宋体" w:cs="宋体"/>
      <w:sz w:val="24"/>
    </w:rPr>
  </w:style>
  <w:style w:type="paragraph" w:customStyle="1" w:styleId="2079">
    <w:name w:val="样式 标题 4标题 4 Char Char标题 4 Char四款标题1.1.1.1表格1目H4H41L4Mi..."/>
    <w:basedOn w:val="6"/>
    <w:link w:val="2080"/>
    <w:uiPriority w:val="0"/>
    <w:pPr>
      <w:numPr>
        <w:numId w:val="0"/>
      </w:numPr>
      <w:tabs>
        <w:tab w:val="left" w:pos="1643"/>
      </w:tabs>
      <w:adjustRightInd/>
      <w:spacing w:before="0" w:line="320" w:lineRule="exact"/>
      <w:ind w:left="1643" w:hanging="563"/>
      <w:jc w:val="center"/>
    </w:pPr>
    <w:rPr>
      <w:bCs/>
    </w:rPr>
  </w:style>
  <w:style w:type="character" w:customStyle="1" w:styleId="2080">
    <w:name w:val="样式 标题 4标题 4 Char Char标题 4 Char四款标题1.1.1.1表格1目H4H41L4Mi... Char"/>
    <w:link w:val="2079"/>
    <w:uiPriority w:val="0"/>
    <w:rPr>
      <w:rFonts w:ascii="Arial" w:hAnsi="Arial" w:eastAsia="仿宋_GB2312"/>
      <w:b/>
      <w:bCs/>
      <w:kern w:val="2"/>
      <w:sz w:val="24"/>
      <w:lang w:val="zh-CN" w:eastAsia="zh-CN"/>
    </w:rPr>
  </w:style>
  <w:style w:type="paragraph" w:customStyle="1" w:styleId="2081">
    <w:name w:val="Char Char1 Char Char Char Char Char Char Char Char Char Char Char Char Char Char Char Char Char Char Char Char1 Char6"/>
    <w:basedOn w:val="1"/>
    <w:uiPriority w:val="0"/>
    <w:pPr>
      <w:spacing w:line="360" w:lineRule="auto"/>
      <w:ind w:firstLine="200" w:firstLineChars="200"/>
    </w:pPr>
    <w:rPr>
      <w:rFonts w:ascii="宋体" w:hAnsi="宋体" w:eastAsia="宋体" w:cs="宋体"/>
      <w:sz w:val="24"/>
      <w:szCs w:val="24"/>
    </w:rPr>
  </w:style>
  <w:style w:type="paragraph" w:customStyle="1" w:styleId="2082">
    <w:name w:val="样式 五号 居中 行距: 固定值 20 磅"/>
    <w:basedOn w:val="1"/>
    <w:uiPriority w:val="0"/>
    <w:pPr>
      <w:spacing w:line="400" w:lineRule="exact"/>
      <w:jc w:val="center"/>
      <w:textAlignment w:val="center"/>
    </w:pPr>
    <w:rPr>
      <w:rFonts w:ascii="Arial" w:hAnsi="Arial" w:eastAsia="宋体" w:cs="宋体"/>
      <w:sz w:val="21"/>
    </w:rPr>
  </w:style>
  <w:style w:type="paragraph" w:customStyle="1" w:styleId="2083">
    <w:name w:val="Char10"/>
    <w:basedOn w:val="1"/>
    <w:uiPriority w:val="0"/>
    <w:pPr>
      <w:spacing w:line="360" w:lineRule="auto"/>
      <w:ind w:firstLine="200" w:firstLineChars="200"/>
    </w:pPr>
  </w:style>
  <w:style w:type="character" w:customStyle="1" w:styleId="2084">
    <w:name w:val="正文首行缩进 Char Char Char Char Char Char Char Char"/>
    <w:uiPriority w:val="0"/>
    <w:rPr>
      <w:rFonts w:ascii="宋体" w:eastAsia="宋体" w:cs="”“Times New Roman”“"/>
      <w:kern w:val="2"/>
      <w:sz w:val="28"/>
      <w:szCs w:val="28"/>
      <w:lang w:val="en-US" w:eastAsia="zh-CN" w:bidi="ar-SA"/>
    </w:rPr>
  </w:style>
  <w:style w:type="character" w:customStyle="1" w:styleId="2085">
    <w:name w:val="表名 Char"/>
    <w:link w:val="435"/>
    <w:uiPriority w:val="0"/>
    <w:rPr>
      <w:rFonts w:eastAsia="黑体"/>
      <w:caps/>
      <w:kern w:val="2"/>
      <w:sz w:val="24"/>
    </w:rPr>
  </w:style>
  <w:style w:type="character" w:customStyle="1" w:styleId="2086">
    <w:name w:val="Char Char231"/>
    <w:uiPriority w:val="0"/>
    <w:rPr>
      <w:rFonts w:ascii="Arial" w:hAnsi="Arial" w:eastAsia="宋体" w:cs="Arial"/>
      <w:spacing w:val="10"/>
      <w:kern w:val="2"/>
      <w:sz w:val="24"/>
      <w:lang w:val="en-US" w:eastAsia="zh-CN" w:bidi="ar-SA"/>
    </w:rPr>
  </w:style>
  <w:style w:type="character" w:customStyle="1" w:styleId="2087">
    <w:name w:val="正文01 Char2"/>
    <w:qFormat/>
    <w:uiPriority w:val="0"/>
    <w:rPr>
      <w:rFonts w:eastAsia="宋体"/>
      <w:sz w:val="24"/>
      <w:szCs w:val="24"/>
      <w:lang w:val="en-US" w:eastAsia="zh-CN" w:bidi="ar-SA"/>
    </w:rPr>
  </w:style>
  <w:style w:type="character" w:customStyle="1" w:styleId="2088">
    <w:name w:val="文章正文样式 Char1 Char Char"/>
    <w:link w:val="2089"/>
    <w:uiPriority w:val="0"/>
    <w:rPr>
      <w:rFonts w:ascii="宋体" w:hAnsi="宋体" w:eastAsia="仿宋_GB2312" w:cs="宋体"/>
      <w:kern w:val="2"/>
      <w:sz w:val="24"/>
      <w:szCs w:val="24"/>
      <w:lang w:eastAsia="en-US"/>
    </w:rPr>
  </w:style>
  <w:style w:type="paragraph" w:customStyle="1" w:styleId="2089">
    <w:name w:val="文章正文样式 Char1 Char"/>
    <w:basedOn w:val="1"/>
    <w:link w:val="2088"/>
    <w:uiPriority w:val="0"/>
    <w:pPr>
      <w:spacing w:line="520" w:lineRule="exact"/>
      <w:ind w:firstLine="200" w:firstLineChars="200"/>
      <w:jc w:val="left"/>
    </w:pPr>
    <w:rPr>
      <w:rFonts w:ascii="宋体" w:hAnsi="宋体" w:cs="宋体"/>
      <w:sz w:val="24"/>
      <w:szCs w:val="24"/>
      <w:lang w:eastAsia="en-US"/>
    </w:rPr>
  </w:style>
  <w:style w:type="character" w:customStyle="1" w:styleId="2090">
    <w:name w:val="纯文本 Char2"/>
    <w:uiPriority w:val="0"/>
    <w:rPr>
      <w:rFonts w:ascii="宋体" w:hAnsi="Courier New" w:eastAsia="宋体"/>
      <w:kern w:val="2"/>
      <w:sz w:val="24"/>
      <w:lang w:val="en-US" w:eastAsia="zh-CN" w:bidi="ar-SA"/>
    </w:rPr>
  </w:style>
  <w:style w:type="character" w:customStyle="1" w:styleId="2091">
    <w:name w:val="样式 首行缩进:  0.87 厘米 Char"/>
    <w:link w:val="2092"/>
    <w:uiPriority w:val="0"/>
    <w:rPr>
      <w:rFonts w:cs="宋体"/>
      <w:kern w:val="2"/>
      <w:sz w:val="24"/>
      <w:szCs w:val="24"/>
    </w:rPr>
  </w:style>
  <w:style w:type="paragraph" w:customStyle="1" w:styleId="2092">
    <w:name w:val="样式 首行缩进:  0.87 厘米"/>
    <w:basedOn w:val="1"/>
    <w:link w:val="2091"/>
    <w:uiPriority w:val="0"/>
    <w:pPr>
      <w:ind w:firstLine="200" w:firstLineChars="200"/>
    </w:pPr>
    <w:rPr>
      <w:rFonts w:eastAsia="宋体" w:cs="宋体"/>
      <w:sz w:val="24"/>
      <w:szCs w:val="24"/>
    </w:rPr>
  </w:style>
  <w:style w:type="character" w:customStyle="1" w:styleId="2093">
    <w:name w:val="headline-content"/>
    <w:basedOn w:val="132"/>
    <w:uiPriority w:val="0"/>
    <w:rPr>
      <w:rFonts w:eastAsia="仿宋_GB2312" w:cs="”“Times New Roman”“"/>
      <w:sz w:val="24"/>
      <w:szCs w:val="24"/>
      <w:lang w:val="en-US" w:eastAsia="en-US" w:bidi="ar-SA"/>
    </w:rPr>
  </w:style>
  <w:style w:type="character" w:customStyle="1" w:styleId="2094">
    <w:name w:val="样式 (西文) Arial (中文) 宋体 五号 居中 行距: 固定值 12 磅 Char"/>
    <w:link w:val="2095"/>
    <w:uiPriority w:val="0"/>
    <w:rPr>
      <w:rFonts w:eastAsia="仿宋" w:cs="宋体"/>
      <w:kern w:val="2"/>
      <w:sz w:val="21"/>
      <w:szCs w:val="24"/>
      <w:lang w:eastAsia="en-US"/>
    </w:rPr>
  </w:style>
  <w:style w:type="paragraph" w:customStyle="1" w:styleId="2095">
    <w:name w:val="样式 (西文) Arial (中文) 宋体 五号 居中 行距: 固定值 12 磅"/>
    <w:basedOn w:val="1"/>
    <w:link w:val="2094"/>
    <w:qFormat/>
    <w:uiPriority w:val="0"/>
    <w:pPr>
      <w:spacing w:line="240" w:lineRule="exact"/>
      <w:jc w:val="center"/>
    </w:pPr>
    <w:rPr>
      <w:rFonts w:eastAsia="仿宋" w:cs="宋体"/>
      <w:sz w:val="21"/>
      <w:szCs w:val="24"/>
      <w:lang w:eastAsia="en-US"/>
    </w:rPr>
  </w:style>
  <w:style w:type="character" w:customStyle="1" w:styleId="2096">
    <w:name w:val="@@表格@@ Char"/>
    <w:link w:val="2097"/>
    <w:uiPriority w:val="0"/>
    <w:rPr>
      <w:kern w:val="2"/>
      <w:sz w:val="21"/>
      <w:szCs w:val="21"/>
    </w:rPr>
  </w:style>
  <w:style w:type="paragraph" w:customStyle="1" w:styleId="2097">
    <w:name w:val="@@表格@@"/>
    <w:basedOn w:val="1"/>
    <w:link w:val="2096"/>
    <w:uiPriority w:val="0"/>
    <w:pPr>
      <w:jc w:val="center"/>
    </w:pPr>
    <w:rPr>
      <w:rFonts w:eastAsia="宋体"/>
      <w:sz w:val="21"/>
      <w:szCs w:val="21"/>
    </w:rPr>
  </w:style>
  <w:style w:type="character" w:customStyle="1" w:styleId="2098">
    <w:name w:val="样式 标题 4 + (中文) 宋体 非加粗 Char"/>
    <w:link w:val="2099"/>
    <w:uiPriority w:val="0"/>
    <w:rPr>
      <w:rFonts w:eastAsia="仿宋_GB2312" w:cs="”“Times New Roman”“"/>
      <w:kern w:val="2"/>
      <w:sz w:val="24"/>
      <w:szCs w:val="24"/>
      <w:lang w:eastAsia="en-US"/>
    </w:rPr>
  </w:style>
  <w:style w:type="paragraph" w:customStyle="1" w:styleId="2099">
    <w:name w:val="样式 标题 4 + (中文) 宋体 非加粗"/>
    <w:basedOn w:val="6"/>
    <w:link w:val="2098"/>
    <w:uiPriority w:val="0"/>
    <w:pPr>
      <w:numPr>
        <w:ilvl w:val="0"/>
        <w:numId w:val="0"/>
      </w:numPr>
      <w:tabs>
        <w:tab w:val="left" w:pos="851"/>
      </w:tabs>
      <w:adjustRightInd/>
      <w:spacing w:line="440" w:lineRule="exact"/>
    </w:pPr>
    <w:rPr>
      <w:rFonts w:ascii="Times New Roman" w:hAnsi="Times New Roman" w:cs="”“Times New Roman”“"/>
      <w:b w:val="0"/>
      <w:szCs w:val="24"/>
      <w:lang w:val="en-US" w:eastAsia="en-US"/>
    </w:rPr>
  </w:style>
  <w:style w:type="character" w:customStyle="1" w:styleId="2100">
    <w:name w:val="1.标题 1 Char"/>
    <w:uiPriority w:val="0"/>
    <w:rPr>
      <w:rFonts w:eastAsia="宋体"/>
      <w:b/>
      <w:bCs/>
      <w:kern w:val="44"/>
      <w:sz w:val="44"/>
      <w:szCs w:val="44"/>
      <w:lang w:val="en-US" w:eastAsia="zh-CN" w:bidi="ar-SA"/>
    </w:rPr>
  </w:style>
  <w:style w:type="character" w:customStyle="1" w:styleId="2101">
    <w:name w:val="文章正文文字 Char Char Char"/>
    <w:link w:val="2102"/>
    <w:semiHidden/>
    <w:uiPriority w:val="0"/>
    <w:rPr>
      <w:rFonts w:eastAsia="仿宋_GB2312" w:cs="”“Times New Roman”“"/>
      <w:kern w:val="2"/>
      <w:sz w:val="24"/>
      <w:szCs w:val="24"/>
      <w:lang w:eastAsia="en-US"/>
    </w:rPr>
  </w:style>
  <w:style w:type="paragraph" w:customStyle="1" w:styleId="2102">
    <w:name w:val="文章正文文字 Char Char"/>
    <w:basedOn w:val="1"/>
    <w:link w:val="2101"/>
    <w:semiHidden/>
    <w:uiPriority w:val="0"/>
    <w:pPr>
      <w:spacing w:line="520" w:lineRule="exact"/>
      <w:ind w:firstLine="200" w:firstLineChars="200"/>
      <w:jc w:val="left"/>
    </w:pPr>
    <w:rPr>
      <w:rFonts w:cs="”“Times New Roman”“"/>
      <w:sz w:val="24"/>
      <w:szCs w:val="24"/>
      <w:lang w:eastAsia="en-US"/>
    </w:rPr>
  </w:style>
  <w:style w:type="character" w:customStyle="1" w:styleId="2103">
    <w:name w:val="zys1"/>
    <w:uiPriority w:val="0"/>
    <w:rPr>
      <w:rFonts w:eastAsia="仿宋_GB2312" w:cs="”“Times New Roman”“"/>
      <w:sz w:val="21"/>
      <w:szCs w:val="21"/>
      <w:lang w:val="en-US" w:eastAsia="en-US" w:bidi="ar-SA"/>
    </w:rPr>
  </w:style>
  <w:style w:type="character" w:customStyle="1" w:styleId="2104">
    <w:name w:val="16"/>
    <w:uiPriority w:val="0"/>
    <w:rPr>
      <w:rFonts w:hint="default" w:ascii="Times New Roman" w:hAnsi="Times New Roman" w:cs="Times New Roman"/>
      <w:color w:val="808080"/>
    </w:rPr>
  </w:style>
  <w:style w:type="character" w:customStyle="1" w:styleId="2105">
    <w:name w:val="font31"/>
    <w:uiPriority w:val="0"/>
    <w:rPr>
      <w:rFonts w:hint="eastAsia" w:ascii="宋体" w:hAnsi="宋体" w:eastAsia="宋体" w:cs="宋体"/>
      <w:color w:val="000000"/>
      <w:sz w:val="21"/>
      <w:szCs w:val="21"/>
      <w:u w:val="none"/>
    </w:rPr>
  </w:style>
  <w:style w:type="character" w:customStyle="1" w:styleId="2106">
    <w:name w:val="表内字体 Char"/>
    <w:link w:val="2107"/>
    <w:uiPriority w:val="0"/>
    <w:rPr>
      <w:sz w:val="18"/>
      <w:szCs w:val="18"/>
    </w:rPr>
  </w:style>
  <w:style w:type="paragraph" w:customStyle="1" w:styleId="2107">
    <w:name w:val="表内字体"/>
    <w:basedOn w:val="1"/>
    <w:link w:val="2106"/>
    <w:uiPriority w:val="0"/>
    <w:pPr>
      <w:adjustRightInd w:val="0"/>
      <w:snapToGrid w:val="0"/>
      <w:jc w:val="center"/>
      <w:textAlignment w:val="baseline"/>
    </w:pPr>
    <w:rPr>
      <w:rFonts w:eastAsia="宋体"/>
      <w:kern w:val="0"/>
      <w:sz w:val="18"/>
      <w:szCs w:val="18"/>
    </w:rPr>
  </w:style>
  <w:style w:type="character" w:customStyle="1" w:styleId="2108">
    <w:name w:val="表标题... Char"/>
    <w:link w:val="2109"/>
    <w:uiPriority w:val="0"/>
    <w:rPr>
      <w:rFonts w:ascii="Arial" w:hAnsi="Arial" w:eastAsia="仿宋_GB2312" w:cs="”“Times New Roman”“"/>
      <w:b/>
      <w:bCs/>
      <w:color w:val="800080"/>
      <w:kern w:val="2"/>
      <w:sz w:val="21"/>
      <w:szCs w:val="24"/>
      <w:lang w:eastAsia="en-US"/>
    </w:rPr>
  </w:style>
  <w:style w:type="paragraph" w:customStyle="1" w:styleId="2109">
    <w:name w:val="表标题..."/>
    <w:basedOn w:val="6"/>
    <w:link w:val="2108"/>
    <w:uiPriority w:val="0"/>
    <w:pPr>
      <w:numPr>
        <w:ilvl w:val="0"/>
        <w:numId w:val="0"/>
      </w:numPr>
      <w:tabs>
        <w:tab w:val="left" w:pos="851"/>
        <w:tab w:val="left" w:pos="7405"/>
      </w:tabs>
      <w:adjustRightInd/>
      <w:spacing w:line="440" w:lineRule="exact"/>
      <w:jc w:val="center"/>
    </w:pPr>
    <w:rPr>
      <w:rFonts w:cs="”“Times New Roman”“"/>
      <w:bCs/>
      <w:color w:val="800080"/>
      <w:sz w:val="21"/>
      <w:szCs w:val="24"/>
      <w:lang w:val="en-US" w:eastAsia="en-US"/>
    </w:rPr>
  </w:style>
  <w:style w:type="character" w:customStyle="1" w:styleId="2110">
    <w:name w:val="pass-placeholder-smsphone"/>
    <w:basedOn w:val="132"/>
    <w:uiPriority w:val="0"/>
    <w:rPr>
      <w:rFonts w:eastAsia="仿宋_GB2312" w:cs="”“Times New Roman”“"/>
      <w:sz w:val="24"/>
      <w:szCs w:val="24"/>
      <w:lang w:val="en-US" w:eastAsia="en-US" w:bidi="ar-SA"/>
    </w:rPr>
  </w:style>
  <w:style w:type="character" w:customStyle="1" w:styleId="2111">
    <w:name w:val="@@@@@@@@@@@ Char"/>
    <w:link w:val="2112"/>
    <w:uiPriority w:val="0"/>
    <w:rPr>
      <w:rFonts w:ascii="宋体" w:hAnsi="宋体"/>
      <w:kern w:val="2"/>
      <w:sz w:val="21"/>
      <w:szCs w:val="21"/>
    </w:rPr>
  </w:style>
  <w:style w:type="paragraph" w:customStyle="1" w:styleId="2112">
    <w:name w:val="@@@@@@@@@@@"/>
    <w:basedOn w:val="1"/>
    <w:link w:val="2111"/>
    <w:qFormat/>
    <w:uiPriority w:val="0"/>
    <w:pPr>
      <w:framePr w:wrap="around" w:vAnchor="text" w:hAnchor="text" w:y="1"/>
      <w:jc w:val="center"/>
      <w:textAlignment w:val="center"/>
    </w:pPr>
    <w:rPr>
      <w:rFonts w:ascii="宋体" w:hAnsi="宋体" w:eastAsia="宋体"/>
      <w:sz w:val="21"/>
      <w:szCs w:val="21"/>
    </w:rPr>
  </w:style>
  <w:style w:type="character" w:customStyle="1" w:styleId="2113">
    <w:name w:val="样式 标题 4款标题1.1.1.1标题 4 Char Char标题 4 Char四表格1目H4H41L4Mi...1 Char"/>
    <w:link w:val="750"/>
    <w:uiPriority w:val="0"/>
    <w:rPr>
      <w:rFonts w:ascii="Arial" w:hAnsi="Arial" w:eastAsia="仿宋_GB2312" w:cs="宋体"/>
      <w:b/>
      <w:bCs/>
      <w:kern w:val="2"/>
      <w:sz w:val="24"/>
      <w:lang w:val="zh-CN" w:eastAsia="zh-CN"/>
    </w:rPr>
  </w:style>
  <w:style w:type="character" w:customStyle="1" w:styleId="2114">
    <w:name w:val="标题8"/>
    <w:basedOn w:val="132"/>
    <w:uiPriority w:val="0"/>
    <w:rPr>
      <w:rFonts w:eastAsia="仿宋_GB2312" w:cs="”“Times New Roman”“"/>
      <w:sz w:val="24"/>
      <w:szCs w:val="24"/>
      <w:lang w:val="en-US" w:eastAsia="en-US" w:bidi="ar-SA"/>
    </w:rPr>
  </w:style>
  <w:style w:type="character" w:customStyle="1" w:styleId="2115">
    <w:name w:val="ryy1.1.2 Char"/>
    <w:link w:val="2116"/>
    <w:uiPriority w:val="0"/>
    <w:rPr>
      <w:rFonts w:eastAsia="仿宋_GB2312"/>
      <w:b/>
      <w:bCs/>
      <w:kern w:val="2"/>
      <w:sz w:val="28"/>
      <w:szCs w:val="28"/>
    </w:rPr>
  </w:style>
  <w:style w:type="paragraph" w:customStyle="1" w:styleId="2116">
    <w:name w:val="ryy1.1.2"/>
    <w:basedOn w:val="5"/>
    <w:link w:val="2115"/>
    <w:qFormat/>
    <w:uiPriority w:val="0"/>
    <w:pPr>
      <w:numPr>
        <w:ilvl w:val="0"/>
        <w:numId w:val="0"/>
      </w:numPr>
      <w:spacing w:before="0" w:after="0" w:line="360" w:lineRule="auto"/>
      <w:ind w:left="720" w:hanging="720"/>
    </w:pPr>
    <w:rPr>
      <w:rFonts w:ascii="Times New Roman"/>
      <w:kern w:val="2"/>
      <w:sz w:val="28"/>
      <w:szCs w:val="28"/>
      <w:lang w:val="en-US" w:eastAsia="zh-CN"/>
    </w:rPr>
  </w:style>
  <w:style w:type="character" w:customStyle="1" w:styleId="2117">
    <w:name w:val="fz_td4"/>
    <w:basedOn w:val="132"/>
    <w:uiPriority w:val="0"/>
    <w:rPr>
      <w:rFonts w:eastAsia="仿宋_GB2312" w:cs="”“Times New Roman”“"/>
      <w:sz w:val="24"/>
      <w:szCs w:val="24"/>
      <w:lang w:val="en-US" w:eastAsia="en-US" w:bidi="ar-SA"/>
    </w:rPr>
  </w:style>
  <w:style w:type="character" w:customStyle="1" w:styleId="2118">
    <w:name w:val="文章正文样式 Char1 Char2 Char"/>
    <w:link w:val="2119"/>
    <w:uiPriority w:val="0"/>
    <w:rPr>
      <w:rFonts w:ascii="宋体" w:hAnsi="宋体" w:eastAsia="仿宋_GB2312" w:cs="宋体"/>
      <w:kern w:val="2"/>
      <w:sz w:val="24"/>
      <w:szCs w:val="24"/>
      <w:lang w:eastAsia="en-US"/>
    </w:rPr>
  </w:style>
  <w:style w:type="paragraph" w:customStyle="1" w:styleId="2119">
    <w:name w:val="文章正文样式 Char1 Char2"/>
    <w:basedOn w:val="1"/>
    <w:link w:val="2118"/>
    <w:uiPriority w:val="0"/>
    <w:pPr>
      <w:spacing w:line="520" w:lineRule="exact"/>
      <w:ind w:firstLine="480" w:firstLineChars="200"/>
      <w:jc w:val="left"/>
    </w:pPr>
    <w:rPr>
      <w:rFonts w:ascii="宋体" w:hAnsi="宋体" w:cs="宋体"/>
      <w:sz w:val="24"/>
      <w:szCs w:val="24"/>
      <w:lang w:eastAsia="en-US"/>
    </w:rPr>
  </w:style>
  <w:style w:type="character" w:customStyle="1" w:styleId="2120">
    <w:name w:val="word121"/>
    <w:uiPriority w:val="0"/>
    <w:rPr>
      <w:rFonts w:eastAsia="仿宋_GB2312" w:cs="”“Times New Roman”“"/>
      <w:color w:val="444444"/>
      <w:sz w:val="22"/>
      <w:szCs w:val="22"/>
      <w:lang w:val="en-US" w:eastAsia="en-US" w:bidi="ar-SA"/>
    </w:rPr>
  </w:style>
  <w:style w:type="character" w:customStyle="1" w:styleId="2121">
    <w:name w:val="样式 样式 标题 2节标题 1.11.1标题2标题 2 Char标题节标题节 Char Char标题 2 Char Cha...... Char Char Char Char Char Char Char Char Char Char Char Char Char Char Char Char Char Char Char Char Char Char Char Char Char Char Char Char Char Char Char Char Char Char Char Char Char"/>
    <w:uiPriority w:val="0"/>
    <w:rPr>
      <w:rFonts w:ascii="宋体" w:hAnsi="宋体" w:eastAsia="Arial" w:cs="”“Times New Roman”“"/>
      <w:b/>
      <w:bCs/>
      <w:color w:val="000000"/>
      <w:kern w:val="2"/>
      <w:sz w:val="28"/>
      <w:szCs w:val="28"/>
      <w:lang w:val="en-US" w:eastAsia="zh-CN" w:bidi="ar-SA"/>
    </w:rPr>
  </w:style>
  <w:style w:type="character" w:customStyle="1" w:styleId="2122">
    <w:name w:val="君邦正文 Char"/>
    <w:link w:val="958"/>
    <w:uiPriority w:val="0"/>
    <w:rPr>
      <w:sz w:val="24"/>
    </w:rPr>
  </w:style>
  <w:style w:type="character" w:customStyle="1" w:styleId="2123">
    <w:name w:val="text_edit editable-title"/>
    <w:basedOn w:val="132"/>
    <w:uiPriority w:val="0"/>
    <w:rPr>
      <w:rFonts w:eastAsia="仿宋_GB2312" w:cs="”“Times New Roman”“"/>
      <w:sz w:val="24"/>
      <w:szCs w:val="24"/>
      <w:lang w:val="en-US" w:eastAsia="en-US" w:bidi="ar-SA"/>
    </w:rPr>
  </w:style>
  <w:style w:type="character" w:customStyle="1" w:styleId="2124">
    <w:name w:val="xl26 Char Char"/>
    <w:uiPriority w:val="0"/>
    <w:rPr>
      <w:rFonts w:ascii="宋体" w:hAnsi="宋体"/>
      <w:sz w:val="21"/>
      <w:szCs w:val="21"/>
    </w:rPr>
  </w:style>
  <w:style w:type="character" w:customStyle="1" w:styleId="2125">
    <w:name w:val="xf1"/>
    <w:uiPriority w:val="0"/>
    <w:rPr>
      <w:rFonts w:hint="default" w:ascii="Arial" w:hAnsi="Arial" w:eastAsia="仿宋_GB2312" w:cs="Arial"/>
      <w:sz w:val="18"/>
      <w:szCs w:val="18"/>
      <w:lang w:val="en-US" w:eastAsia="en-US" w:bidi="ar-SA"/>
    </w:rPr>
  </w:style>
  <w:style w:type="character" w:customStyle="1" w:styleId="2126">
    <w:name w:val="样式 正文文本正文文字 Char正文文字Body Text 1正文文字1表标body textBody Text ... Char"/>
    <w:link w:val="712"/>
    <w:uiPriority w:val="0"/>
    <w:rPr>
      <w:rFonts w:ascii="Arial" w:hAnsi="Arial" w:cs="宋体"/>
      <w:spacing w:val="10"/>
      <w:kern w:val="2"/>
      <w:sz w:val="24"/>
      <w:lang w:val="zh-CN" w:eastAsia="zh-CN"/>
    </w:rPr>
  </w:style>
  <w:style w:type="character" w:customStyle="1" w:styleId="2127">
    <w:name w:val="样式 标题 4标题 4 Char Char标题 4 Char四款标题1.1.1.1表格1 + (符号) Arial1 Char"/>
    <w:link w:val="2128"/>
    <w:uiPriority w:val="0"/>
    <w:rPr>
      <w:rFonts w:ascii="Arial" w:hAnsi="宋体" w:eastAsia="仿宋_GB2312" w:cs="Arial"/>
      <w:b/>
      <w:bCs/>
      <w:spacing w:val="10"/>
      <w:kern w:val="2"/>
      <w:sz w:val="21"/>
      <w:szCs w:val="24"/>
      <w:u w:color="000000"/>
    </w:rPr>
  </w:style>
  <w:style w:type="paragraph" w:customStyle="1" w:styleId="2128">
    <w:name w:val="样式 标题 4标题 4 Char Char标题 4 Char四款标题1.1.1.1表格1 + (符号) Arial1"/>
    <w:basedOn w:val="6"/>
    <w:link w:val="2127"/>
    <w:uiPriority w:val="0"/>
    <w:pPr>
      <w:numPr>
        <w:ilvl w:val="0"/>
        <w:numId w:val="0"/>
      </w:numPr>
      <w:tabs>
        <w:tab w:val="left" w:pos="425"/>
        <w:tab w:val="left" w:pos="851"/>
      </w:tabs>
      <w:adjustRightInd/>
      <w:spacing w:after="120"/>
      <w:jc w:val="center"/>
    </w:pPr>
    <w:rPr>
      <w:rFonts w:hAnsi="宋体" w:cs="Arial"/>
      <w:bCs/>
      <w:spacing w:val="10"/>
      <w:sz w:val="21"/>
      <w:szCs w:val="24"/>
      <w:u w:color="000000"/>
      <w:lang w:val="en-US" w:eastAsia="zh-CN"/>
    </w:rPr>
  </w:style>
  <w:style w:type="character" w:customStyle="1" w:styleId="2129">
    <w:name w:val="lineh1"/>
    <w:basedOn w:val="132"/>
    <w:uiPriority w:val="0"/>
    <w:rPr>
      <w:rFonts w:eastAsia="仿宋_GB2312" w:cs="”“Times New Roman”“"/>
      <w:sz w:val="24"/>
      <w:szCs w:val="24"/>
      <w:lang w:val="en-US" w:eastAsia="en-US" w:bidi="ar-SA"/>
    </w:rPr>
  </w:style>
  <w:style w:type="character" w:customStyle="1" w:styleId="2130">
    <w:name w:val="Char Char6"/>
    <w:uiPriority w:val="0"/>
    <w:rPr>
      <w:rFonts w:ascii="仿宋_GB2312" w:eastAsia="仿宋_GB2312"/>
      <w:b/>
      <w:bCs/>
      <w:kern w:val="2"/>
      <w:sz w:val="24"/>
      <w:lang w:val="en-US" w:eastAsia="zh-CN" w:bidi="ar-SA"/>
    </w:rPr>
  </w:style>
  <w:style w:type="character" w:customStyle="1" w:styleId="2131">
    <w:name w:val="我的正文 Char"/>
    <w:link w:val="2132"/>
    <w:uiPriority w:val="0"/>
    <w:rPr>
      <w:rFonts w:eastAsia="仿宋_GB2312" w:cs="”“Times New Roman”“"/>
      <w:kern w:val="2"/>
      <w:sz w:val="28"/>
      <w:szCs w:val="24"/>
      <w:lang w:eastAsia="en-US"/>
    </w:rPr>
  </w:style>
  <w:style w:type="paragraph" w:customStyle="1" w:styleId="2132">
    <w:name w:val="我的正文"/>
    <w:basedOn w:val="1"/>
    <w:link w:val="2131"/>
    <w:uiPriority w:val="0"/>
    <w:pPr>
      <w:ind w:firstLine="538" w:firstLineChars="192"/>
    </w:pPr>
    <w:rPr>
      <w:rFonts w:cs="”“Times New Roman”“"/>
      <w:szCs w:val="24"/>
      <w:lang w:eastAsia="en-US"/>
    </w:rPr>
  </w:style>
  <w:style w:type="character" w:customStyle="1" w:styleId="2133">
    <w:name w:val="正文内容 Char"/>
    <w:link w:val="2134"/>
    <w:uiPriority w:val="0"/>
    <w:rPr>
      <w:rFonts w:ascii="仿宋_GB2312" w:eastAsia="仿宋_GB2312" w:cs="宋体"/>
      <w:kern w:val="2"/>
      <w:sz w:val="28"/>
      <w:szCs w:val="24"/>
      <w:lang w:eastAsia="en-US"/>
    </w:rPr>
  </w:style>
  <w:style w:type="paragraph" w:customStyle="1" w:styleId="2134">
    <w:name w:val="正文内容"/>
    <w:basedOn w:val="1"/>
    <w:link w:val="2133"/>
    <w:uiPriority w:val="0"/>
    <w:pPr>
      <w:adjustRightInd w:val="0"/>
      <w:snapToGrid w:val="0"/>
      <w:spacing w:line="324" w:lineRule="auto"/>
      <w:ind w:firstLine="200" w:firstLineChars="200"/>
      <w:jc w:val="left"/>
    </w:pPr>
    <w:rPr>
      <w:rFonts w:ascii="仿宋_GB2312" w:cs="宋体"/>
      <w:szCs w:val="24"/>
      <w:lang w:eastAsia="en-US"/>
    </w:rPr>
  </w:style>
  <w:style w:type="character" w:customStyle="1" w:styleId="2135">
    <w:name w:val="l131"/>
    <w:uiPriority w:val="0"/>
    <w:rPr>
      <w:rFonts w:eastAsia="仿宋_GB2312" w:cs="”“Times New Roman”“"/>
      <w:sz w:val="18"/>
      <w:szCs w:val="18"/>
      <w:lang w:val="en-US" w:eastAsia="en-US" w:bidi="ar-SA"/>
    </w:rPr>
  </w:style>
  <w:style w:type="character" w:customStyle="1" w:styleId="2136">
    <w:name w:val="文章正文样式 Char Char1"/>
    <w:link w:val="2137"/>
    <w:uiPriority w:val="0"/>
    <w:rPr>
      <w:rFonts w:ascii="宋体" w:hAnsi="宋体" w:eastAsia="仿宋_GB2312" w:cs="宋体"/>
      <w:kern w:val="2"/>
      <w:sz w:val="24"/>
      <w:szCs w:val="24"/>
      <w:lang w:eastAsia="en-US"/>
    </w:rPr>
  </w:style>
  <w:style w:type="paragraph" w:customStyle="1" w:styleId="2137">
    <w:name w:val="文章正文样式 Char1"/>
    <w:basedOn w:val="1"/>
    <w:link w:val="2136"/>
    <w:uiPriority w:val="0"/>
    <w:pPr>
      <w:spacing w:line="520" w:lineRule="exact"/>
      <w:ind w:firstLine="480" w:firstLineChars="200"/>
      <w:jc w:val="left"/>
    </w:pPr>
    <w:rPr>
      <w:rFonts w:ascii="宋体" w:hAnsi="宋体" w:cs="宋体"/>
      <w:sz w:val="24"/>
      <w:szCs w:val="24"/>
      <w:lang w:eastAsia="en-US"/>
    </w:rPr>
  </w:style>
  <w:style w:type="character" w:customStyle="1" w:styleId="2138">
    <w:name w:val="3级标题 + 首行缩进:  2 字符 + Times New Roman Char"/>
    <w:link w:val="2139"/>
    <w:uiPriority w:val="0"/>
    <w:rPr>
      <w:bCs/>
      <w:color w:val="000000"/>
      <w:kern w:val="2"/>
      <w:sz w:val="24"/>
    </w:rPr>
  </w:style>
  <w:style w:type="paragraph" w:customStyle="1" w:styleId="2139">
    <w:name w:val="3级标题 + 首行缩进:  2 字符 + Times New Roman"/>
    <w:basedOn w:val="1"/>
    <w:link w:val="2138"/>
    <w:uiPriority w:val="0"/>
    <w:pPr>
      <w:spacing w:before="60" w:line="460" w:lineRule="exact"/>
      <w:ind w:firstLine="200" w:firstLineChars="200"/>
    </w:pPr>
    <w:rPr>
      <w:rFonts w:eastAsia="宋体"/>
      <w:bCs/>
      <w:color w:val="000000"/>
      <w:sz w:val="24"/>
    </w:rPr>
  </w:style>
  <w:style w:type="character" w:customStyle="1" w:styleId="2140">
    <w:name w:val="标题 2标题节标题 2 Char标题节 Char Char标题 2 Char Char Char节H2Hea... ... Char Char"/>
    <w:link w:val="2141"/>
    <w:uiPriority w:val="0"/>
    <w:rPr>
      <w:rFonts w:cs="”“Times New Roman”“"/>
      <w:b/>
      <w:bCs/>
      <w:kern w:val="2"/>
      <w:sz w:val="26"/>
      <w:szCs w:val="24"/>
      <w:lang w:val="en-GB"/>
    </w:rPr>
  </w:style>
  <w:style w:type="paragraph" w:customStyle="1" w:styleId="2141">
    <w:name w:val="标题 2标题节标题 2 Char标题节 Char Char标题 2 Char Char Char节H2Hea... ..."/>
    <w:basedOn w:val="1"/>
    <w:link w:val="2140"/>
    <w:uiPriority w:val="0"/>
    <w:pPr>
      <w:keepNext/>
      <w:keepLines/>
      <w:spacing w:line="480" w:lineRule="exact"/>
      <w:outlineLvl w:val="1"/>
    </w:pPr>
    <w:rPr>
      <w:rFonts w:eastAsia="宋体" w:cs="”“Times New Roman”“"/>
      <w:b/>
      <w:bCs/>
      <w:sz w:val="26"/>
      <w:szCs w:val="24"/>
      <w:lang w:val="en-GB"/>
    </w:rPr>
  </w:style>
  <w:style w:type="character" w:customStyle="1" w:styleId="2142">
    <w:name w:val="font21"/>
    <w:uiPriority w:val="0"/>
    <w:rPr>
      <w:rFonts w:hint="default" w:ascii="Times New Roman" w:hAnsi="Times New Roman" w:cs="Times New Roman"/>
      <w:color w:val="FF0000"/>
      <w:sz w:val="21"/>
      <w:szCs w:val="21"/>
      <w:u w:val="none"/>
    </w:rPr>
  </w:style>
  <w:style w:type="character" w:customStyle="1" w:styleId="2143">
    <w:name w:val="15"/>
    <w:uiPriority w:val="0"/>
    <w:rPr>
      <w:rFonts w:hint="default" w:ascii="Calibri" w:hAnsi="Calibri" w:eastAsia="仿宋_GB2312" w:cs="”“Times New Roman”“"/>
      <w:color w:val="333333"/>
      <w:sz w:val="18"/>
      <w:szCs w:val="18"/>
      <w:lang w:val="en-US" w:eastAsia="en-US" w:bidi="ar-SA"/>
    </w:rPr>
  </w:style>
  <w:style w:type="paragraph" w:customStyle="1" w:styleId="2144">
    <w:name w:val="Char Char Char Char Char Char Char5"/>
    <w:basedOn w:val="1"/>
    <w:uiPriority w:val="0"/>
    <w:rPr>
      <w:rFonts w:eastAsia="宋体"/>
      <w:sz w:val="21"/>
      <w:szCs w:val="24"/>
    </w:rPr>
  </w:style>
  <w:style w:type="paragraph" w:customStyle="1" w:styleId="2145">
    <w:name w:val="样式 标题 1标题章标题 1 Char标题章 Char Char Char Char标题 1 Char Char章标题...1"/>
    <w:basedOn w:val="2"/>
    <w:uiPriority w:val="0"/>
    <w:rPr>
      <w:rFonts w:cs="宋体"/>
      <w:bCs/>
      <w:lang w:val="en-US" w:eastAsia="zh-CN"/>
    </w:rPr>
  </w:style>
  <w:style w:type="paragraph" w:customStyle="1" w:styleId="2146">
    <w:name w:val="样式 标题 3标题 3 Char小节标题标题 一头条标题1.1.1小标题3h33rd levelH3l3...1"/>
    <w:basedOn w:val="5"/>
    <w:uiPriority w:val="0"/>
    <w:pPr>
      <w:numPr>
        <w:ilvl w:val="0"/>
        <w:numId w:val="0"/>
      </w:numPr>
      <w:tabs>
        <w:tab w:val="left" w:pos="720"/>
      </w:tabs>
      <w:spacing w:before="0" w:after="0" w:line="460" w:lineRule="exact"/>
      <w:ind w:left="720" w:hanging="720"/>
      <w:jc w:val="left"/>
    </w:pPr>
    <w:rPr>
      <w:rFonts w:ascii="Times New Roman" w:eastAsia="宋体" w:cs="宋体"/>
      <w:color w:val="000000"/>
      <w:kern w:val="2"/>
      <w:lang w:val="en-US" w:eastAsia="zh-CN"/>
    </w:rPr>
  </w:style>
  <w:style w:type="paragraph" w:customStyle="1" w:styleId="2147">
    <w:name w:val="Char Char Char Char Char Char1 Char Char Char Char4"/>
    <w:basedOn w:val="1"/>
    <w:uiPriority w:val="0"/>
    <w:rPr>
      <w:rFonts w:eastAsia="宋体"/>
      <w:sz w:val="24"/>
      <w:szCs w:val="24"/>
    </w:rPr>
  </w:style>
  <w:style w:type="paragraph" w:customStyle="1" w:styleId="2148">
    <w:name w:val="样式 (西文) Arial (中文) 宋体 小四 首行缩进:  2 字符"/>
    <w:basedOn w:val="1"/>
    <w:uiPriority w:val="0"/>
    <w:pPr>
      <w:ind w:firstLine="449" w:firstLineChars="200"/>
    </w:pPr>
    <w:rPr>
      <w:rFonts w:ascii="Arial" w:hAnsi="Arial" w:eastAsia="宋体" w:cs="宋体"/>
      <w:sz w:val="24"/>
    </w:rPr>
  </w:style>
  <w:style w:type="paragraph" w:customStyle="1" w:styleId="2149">
    <w:name w:val="样式 标题 1 + (中文) 宋体 居中"/>
    <w:basedOn w:val="2"/>
    <w:uiPriority w:val="0"/>
    <w:pPr>
      <w:pageBreakBefore w:val="0"/>
      <w:spacing w:before="100" w:beforeAutospacing="1" w:after="100" w:afterAutospacing="1" w:line="360" w:lineRule="auto"/>
      <w:ind w:left="0" w:firstLine="0"/>
    </w:pPr>
    <w:rPr>
      <w:rFonts w:cs="宋体"/>
      <w:bCs/>
      <w:sz w:val="44"/>
      <w:lang w:val="en-US" w:eastAsia="zh-CN"/>
    </w:rPr>
  </w:style>
  <w:style w:type="paragraph" w:customStyle="1" w:styleId="2150">
    <w:name w:val="Char Char Char1 Char5"/>
    <w:basedOn w:val="1"/>
    <w:uiPriority w:val="0"/>
    <w:rPr>
      <w:rFonts w:eastAsia="宋体"/>
      <w:sz w:val="21"/>
      <w:szCs w:val="24"/>
    </w:rPr>
  </w:style>
  <w:style w:type="paragraph" w:customStyle="1" w:styleId="2151">
    <w:name w:val="Char Char Char1 Char Char Char Char"/>
    <w:basedOn w:val="1"/>
    <w:uiPriority w:val="0"/>
    <w:pPr>
      <w:tabs>
        <w:tab w:val="left" w:pos="794"/>
        <w:tab w:val="left" w:pos="1191"/>
        <w:tab w:val="left" w:pos="1588"/>
        <w:tab w:val="left" w:pos="1985"/>
      </w:tabs>
      <w:autoSpaceDE w:val="0"/>
      <w:autoSpaceDN w:val="0"/>
      <w:adjustRightInd w:val="0"/>
      <w:spacing w:before="136"/>
    </w:pPr>
    <w:rPr>
      <w:rFonts w:ascii="Tahoma" w:hAnsi="Tahoma" w:eastAsia="宋体"/>
      <w:sz w:val="24"/>
      <w:szCs w:val="24"/>
      <w:lang w:val="en-GB"/>
    </w:rPr>
  </w:style>
  <w:style w:type="paragraph" w:customStyle="1" w:styleId="2152">
    <w:name w:val="Char1 Char Char Char3"/>
    <w:basedOn w:val="1"/>
    <w:uiPriority w:val="0"/>
    <w:rPr>
      <w:rFonts w:eastAsia="宋体"/>
      <w:sz w:val="21"/>
      <w:szCs w:val="24"/>
    </w:rPr>
  </w:style>
  <w:style w:type="paragraph" w:customStyle="1" w:styleId="2153">
    <w:name w:val="正文文本缩进 25"/>
    <w:basedOn w:val="1"/>
    <w:uiPriority w:val="0"/>
    <w:pPr>
      <w:autoSpaceDE w:val="0"/>
      <w:autoSpaceDN w:val="0"/>
      <w:adjustRightInd w:val="0"/>
      <w:spacing w:before="120" w:line="295" w:lineRule="atLeast"/>
      <w:ind w:firstLine="570"/>
      <w:textAlignment w:val="baseline"/>
    </w:pPr>
    <w:rPr>
      <w:rFonts w:ascii="宋体" w:hAnsi="Tms Rmn" w:eastAsia="宋体"/>
      <w:kern w:val="0"/>
    </w:rPr>
  </w:style>
  <w:style w:type="paragraph" w:customStyle="1" w:styleId="2154">
    <w:name w:val="二号标题样式"/>
    <w:basedOn w:val="1"/>
    <w:uiPriority w:val="0"/>
    <w:pPr>
      <w:keepNext/>
      <w:keepLines/>
      <w:spacing w:before="50" w:beforeLines="50" w:after="50" w:afterLines="50" w:line="520" w:lineRule="exact"/>
      <w:outlineLvl w:val="2"/>
    </w:pPr>
    <w:rPr>
      <w:rFonts w:ascii="Arial" w:hAnsi="Arial" w:eastAsia="黑体" w:cs="宋体"/>
    </w:rPr>
  </w:style>
  <w:style w:type="paragraph" w:customStyle="1" w:styleId="2155">
    <w:name w:val="样式 样式 样式 标题 1标题章标题 1 Char标题章 Char Char Char Char标题 1 Char CharH1..."/>
    <w:basedOn w:val="1"/>
    <w:uiPriority w:val="0"/>
    <w:pPr>
      <w:keepNext/>
      <w:spacing w:beforeLines="1400" w:afterLines="100" w:line="440" w:lineRule="exact"/>
      <w:ind w:firstLine="885"/>
      <w:jc w:val="left"/>
      <w:outlineLvl w:val="0"/>
    </w:pPr>
    <w:rPr>
      <w:rFonts w:eastAsia="宋体" w:cs="宋体"/>
      <w:b/>
      <w:bCs/>
      <w:color w:val="CC0099"/>
      <w:sz w:val="44"/>
    </w:rPr>
  </w:style>
  <w:style w:type="paragraph" w:customStyle="1" w:styleId="2156">
    <w:name w:val="Char Char Char Char Char Char Char Char Char1 Char Char Char Char Char Char Char Char Char Char"/>
    <w:basedOn w:val="1"/>
    <w:semiHidden/>
    <w:uiPriority w:val="0"/>
    <w:rPr>
      <w:rFonts w:ascii="宋体" w:hAnsi="宋体" w:eastAsia="宋体" w:cs="Courier New"/>
      <w:sz w:val="32"/>
      <w:szCs w:val="32"/>
    </w:rPr>
  </w:style>
  <w:style w:type="paragraph" w:customStyle="1" w:styleId="2157">
    <w:name w:val="正文首行缩进5"/>
    <w:basedOn w:val="33"/>
    <w:uiPriority w:val="0"/>
    <w:pPr>
      <w:tabs>
        <w:tab w:val="left" w:pos="7840"/>
      </w:tabs>
      <w:adjustRightInd w:val="0"/>
      <w:spacing w:line="360" w:lineRule="auto"/>
      <w:ind w:firstLine="567"/>
      <w:textAlignment w:val="baseline"/>
    </w:pPr>
    <w:rPr>
      <w:rFonts w:eastAsia="宋体"/>
      <w:kern w:val="28"/>
    </w:rPr>
  </w:style>
  <w:style w:type="paragraph" w:customStyle="1" w:styleId="2158">
    <w:name w:val="段落 Char"/>
    <w:basedOn w:val="1"/>
    <w:uiPriority w:val="0"/>
    <w:pPr>
      <w:topLinePunct/>
      <w:snapToGrid w:val="0"/>
      <w:spacing w:line="360" w:lineRule="auto"/>
      <w:ind w:firstLine="200" w:firstLineChars="200"/>
    </w:pPr>
    <w:rPr>
      <w:rFonts w:eastAsia="宋体"/>
      <w:sz w:val="24"/>
      <w:szCs w:val="24"/>
    </w:rPr>
  </w:style>
  <w:style w:type="paragraph" w:customStyle="1" w:styleId="2159">
    <w:name w:val="Char Char Char Char Char Char Char Char 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kern w:val="0"/>
      <w:sz w:val="24"/>
      <w:lang w:eastAsia="en-US"/>
    </w:rPr>
  </w:style>
  <w:style w:type="paragraph" w:customStyle="1" w:styleId="2160">
    <w:name w:val="正文2 Char Char Char Char Char Char Char Char Char Char Char Char1 Char Char Char Char Char Char Char Char1 Char Char Char Char Char Char"/>
    <w:basedOn w:val="1"/>
    <w:uiPriority w:val="0"/>
    <w:pPr>
      <w:widowControl/>
      <w:spacing w:line="360" w:lineRule="auto"/>
      <w:jc w:val="center"/>
    </w:pPr>
    <w:rPr>
      <w:rFonts w:eastAsia="黑体"/>
      <w:kern w:val="0"/>
      <w:sz w:val="32"/>
      <w:lang w:eastAsia="en-US"/>
    </w:rPr>
  </w:style>
  <w:style w:type="paragraph" w:customStyle="1" w:styleId="2161">
    <w:name w:val="Char Char1 Char Char Char Char Char Char Char Char Char Char Char Char Char Char Char Char Char Char Char Char1 Char5"/>
    <w:basedOn w:val="1"/>
    <w:uiPriority w:val="0"/>
    <w:pPr>
      <w:spacing w:line="360" w:lineRule="auto"/>
      <w:ind w:firstLine="200" w:firstLineChars="200"/>
    </w:pPr>
    <w:rPr>
      <w:rFonts w:ascii="宋体" w:hAnsi="宋体" w:eastAsia="宋体" w:cs="宋体"/>
      <w:sz w:val="24"/>
      <w:szCs w:val="24"/>
    </w:rPr>
  </w:style>
  <w:style w:type="paragraph" w:customStyle="1" w:styleId="2162">
    <w:name w:val="一号标题"/>
    <w:basedOn w:val="3"/>
    <w:uiPriority w:val="0"/>
    <w:pPr>
      <w:numPr>
        <w:ilvl w:val="0"/>
        <w:numId w:val="0"/>
      </w:numPr>
      <w:spacing w:before="240" w:after="240" w:line="520" w:lineRule="exact"/>
      <w:jc w:val="left"/>
    </w:pPr>
    <w:rPr>
      <w:rFonts w:ascii="Arial"/>
      <w:kern w:val="24"/>
      <w:sz w:val="32"/>
      <w:szCs w:val="32"/>
      <w:lang w:val="en-US" w:eastAsia="zh-CN"/>
    </w:rPr>
  </w:style>
  <w:style w:type="paragraph" w:customStyle="1" w:styleId="2163">
    <w:name w:val="Char Char Char Char Char Char Char Char Char Char Char Char Char Char Char Char4"/>
    <w:basedOn w:val="1"/>
    <w:next w:val="1"/>
    <w:uiPriority w:val="0"/>
    <w:rPr>
      <w:rFonts w:eastAsia="宋体"/>
      <w:sz w:val="21"/>
      <w:szCs w:val="24"/>
    </w:rPr>
  </w:style>
  <w:style w:type="paragraph" w:customStyle="1" w:styleId="2164">
    <w:name w:val="Char24"/>
    <w:basedOn w:val="1"/>
    <w:uiPriority w:val="0"/>
    <w:pPr>
      <w:spacing w:line="360" w:lineRule="auto"/>
      <w:ind w:firstLine="200" w:firstLineChars="200"/>
    </w:pPr>
    <w:rPr>
      <w:rFonts w:ascii="宋体" w:hAnsi="宋体" w:eastAsia="宋体" w:cs="宋体"/>
      <w:sz w:val="24"/>
      <w:szCs w:val="24"/>
    </w:rPr>
  </w:style>
  <w:style w:type="paragraph" w:customStyle="1" w:styleId="2165">
    <w:name w:val="xiang3"/>
    <w:basedOn w:val="1"/>
    <w:qFormat/>
    <w:uiPriority w:val="0"/>
    <w:pPr>
      <w:jc w:val="center"/>
    </w:pPr>
    <w:rPr>
      <w:rFonts w:eastAsia="宋体"/>
      <w:b/>
      <w:sz w:val="24"/>
    </w:rPr>
  </w:style>
  <w:style w:type="paragraph" w:customStyle="1" w:styleId="2166">
    <w:name w:val="Char Char1 Char Char Char Char Char Char Char Char Char Char Char Char Char Char Char Char Char Char4"/>
    <w:basedOn w:val="1"/>
    <w:uiPriority w:val="0"/>
    <w:pPr>
      <w:spacing w:line="360" w:lineRule="auto"/>
      <w:ind w:firstLine="200" w:firstLineChars="200"/>
    </w:pPr>
    <w:rPr>
      <w:rFonts w:ascii="宋体" w:hAnsi="宋体" w:eastAsia="宋体" w:cs="宋体"/>
      <w:sz w:val="24"/>
      <w:szCs w:val="24"/>
    </w:rPr>
  </w:style>
  <w:style w:type="paragraph" w:customStyle="1" w:styleId="2167">
    <w:name w:val="Char Char Char Char Char Char5"/>
    <w:basedOn w:val="1"/>
    <w:uiPriority w:val="0"/>
    <w:pPr>
      <w:widowControl/>
      <w:spacing w:after="160" w:line="240" w:lineRule="exact"/>
      <w:jc w:val="left"/>
    </w:pPr>
    <w:rPr>
      <w:rFonts w:ascii="Tahoma" w:hAnsi="Tahoma" w:eastAsia="宋体"/>
      <w:kern w:val="0"/>
      <w:sz w:val="20"/>
      <w:lang w:eastAsia="en-US"/>
    </w:rPr>
  </w:style>
  <w:style w:type="paragraph" w:customStyle="1" w:styleId="2168">
    <w:name w:val="1.1.1"/>
    <w:next w:val="540"/>
    <w:uiPriority w:val="0"/>
    <w:pPr>
      <w:spacing w:before="50" w:after="50" w:line="300" w:lineRule="auto"/>
      <w:jc w:val="both"/>
    </w:pPr>
    <w:rPr>
      <w:rFonts w:ascii="宋体" w:hAnsi="Times New Roman" w:eastAsia="宋体" w:cs="Times New Roman"/>
      <w:b/>
      <w:spacing w:val="10"/>
      <w:sz w:val="24"/>
      <w:lang w:val="en-US" w:eastAsia="zh-CN" w:bidi="ar-SA"/>
    </w:rPr>
  </w:style>
  <w:style w:type="paragraph" w:customStyle="1" w:styleId="2169">
    <w:name w:val="字元 字元6"/>
    <w:basedOn w:val="1"/>
    <w:uiPriority w:val="0"/>
    <w:pPr>
      <w:spacing w:line="360" w:lineRule="auto"/>
      <w:ind w:firstLine="200" w:firstLineChars="200"/>
    </w:pPr>
    <w:rPr>
      <w:rFonts w:ascii="宋体" w:hAnsi="宋体" w:eastAsia="宋体" w:cs="宋体"/>
      <w:sz w:val="24"/>
      <w:szCs w:val="24"/>
    </w:rPr>
  </w:style>
  <w:style w:type="paragraph" w:customStyle="1" w:styleId="2170">
    <w:name w:val="Char Char Char Char Char Char Char Char Char Char Char Char Char4"/>
    <w:basedOn w:val="1"/>
    <w:uiPriority w:val="0"/>
    <w:pPr>
      <w:spacing w:line="360" w:lineRule="auto"/>
      <w:ind w:firstLine="200" w:firstLineChars="200"/>
    </w:pPr>
    <w:rPr>
      <w:rFonts w:ascii="宋体" w:hAnsi="宋体" w:eastAsia="宋体" w:cs="宋体"/>
      <w:sz w:val="24"/>
      <w:szCs w:val="24"/>
    </w:rPr>
  </w:style>
  <w:style w:type="paragraph" w:customStyle="1" w:styleId="2171">
    <w:name w:val="样式 标题 3 + 自动设置"/>
    <w:basedOn w:val="5"/>
    <w:uiPriority w:val="0"/>
    <w:pPr>
      <w:numPr>
        <w:ilvl w:val="0"/>
        <w:numId w:val="0"/>
      </w:numPr>
      <w:tabs>
        <w:tab w:val="left" w:pos="530"/>
        <w:tab w:val="left" w:pos="709"/>
      </w:tabs>
      <w:spacing w:before="0" w:after="0" w:line="360" w:lineRule="auto"/>
      <w:ind w:left="1821" w:hanging="420"/>
    </w:pPr>
    <w:rPr>
      <w:rFonts w:ascii="Times New Roman"/>
      <w:kern w:val="2"/>
      <w:szCs w:val="24"/>
      <w:lang w:val="en-US" w:eastAsia="zh-CN"/>
    </w:rPr>
  </w:style>
  <w:style w:type="paragraph" w:customStyle="1" w:styleId="2172">
    <w:name w:val="样式 正文文本缩进 + 左侧:  2 字符 首行缩进:  2 字符"/>
    <w:basedOn w:val="1"/>
    <w:semiHidden/>
    <w:uiPriority w:val="0"/>
    <w:pPr>
      <w:adjustRightInd w:val="0"/>
      <w:snapToGrid w:val="0"/>
      <w:spacing w:after="120" w:line="360" w:lineRule="auto"/>
      <w:ind w:firstLine="560" w:firstLineChars="200"/>
    </w:pPr>
    <w:rPr>
      <w:rFonts w:eastAsia="宋体" w:cs="宋体"/>
      <w:sz w:val="24"/>
      <w:szCs w:val="28"/>
    </w:rPr>
  </w:style>
  <w:style w:type="paragraph" w:customStyle="1" w:styleId="2173">
    <w:name w:val="Char Char1 Char Char Char Char Char Char Char Char Char Char Char Char Char Char Char Char Char Char Char Char Char"/>
    <w:basedOn w:val="1"/>
    <w:uiPriority w:val="0"/>
    <w:pPr>
      <w:spacing w:line="360" w:lineRule="auto"/>
      <w:ind w:firstLine="200" w:firstLineChars="200"/>
    </w:pPr>
    <w:rPr>
      <w:rFonts w:ascii="宋体" w:hAnsi="宋体" w:eastAsia="宋体" w:cs="宋体"/>
      <w:sz w:val="24"/>
      <w:szCs w:val="24"/>
    </w:rPr>
  </w:style>
  <w:style w:type="paragraph" w:customStyle="1" w:styleId="2174">
    <w:name w:val="Char34"/>
    <w:basedOn w:val="1"/>
    <w:uiPriority w:val="0"/>
    <w:pPr>
      <w:spacing w:line="360" w:lineRule="auto"/>
      <w:ind w:firstLine="200" w:firstLineChars="200"/>
    </w:pPr>
    <w:rPr>
      <w:rFonts w:ascii="宋体" w:hAnsi="宋体" w:eastAsia="宋体" w:cs="宋体"/>
      <w:sz w:val="24"/>
      <w:szCs w:val="24"/>
    </w:rPr>
  </w:style>
  <w:style w:type="paragraph" w:customStyle="1" w:styleId="2175">
    <w:name w:val="字元 字元14"/>
    <w:basedOn w:val="1"/>
    <w:uiPriority w:val="0"/>
    <w:pPr>
      <w:spacing w:line="360" w:lineRule="auto"/>
      <w:ind w:firstLine="200" w:firstLineChars="200"/>
    </w:pPr>
    <w:rPr>
      <w:rFonts w:ascii="宋体" w:hAnsi="宋体" w:eastAsia="宋体" w:cs="宋体"/>
      <w:sz w:val="24"/>
      <w:szCs w:val="24"/>
    </w:rPr>
  </w:style>
  <w:style w:type="paragraph" w:customStyle="1" w:styleId="2176">
    <w:name w:val="样式 标题 4款标题1.1.1.1标题 4 Char Char标题 4 Char四目H4H41L4Minor ..."/>
    <w:basedOn w:val="6"/>
    <w:uiPriority w:val="0"/>
    <w:pPr>
      <w:numPr>
        <w:ilvl w:val="0"/>
        <w:numId w:val="0"/>
      </w:numPr>
      <w:tabs>
        <w:tab w:val="left" w:pos="851"/>
        <w:tab w:val="left" w:pos="1211"/>
        <w:tab w:val="left" w:pos="2356"/>
      </w:tabs>
      <w:spacing w:line="360" w:lineRule="auto"/>
      <w:ind w:left="1984" w:hanging="708"/>
      <w:jc w:val="center"/>
    </w:pPr>
    <w:rPr>
      <w:rFonts w:ascii="仿宋_GB2312" w:hAnsi="Times New Roman" w:eastAsia="宋体" w:cs="宋体"/>
      <w:bCs/>
      <w:kern w:val="0"/>
      <w:lang w:val="en-US" w:eastAsia="zh-CN"/>
    </w:rPr>
  </w:style>
  <w:style w:type="paragraph" w:customStyle="1" w:styleId="2177">
    <w:name w:val="Char Char Char Char Char Char Char Char Char Char5"/>
    <w:basedOn w:val="1"/>
    <w:uiPriority w:val="0"/>
    <w:pPr>
      <w:spacing w:line="360" w:lineRule="auto"/>
      <w:ind w:firstLine="200" w:firstLineChars="200"/>
    </w:pPr>
    <w:rPr>
      <w:rFonts w:ascii="宋体" w:hAnsi="宋体" w:eastAsia="宋体" w:cs="宋体"/>
      <w:sz w:val="24"/>
      <w:szCs w:val="24"/>
    </w:rPr>
  </w:style>
  <w:style w:type="paragraph" w:customStyle="1" w:styleId="2178">
    <w:name w:val="段落 Char Char Char"/>
    <w:basedOn w:val="1"/>
    <w:uiPriority w:val="0"/>
    <w:pPr>
      <w:topLinePunct/>
      <w:snapToGrid w:val="0"/>
      <w:spacing w:line="360" w:lineRule="auto"/>
      <w:ind w:firstLine="200" w:firstLineChars="200"/>
    </w:pPr>
    <w:rPr>
      <w:rFonts w:eastAsia="宋体"/>
      <w:sz w:val="24"/>
      <w:szCs w:val="24"/>
    </w:rPr>
  </w:style>
  <w:style w:type="paragraph" w:customStyle="1" w:styleId="2179">
    <w:name w:val="样式 标题 1标题章标题 1 Char标题章 Char Char Char Char标题 1 Char Char章标题...2"/>
    <w:basedOn w:val="2"/>
    <w:uiPriority w:val="0"/>
    <w:rPr>
      <w:rFonts w:cs="宋体"/>
      <w:bCs/>
      <w:lang w:val="en-US" w:eastAsia="zh-CN"/>
    </w:rPr>
  </w:style>
  <w:style w:type="paragraph" w:customStyle="1" w:styleId="2180">
    <w:name w:val="样式 标题 3标题 3 Char + 行距: 1.5 倍行距1"/>
    <w:basedOn w:val="5"/>
    <w:uiPriority w:val="0"/>
    <w:pPr>
      <w:keepLines w:val="0"/>
      <w:numPr>
        <w:ilvl w:val="0"/>
        <w:numId w:val="0"/>
      </w:numPr>
      <w:spacing w:before="0" w:after="0" w:line="360" w:lineRule="auto"/>
      <w:ind w:left="709" w:hanging="709"/>
    </w:pPr>
    <w:rPr>
      <w:rFonts w:ascii="宋体" w:hAnsi="宋体" w:eastAsia="宋体"/>
      <w:bCs w:val="0"/>
      <w:kern w:val="2"/>
      <w:lang w:val="en-US" w:eastAsia="zh-CN"/>
    </w:rPr>
  </w:style>
  <w:style w:type="paragraph" w:customStyle="1" w:styleId="2181">
    <w:name w:val="Char Char1 Char5"/>
    <w:basedOn w:val="25"/>
    <w:uiPriority w:val="0"/>
    <w:pPr>
      <w:adjustRightInd w:val="0"/>
      <w:spacing w:line="436" w:lineRule="exact"/>
      <w:ind w:left="357"/>
      <w:jc w:val="left"/>
      <w:outlineLvl w:val="3"/>
    </w:pPr>
    <w:rPr>
      <w:rFonts w:ascii="Tahoma" w:hAnsi="Tahoma" w:eastAsia="宋体"/>
      <w:b/>
      <w:sz w:val="24"/>
      <w:lang w:val="en-US" w:eastAsia="zh-CN"/>
    </w:rPr>
  </w:style>
  <w:style w:type="paragraph" w:customStyle="1" w:styleId="2182">
    <w:name w:val="表文字"/>
    <w:basedOn w:val="1"/>
    <w:uiPriority w:val="0"/>
    <w:pPr>
      <w:overflowPunct w:val="0"/>
      <w:autoSpaceDE w:val="0"/>
      <w:autoSpaceDN w:val="0"/>
      <w:adjustRightInd w:val="0"/>
      <w:spacing w:line="240" w:lineRule="atLeast"/>
      <w:jc w:val="center"/>
      <w:textAlignment w:val="baseline"/>
    </w:pPr>
    <w:rPr>
      <w:rFonts w:eastAsia="宋体"/>
      <w:kern w:val="0"/>
      <w:sz w:val="24"/>
    </w:rPr>
  </w:style>
  <w:style w:type="paragraph" w:customStyle="1" w:styleId="2183">
    <w:name w:val="不缩进"/>
    <w:basedOn w:val="1"/>
    <w:uiPriority w:val="0"/>
    <w:pPr>
      <w:spacing w:line="360" w:lineRule="auto"/>
    </w:pPr>
    <w:rPr>
      <w:rFonts w:ascii="宋体" w:hAnsi="宋体" w:eastAsia="宋体" w:cs="宋体"/>
      <w:kern w:val="0"/>
      <w:szCs w:val="32"/>
    </w:rPr>
  </w:style>
  <w:style w:type="paragraph" w:customStyle="1" w:styleId="2184">
    <w:name w:val="样式 居中 行距: 固定值 20 磅"/>
    <w:basedOn w:val="1"/>
    <w:uiPriority w:val="0"/>
    <w:pPr>
      <w:spacing w:line="400" w:lineRule="exact"/>
      <w:jc w:val="center"/>
    </w:pPr>
    <w:rPr>
      <w:rFonts w:eastAsia="宋体"/>
      <w:sz w:val="24"/>
      <w:szCs w:val="24"/>
    </w:rPr>
  </w:style>
  <w:style w:type="paragraph" w:customStyle="1" w:styleId="2185">
    <w:name w:val="正文LA"/>
    <w:uiPriority w:val="0"/>
    <w:pPr>
      <w:widowControl w:val="0"/>
      <w:tabs>
        <w:tab w:val="left" w:pos="0"/>
      </w:tabs>
      <w:adjustRightInd w:val="0"/>
      <w:spacing w:before="50" w:beforeLines="50" w:line="360" w:lineRule="auto"/>
      <w:ind w:firstLine="225" w:firstLineChars="225"/>
      <w:jc w:val="both"/>
    </w:pPr>
    <w:rPr>
      <w:rFonts w:ascii="宋体" w:hAnsi="宋体" w:eastAsia="宋体" w:cs="Times New Roman"/>
      <w:snapToGrid w:val="0"/>
      <w:sz w:val="24"/>
      <w:lang w:val="en-US" w:eastAsia="zh-CN" w:bidi="ar-SA"/>
    </w:rPr>
  </w:style>
  <w:style w:type="paragraph" w:customStyle="1" w:styleId="2186">
    <w:name w:val="样式 3级标题 + 行距: 固定值 25 磅"/>
    <w:basedOn w:val="290"/>
    <w:uiPriority w:val="0"/>
    <w:pPr>
      <w:spacing w:before="60" w:line="500" w:lineRule="exact"/>
      <w:jc w:val="left"/>
    </w:pPr>
    <w:rPr>
      <w:rFonts w:eastAsia="仿宋_GB2312" w:cs="宋体"/>
      <w:bCs/>
      <w:color w:val="auto"/>
      <w:kern w:val="0"/>
      <w:sz w:val="28"/>
      <w:szCs w:val="20"/>
      <w:lang w:val="en-US" w:eastAsia="en-US"/>
    </w:rPr>
  </w:style>
  <w:style w:type="paragraph" w:customStyle="1" w:styleId="2187">
    <w:name w:val="Char Char Char Char Char Char Char Char4"/>
    <w:basedOn w:val="1"/>
    <w:uiPriority w:val="0"/>
    <w:pPr>
      <w:widowControl/>
      <w:jc w:val="left"/>
    </w:pPr>
    <w:rPr>
      <w:rFonts w:ascii="Tahoma" w:hAnsi="Tahoma" w:eastAsia="宋体" w:cs="Tahoma"/>
      <w:snapToGrid w:val="0"/>
      <w:color w:val="000000"/>
      <w:kern w:val="0"/>
      <w:sz w:val="24"/>
      <w:szCs w:val="24"/>
    </w:rPr>
  </w:style>
  <w:style w:type="paragraph" w:customStyle="1" w:styleId="2188">
    <w:name w:val="1正文段落"/>
    <w:basedOn w:val="1"/>
    <w:uiPriority w:val="0"/>
    <w:pPr>
      <w:widowControl/>
      <w:spacing w:line="360" w:lineRule="auto"/>
      <w:ind w:firstLine="480" w:firstLineChars="200"/>
      <w:jc w:val="left"/>
    </w:pPr>
    <w:rPr>
      <w:rFonts w:ascii="宋体" w:hAnsi="宋体" w:eastAsia="宋体" w:cs="宋体"/>
      <w:snapToGrid w:val="0"/>
      <w:kern w:val="0"/>
      <w:sz w:val="24"/>
      <w:szCs w:val="24"/>
    </w:rPr>
  </w:style>
  <w:style w:type="paragraph" w:customStyle="1" w:styleId="2189">
    <w:name w:val="表格文字 Char Char Char Char"/>
    <w:basedOn w:val="1"/>
    <w:link w:val="2190"/>
    <w:uiPriority w:val="0"/>
    <w:pPr>
      <w:spacing w:line="360" w:lineRule="exact"/>
      <w:jc w:val="center"/>
    </w:pPr>
    <w:rPr>
      <w:rFonts w:eastAsia="宋体"/>
      <w:sz w:val="21"/>
      <w:lang w:val="zh-CN" w:eastAsia="zh-CN"/>
    </w:rPr>
  </w:style>
  <w:style w:type="character" w:customStyle="1" w:styleId="2190">
    <w:name w:val="表格文字 Char Char Char Char Char"/>
    <w:link w:val="2189"/>
    <w:uiPriority w:val="0"/>
    <w:rPr>
      <w:kern w:val="2"/>
      <w:sz w:val="21"/>
      <w:lang w:val="zh-CN" w:eastAsia="zh-CN"/>
    </w:rPr>
  </w:style>
  <w:style w:type="paragraph" w:customStyle="1" w:styleId="2191">
    <w:name w:val="文章正文文字"/>
    <w:basedOn w:val="1"/>
    <w:link w:val="2192"/>
    <w:semiHidden/>
    <w:uiPriority w:val="0"/>
    <w:pPr>
      <w:spacing w:line="520" w:lineRule="exact"/>
      <w:jc w:val="left"/>
    </w:pPr>
    <w:rPr>
      <w:rFonts w:eastAsia="宋体"/>
      <w:sz w:val="24"/>
      <w:szCs w:val="24"/>
      <w:lang w:val="zh-CN" w:eastAsia="zh-CN"/>
    </w:rPr>
  </w:style>
  <w:style w:type="character" w:customStyle="1" w:styleId="2192">
    <w:name w:val="文章正文文字 Char"/>
    <w:link w:val="2191"/>
    <w:semiHidden/>
    <w:uiPriority w:val="0"/>
    <w:rPr>
      <w:kern w:val="2"/>
      <w:sz w:val="24"/>
      <w:szCs w:val="24"/>
      <w:lang w:val="zh-CN" w:eastAsia="zh-CN"/>
    </w:rPr>
  </w:style>
  <w:style w:type="character" w:customStyle="1" w:styleId="2193">
    <w:name w:val="文字正文 Char"/>
    <w:link w:val="2194"/>
    <w:uiPriority w:val="0"/>
    <w:rPr>
      <w:rFonts w:ascii="宋体" w:hAnsi="宋体"/>
      <w:sz w:val="24"/>
    </w:rPr>
  </w:style>
  <w:style w:type="paragraph" w:customStyle="1" w:styleId="2194">
    <w:name w:val="文字正文"/>
    <w:basedOn w:val="1"/>
    <w:link w:val="2193"/>
    <w:uiPriority w:val="0"/>
    <w:pPr>
      <w:spacing w:line="360" w:lineRule="auto"/>
      <w:ind w:firstLine="480" w:firstLineChars="200"/>
    </w:pPr>
    <w:rPr>
      <w:rFonts w:ascii="宋体" w:hAnsi="宋体" w:eastAsia="宋体"/>
      <w:kern w:val="0"/>
      <w:sz w:val="24"/>
    </w:rPr>
  </w:style>
  <w:style w:type="paragraph" w:customStyle="1" w:styleId="2195">
    <w:name w:val="Char Char1 Char Char Char Char Char Char Char"/>
    <w:basedOn w:val="1"/>
    <w:uiPriority w:val="0"/>
    <w:pPr>
      <w:tabs>
        <w:tab w:val="left" w:pos="432"/>
      </w:tabs>
      <w:ind w:left="432" w:hanging="432"/>
    </w:pPr>
    <w:rPr>
      <w:rFonts w:ascii="Tahoma" w:hAnsi="Tahoma" w:eastAsia="宋体"/>
      <w:sz w:val="24"/>
    </w:rPr>
  </w:style>
  <w:style w:type="character" w:customStyle="1" w:styleId="2196">
    <w:name w:val="表1 Char Char"/>
    <w:uiPriority w:val="0"/>
    <w:rPr>
      <w:rFonts w:ascii="宋体" w:hAnsi="Times New Roman"/>
      <w:sz w:val="21"/>
    </w:rPr>
  </w:style>
  <w:style w:type="paragraph" w:customStyle="1" w:styleId="2197">
    <w:name w:val="样式 样式 (西文) Arial (中文) 宋体 五号 居中 +"/>
    <w:basedOn w:val="1"/>
    <w:uiPriority w:val="0"/>
    <w:pPr>
      <w:jc w:val="center"/>
      <w:textAlignment w:val="center"/>
    </w:pPr>
    <w:rPr>
      <w:rFonts w:ascii="Arial" w:hAnsi="Arial" w:eastAsia="宋体" w:cs="宋体"/>
      <w:sz w:val="21"/>
    </w:rPr>
  </w:style>
  <w:style w:type="paragraph" w:customStyle="1" w:styleId="2198">
    <w:name w:val="表后正文"/>
    <w:basedOn w:val="51"/>
    <w:uiPriority w:val="0"/>
    <w:pPr>
      <w:adjustRightInd w:val="0"/>
      <w:spacing w:beforeLines="50" w:line="480" w:lineRule="exact"/>
      <w:ind w:firstLine="560" w:firstLineChars="200"/>
      <w:textAlignment w:val="baseline"/>
    </w:pPr>
    <w:rPr>
      <w:rFonts w:ascii="Times New Roman" w:hAnsi="Times New Roman" w:eastAsia="楷体_GB2312"/>
      <w:color w:val="000000"/>
      <w:sz w:val="28"/>
    </w:rPr>
  </w:style>
  <w:style w:type="paragraph" w:customStyle="1" w:styleId="2199">
    <w:name w:val="表格内段落"/>
    <w:basedOn w:val="603"/>
    <w:link w:val="2200"/>
    <w:qFormat/>
    <w:uiPriority w:val="0"/>
    <w:pPr>
      <w:widowControl/>
      <w:spacing w:line="0" w:lineRule="atLeast"/>
      <w:ind w:firstLine="200" w:firstLineChars="200"/>
      <w:jc w:val="left"/>
    </w:pPr>
    <w:rPr>
      <w:sz w:val="21"/>
      <w:szCs w:val="24"/>
      <w:lang w:val="zh-CN" w:eastAsia="zh-CN"/>
    </w:rPr>
  </w:style>
  <w:style w:type="character" w:customStyle="1" w:styleId="2200">
    <w:name w:val="表格内段落 Char"/>
    <w:link w:val="2199"/>
    <w:uiPriority w:val="0"/>
    <w:rPr>
      <w:kern w:val="2"/>
      <w:sz w:val="21"/>
      <w:szCs w:val="24"/>
      <w:lang w:val="zh-CN" w:eastAsia="zh-CN"/>
    </w:rPr>
  </w:style>
  <w:style w:type="paragraph" w:customStyle="1" w:styleId="2201">
    <w:name w:val="Char Char Char Char Char Char1 Char Char Char Char Char"/>
    <w:basedOn w:val="1"/>
    <w:uiPriority w:val="0"/>
    <w:rPr>
      <w:rFonts w:eastAsia="宋体"/>
      <w:sz w:val="24"/>
      <w:szCs w:val="24"/>
    </w:rPr>
  </w:style>
  <w:style w:type="character" w:customStyle="1" w:styleId="2202">
    <w:name w:val="表格内序号 Char"/>
    <w:link w:val="1936"/>
    <w:uiPriority w:val="0"/>
    <w:rPr>
      <w:szCs w:val="24"/>
    </w:rPr>
  </w:style>
  <w:style w:type="paragraph" w:customStyle="1" w:styleId="2203">
    <w:name w:val="Char Char9 Char Char Char Char"/>
    <w:basedOn w:val="1"/>
    <w:uiPriority w:val="0"/>
    <w:rPr>
      <w:rFonts w:eastAsia="宋体"/>
      <w:sz w:val="24"/>
      <w:szCs w:val="24"/>
    </w:rPr>
  </w:style>
  <w:style w:type="paragraph" w:customStyle="1" w:styleId="2204">
    <w:name w:val="样式 表格001 + Arial 五号 行距: 最小值 0 磅"/>
    <w:basedOn w:val="436"/>
    <w:uiPriority w:val="0"/>
    <w:pPr>
      <w:spacing w:line="0" w:lineRule="atLeast"/>
    </w:pPr>
    <w:rPr>
      <w:rFonts w:ascii="Arial" w:hAnsi="Arial" w:cs="宋体"/>
      <w:spacing w:val="10"/>
      <w:sz w:val="21"/>
    </w:rPr>
  </w:style>
  <w:style w:type="character" w:customStyle="1" w:styleId="2205">
    <w:name w:val="样式 表格 + 行距: 最小值 0 磅 Char Char"/>
    <w:link w:val="2206"/>
    <w:uiPriority w:val="0"/>
    <w:rPr>
      <w:snapToGrid w:val="0"/>
      <w:kern w:val="2"/>
      <w:sz w:val="21"/>
    </w:rPr>
  </w:style>
  <w:style w:type="paragraph" w:customStyle="1" w:styleId="2206">
    <w:name w:val="样式 表格 + 行距: 最小值 0 磅"/>
    <w:basedOn w:val="1"/>
    <w:link w:val="2205"/>
    <w:uiPriority w:val="0"/>
    <w:pPr>
      <w:snapToGrid w:val="0"/>
      <w:spacing w:line="0" w:lineRule="atLeast"/>
      <w:jc w:val="center"/>
      <w:textAlignment w:val="center"/>
    </w:pPr>
    <w:rPr>
      <w:rFonts w:eastAsia="宋体"/>
      <w:snapToGrid w:val="0"/>
      <w:sz w:val="21"/>
    </w:rPr>
  </w:style>
  <w:style w:type="character" w:customStyle="1" w:styleId="2207">
    <w:name w:val="样式 正文文本 + 右侧:  0.2 字符 行距: 单倍行距 Char Char"/>
    <w:link w:val="2208"/>
    <w:uiPriority w:val="0"/>
    <w:rPr>
      <w:rFonts w:cs="宋体"/>
      <w:kern w:val="2"/>
      <w:sz w:val="24"/>
      <w:szCs w:val="24"/>
    </w:rPr>
  </w:style>
  <w:style w:type="paragraph" w:customStyle="1" w:styleId="2208">
    <w:name w:val="样式 正文文本 + 右侧:  0.2 字符 行距: 单倍行距"/>
    <w:basedOn w:val="33"/>
    <w:link w:val="2207"/>
    <w:uiPriority w:val="0"/>
    <w:pPr>
      <w:spacing w:after="0"/>
      <w:ind w:firstLine="200" w:firstLineChars="200"/>
    </w:pPr>
    <w:rPr>
      <w:rFonts w:eastAsia="宋体" w:cs="宋体"/>
      <w:sz w:val="24"/>
      <w:szCs w:val="24"/>
      <w:lang w:val="en-US" w:eastAsia="zh-CN"/>
    </w:rPr>
  </w:style>
  <w:style w:type="character" w:customStyle="1" w:styleId="2209">
    <w:name w:val="样式 表格 + 行距: 最小值 0 磅 Char"/>
    <w:uiPriority w:val="0"/>
    <w:rPr>
      <w:rFonts w:eastAsia="宋体" w:cs="宋体"/>
      <w:snapToGrid w:val="0"/>
      <w:kern w:val="2"/>
      <w:sz w:val="21"/>
      <w:lang w:val="en-US" w:eastAsia="zh-CN" w:bidi="ar-SA"/>
    </w:rPr>
  </w:style>
  <w:style w:type="paragraph" w:customStyle="1" w:styleId="2210">
    <w:name w:val="样式 样式 样式 样式 首行缩进:  2 字符 + 居中 + (中文) 黑体 五号 首行缩进:  2 字符 + 首行缩进:  2..."/>
    <w:basedOn w:val="1"/>
    <w:link w:val="2211"/>
    <w:uiPriority w:val="0"/>
    <w:pPr>
      <w:adjustRightInd w:val="0"/>
      <w:snapToGrid w:val="0"/>
      <w:spacing w:before="156" w:beforeLines="50" w:line="360" w:lineRule="auto"/>
      <w:jc w:val="center"/>
    </w:pPr>
    <w:rPr>
      <w:rFonts w:ascii="Calibri" w:hAnsi="Calibri" w:eastAsia="黑体" w:cs="宋体"/>
      <w:sz w:val="24"/>
    </w:rPr>
  </w:style>
  <w:style w:type="character" w:customStyle="1" w:styleId="2211">
    <w:name w:val="样式 样式 样式 样式 首行缩进:  2 字符 + 居中 + (中文) 黑体 五号 首行缩进:  2 字符 + 首行缩进:  2... Char"/>
    <w:link w:val="2210"/>
    <w:uiPriority w:val="0"/>
    <w:rPr>
      <w:rFonts w:ascii="Calibri" w:hAnsi="Calibri" w:eastAsia="黑体" w:cs="宋体"/>
      <w:kern w:val="2"/>
      <w:sz w:val="24"/>
    </w:rPr>
  </w:style>
  <w:style w:type="paragraph" w:customStyle="1" w:styleId="2212">
    <w:name w:val="正文 A"/>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2213">
    <w:name w:val="正文31"/>
    <w:basedOn w:val="1"/>
    <w:uiPriority w:val="0"/>
    <w:pPr>
      <w:keepNext/>
      <w:adjustRightInd w:val="0"/>
      <w:jc w:val="center"/>
      <w:textAlignment w:val="baseline"/>
    </w:pPr>
    <w:rPr>
      <w:rFonts w:eastAsia="宋体"/>
      <w:kern w:val="0"/>
    </w:rPr>
  </w:style>
  <w:style w:type="character" w:customStyle="1" w:styleId="2214">
    <w:name w:val="超链接11"/>
    <w:uiPriority w:val="0"/>
    <w:rPr>
      <w:color w:val="0000FF"/>
      <w:u w:val="single"/>
    </w:rPr>
  </w:style>
  <w:style w:type="paragraph" w:customStyle="1" w:styleId="2215">
    <w:name w:val="Char Char1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2216">
    <w:name w:val="Char1 Char Char Char Char Char Char Char Char Char1"/>
    <w:basedOn w:val="1"/>
    <w:uiPriority w:val="0"/>
    <w:rPr>
      <w:rFonts w:ascii="Tahoma" w:hAnsi="Tahoma" w:eastAsia="宋体"/>
      <w:sz w:val="24"/>
    </w:rPr>
  </w:style>
  <w:style w:type="paragraph" w:customStyle="1" w:styleId="2217">
    <w:name w:val="Char Char1 Char Char Char Char Char Char Char Char Char1"/>
    <w:basedOn w:val="1"/>
    <w:uiPriority w:val="0"/>
    <w:pPr>
      <w:tabs>
        <w:tab w:val="left" w:pos="432"/>
      </w:tabs>
      <w:ind w:left="432" w:hanging="432"/>
    </w:pPr>
    <w:rPr>
      <w:rFonts w:ascii="Tahoma" w:hAnsi="Tahoma" w:eastAsia="宋体"/>
      <w:sz w:val="24"/>
    </w:rPr>
  </w:style>
  <w:style w:type="paragraph" w:customStyle="1" w:styleId="2218">
    <w:name w:val="正文BBBB"/>
    <w:basedOn w:val="1258"/>
    <w:uiPriority w:val="0"/>
    <w:pPr>
      <w:widowControl w:val="0"/>
      <w:tabs>
        <w:tab w:val="clear" w:pos="0"/>
      </w:tabs>
      <w:adjustRightInd/>
      <w:spacing w:before="0" w:line="540" w:lineRule="exact"/>
      <w:ind w:firstLine="200" w:firstLineChars="200"/>
    </w:pPr>
    <w:rPr>
      <w:rFonts w:ascii="宋体" w:hAnsi="宋体" w:cs="宋体"/>
      <w:snapToGrid/>
      <w:kern w:val="2"/>
    </w:rPr>
  </w:style>
  <w:style w:type="paragraph" w:customStyle="1" w:styleId="2219">
    <w:name w:val="小三"/>
    <w:basedOn w:val="1"/>
    <w:uiPriority w:val="0"/>
    <w:pPr>
      <w:spacing w:line="360" w:lineRule="auto"/>
      <w:ind w:firstLine="480" w:firstLineChars="200"/>
    </w:pPr>
    <w:rPr>
      <w:rFonts w:ascii="宋体" w:hAnsi="宋体" w:eastAsia="宋体"/>
      <w:sz w:val="24"/>
      <w:szCs w:val="24"/>
    </w:rPr>
  </w:style>
  <w:style w:type="paragraph" w:customStyle="1" w:styleId="2220">
    <w:name w:val="环龙公司文本正文"/>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221">
    <w:name w:val="环表头"/>
    <w:next w:val="2220"/>
    <w:uiPriority w:val="0"/>
    <w:pPr>
      <w:jc w:val="center"/>
    </w:pPr>
    <w:rPr>
      <w:rFonts w:ascii="Times New Roman" w:hAnsi="Times New Roman" w:eastAsia="宋体" w:cs="Times New Roman"/>
      <w:kern w:val="2"/>
      <w:sz w:val="24"/>
      <w:szCs w:val="24"/>
      <w:lang w:val="en-US" w:eastAsia="zh-CN" w:bidi="ar-SA"/>
    </w:rPr>
  </w:style>
  <w:style w:type="paragraph" w:customStyle="1" w:styleId="2222">
    <w:name w:val="表中字体"/>
    <w:next w:val="2220"/>
    <w:uiPriority w:val="0"/>
    <w:pPr>
      <w:jc w:val="center"/>
    </w:pPr>
    <w:rPr>
      <w:rFonts w:ascii="Times New Roman" w:hAnsi="Times New Roman" w:eastAsia="宋体" w:cs="Times New Roman"/>
      <w:kern w:val="2"/>
      <w:sz w:val="21"/>
      <w:szCs w:val="21"/>
      <w:lang w:val="en-US" w:eastAsia="zh-CN" w:bidi="ar-SA"/>
    </w:rPr>
  </w:style>
  <w:style w:type="paragraph" w:customStyle="1" w:styleId="2223">
    <w:name w:val="正文首行缩进二字"/>
    <w:basedOn w:val="1"/>
    <w:uiPriority w:val="0"/>
    <w:pPr>
      <w:snapToGrid w:val="0"/>
      <w:spacing w:line="460" w:lineRule="exact"/>
      <w:ind w:firstLine="200" w:firstLineChars="200"/>
    </w:pPr>
    <w:rPr>
      <w:rFonts w:eastAsia="宋体"/>
      <w:sz w:val="24"/>
      <w:szCs w:val="24"/>
    </w:rPr>
  </w:style>
  <w:style w:type="paragraph" w:customStyle="1" w:styleId="2224">
    <w:name w:val="Char Char15 Char Char1"/>
    <w:basedOn w:val="1"/>
    <w:uiPriority w:val="0"/>
    <w:pPr>
      <w:spacing w:line="360" w:lineRule="auto"/>
      <w:ind w:firstLine="200" w:firstLineChars="200"/>
    </w:pPr>
    <w:rPr>
      <w:rFonts w:ascii="宋体" w:hAnsi="宋体" w:eastAsia="宋体" w:cs="宋体"/>
      <w:sz w:val="24"/>
      <w:szCs w:val="24"/>
    </w:rPr>
  </w:style>
  <w:style w:type="paragraph" w:customStyle="1" w:styleId="2225">
    <w:name w:val="TOC 标题1"/>
    <w:basedOn w:val="2"/>
    <w:next w:val="1"/>
    <w:uiPriority w:val="0"/>
    <w:pPr>
      <w:pageBreakBefore w:val="0"/>
      <w:widowControl/>
      <w:tabs>
        <w:tab w:val="clear" w:pos="1080"/>
      </w:tabs>
      <w:spacing w:before="480" w:after="0" w:line="273" w:lineRule="auto"/>
      <w:ind w:left="0" w:firstLine="0"/>
      <w:jc w:val="left"/>
      <w:outlineLvl w:val="9"/>
    </w:pPr>
    <w:rPr>
      <w:rFonts w:ascii="Calibri" w:hAnsi="Calibri" w:eastAsia="黑体" w:cs="黑体"/>
      <w:b w:val="0"/>
      <w:color w:val="365F90"/>
      <w:kern w:val="0"/>
      <w:sz w:val="28"/>
      <w:szCs w:val="28"/>
    </w:rPr>
  </w:style>
  <w:style w:type="character" w:customStyle="1" w:styleId="2226">
    <w:name w:val="样式 样式 样式 宋体 行距: 固定值 27 磅 + 首行缩进:  2 字符 + 首行缩进:  2 字符 Char"/>
    <w:link w:val="2227"/>
    <w:uiPriority w:val="0"/>
    <w:rPr>
      <w:rFonts w:cs="宋体"/>
      <w:sz w:val="28"/>
    </w:rPr>
  </w:style>
  <w:style w:type="paragraph" w:customStyle="1" w:styleId="2227">
    <w:name w:val="样式 样式 样式 宋体 行距: 固定值 27 磅 + 首行缩进:  2 字符 + 首行缩进:  2 字符"/>
    <w:basedOn w:val="1"/>
    <w:link w:val="2226"/>
    <w:uiPriority w:val="0"/>
    <w:pPr>
      <w:spacing w:line="600" w:lineRule="exact"/>
      <w:ind w:firstLine="560" w:firstLineChars="200"/>
    </w:pPr>
    <w:rPr>
      <w:rFonts w:eastAsia="宋体" w:cs="宋体"/>
      <w:kern w:val="0"/>
    </w:rPr>
  </w:style>
  <w:style w:type="character" w:customStyle="1" w:styleId="2228">
    <w:name w:val="页码2"/>
    <w:uiPriority w:val="0"/>
  </w:style>
  <w:style w:type="character" w:customStyle="1" w:styleId="2229">
    <w:name w:val="font51"/>
    <w:uiPriority w:val="0"/>
    <w:rPr>
      <w:rFonts w:hint="eastAsia" w:ascii="宋体" w:hAnsi="宋体" w:eastAsia="宋体" w:cs="宋体"/>
      <w:color w:val="000000"/>
      <w:sz w:val="20"/>
      <w:szCs w:val="20"/>
      <w:u w:val="none"/>
    </w:rPr>
  </w:style>
  <w:style w:type="paragraph" w:customStyle="1" w:styleId="2230">
    <w:name w:val="批注框文本1"/>
    <w:basedOn w:val="1"/>
    <w:uiPriority w:val="0"/>
    <w:rPr>
      <w:rFonts w:eastAsia="宋体"/>
      <w:sz w:val="18"/>
      <w:szCs w:val="18"/>
    </w:rPr>
  </w:style>
  <w:style w:type="paragraph" w:customStyle="1" w:styleId="2231">
    <w:name w:val="DEB0AA375AA448A5B00E3FF23BFBE12D"/>
    <w:uiPriority w:val="0"/>
    <w:pPr>
      <w:spacing w:after="200" w:line="276" w:lineRule="auto"/>
    </w:pPr>
    <w:rPr>
      <w:rFonts w:ascii="Calibri" w:hAnsi="Calibri" w:eastAsia="宋体" w:cs="Times New Roman"/>
      <w:sz w:val="22"/>
      <w:szCs w:val="22"/>
      <w:lang w:val="en-US" w:eastAsia="en-US" w:bidi="ar-SA"/>
    </w:rPr>
  </w:style>
  <w:style w:type="paragraph" w:customStyle="1" w:styleId="2232">
    <w:name w:val="页眉3"/>
    <w:basedOn w:val="1"/>
    <w:uiPriority w:val="0"/>
    <w:pPr>
      <w:pBdr>
        <w:bottom w:val="single" w:color="auto" w:sz="4" w:space="1"/>
      </w:pBdr>
      <w:tabs>
        <w:tab w:val="center" w:pos="4153"/>
        <w:tab w:val="right" w:pos="8306"/>
      </w:tabs>
      <w:snapToGrid w:val="0"/>
    </w:pPr>
    <w:rPr>
      <w:rFonts w:eastAsia="宋体"/>
      <w:sz w:val="18"/>
    </w:rPr>
  </w:style>
  <w:style w:type="paragraph" w:customStyle="1" w:styleId="2233">
    <w:name w:val="Lux 正文"/>
    <w:basedOn w:val="1"/>
    <w:uiPriority w:val="0"/>
    <w:pPr>
      <w:spacing w:before="80" w:after="80" w:line="500" w:lineRule="exact"/>
      <w:ind w:firstLine="200" w:firstLineChars="200"/>
    </w:pPr>
    <w:rPr>
      <w:rFonts w:eastAsia="宋体"/>
      <w:kern w:val="0"/>
      <w:sz w:val="24"/>
      <w:szCs w:val="21"/>
    </w:rPr>
  </w:style>
  <w:style w:type="paragraph" w:customStyle="1" w:styleId="2234">
    <w:name w:val="Char Char24"/>
    <w:basedOn w:val="1"/>
    <w:uiPriority w:val="0"/>
    <w:pPr>
      <w:adjustRightInd w:val="0"/>
    </w:pPr>
    <w:rPr>
      <w:rFonts w:eastAsia="宋体"/>
      <w:sz w:val="21"/>
      <w:szCs w:val="21"/>
    </w:rPr>
  </w:style>
  <w:style w:type="table" w:customStyle="1" w:styleId="2235">
    <w:name w:val="正文+居中1"/>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2236">
    <w:name w:val="正文+居中2"/>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2237">
    <w:name w:val="正文+居中3"/>
    <w:basedOn w:val="8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2238">
    <w:name w:val="title1"/>
    <w:uiPriority w:val="0"/>
    <w:rPr>
      <w:rFonts w:hint="eastAsia" w:ascii="Verdana, Arial, 宋体" w:eastAsia="Verdana, Arial, 宋体"/>
      <w:b/>
      <w:bCs/>
      <w:color w:val="333333"/>
      <w:sz w:val="30"/>
      <w:szCs w:val="30"/>
    </w:rPr>
  </w:style>
  <w:style w:type="character" w:customStyle="1" w:styleId="2239">
    <w:name w:val="页脚 字符1"/>
    <w:uiPriority w:val="99"/>
    <w:rPr>
      <w:rFonts w:eastAsia="仿宋_GB2312"/>
      <w:kern w:val="2"/>
      <w:sz w:val="18"/>
    </w:rPr>
  </w:style>
  <w:style w:type="character" w:customStyle="1" w:styleId="2240">
    <w:name w:val="页眉 字符1"/>
    <w:uiPriority w:val="99"/>
    <w:rPr>
      <w:rFonts w:eastAsia="仿宋_GB2312"/>
      <w:kern w:val="2"/>
      <w:sz w:val="18"/>
      <w:lang w:val="en-US" w:eastAsia="zh-CN" w:bidi="ar-SA"/>
    </w:rPr>
  </w:style>
  <w:style w:type="character" w:customStyle="1" w:styleId="2241">
    <w:name w:val="正文文本缩进 字符"/>
    <w:uiPriority w:val="0"/>
    <w:rPr>
      <w:rFonts w:eastAsia="宋体"/>
      <w:kern w:val="2"/>
      <w:sz w:val="21"/>
      <w:lang w:val="en-US" w:eastAsia="zh-CN" w:bidi="ar-SA"/>
    </w:rPr>
  </w:style>
  <w:style w:type="character" w:customStyle="1" w:styleId="2242">
    <w:name w:val="副标题 字符1"/>
    <w:basedOn w:val="132"/>
    <w:uiPriority w:val="11"/>
    <w:rPr>
      <w:rFonts w:asciiTheme="minorHAnsi" w:hAnsiTheme="minorHAnsi" w:eastAsiaTheme="minorEastAsia"/>
      <w:b/>
      <w:bCs/>
      <w:kern w:val="28"/>
      <w:sz w:val="32"/>
      <w:szCs w:val="32"/>
    </w:rPr>
  </w:style>
  <w:style w:type="character" w:customStyle="1" w:styleId="2243">
    <w:name w:val="正文文本 3 字符1"/>
    <w:basedOn w:val="132"/>
    <w:semiHidden/>
    <w:uiPriority w:val="99"/>
    <w:rPr>
      <w:rFonts w:eastAsia="仿宋_GB2312" w:cs="Times New Roman"/>
      <w:sz w:val="16"/>
      <w:szCs w:val="16"/>
    </w:rPr>
  </w:style>
  <w:style w:type="character" w:customStyle="1" w:styleId="2244">
    <w:name w:val="批注框文本 字符1"/>
    <w:basedOn w:val="132"/>
    <w:semiHidden/>
    <w:uiPriority w:val="99"/>
    <w:rPr>
      <w:rFonts w:eastAsia="仿宋_GB2312" w:cs="Times New Roman"/>
      <w:sz w:val="18"/>
      <w:szCs w:val="18"/>
    </w:rPr>
  </w:style>
  <w:style w:type="character" w:customStyle="1" w:styleId="2245">
    <w:name w:val="日期 字符1"/>
    <w:basedOn w:val="132"/>
    <w:semiHidden/>
    <w:uiPriority w:val="99"/>
    <w:rPr>
      <w:rFonts w:eastAsia="仿宋_GB2312" w:cs="Times New Roman"/>
      <w:sz w:val="28"/>
      <w:szCs w:val="20"/>
    </w:rPr>
  </w:style>
  <w:style w:type="character" w:customStyle="1" w:styleId="2246">
    <w:name w:val="称呼 字符1"/>
    <w:basedOn w:val="132"/>
    <w:semiHidden/>
    <w:uiPriority w:val="99"/>
    <w:rPr>
      <w:rFonts w:eastAsia="仿宋_GB2312" w:cs="Times New Roman"/>
      <w:sz w:val="28"/>
      <w:szCs w:val="20"/>
    </w:rPr>
  </w:style>
  <w:style w:type="character" w:customStyle="1" w:styleId="2247">
    <w:name w:val="正文文本首行缩进 字符1"/>
    <w:basedOn w:val="819"/>
    <w:semiHidden/>
    <w:uiPriority w:val="99"/>
    <w:rPr>
      <w:rFonts w:eastAsia="仿宋_GB2312" w:cs="Times New Roman"/>
      <w:kern w:val="2"/>
      <w:sz w:val="28"/>
      <w:szCs w:val="20"/>
      <w:lang w:val="zh-CN" w:eastAsia="zh-CN"/>
    </w:rPr>
  </w:style>
  <w:style w:type="character" w:customStyle="1" w:styleId="2248">
    <w:name w:val="纯文本 字符1"/>
    <w:basedOn w:val="132"/>
    <w:semiHidden/>
    <w:uiPriority w:val="99"/>
    <w:rPr>
      <w:rFonts w:hAnsi="Courier New" w:cs="Courier New" w:asciiTheme="minorEastAsia" w:eastAsiaTheme="minorEastAsia"/>
      <w:sz w:val="28"/>
      <w:szCs w:val="20"/>
    </w:rPr>
  </w:style>
  <w:style w:type="character" w:customStyle="1" w:styleId="2249">
    <w:name w:val="HTML 预设格式 字符1"/>
    <w:basedOn w:val="132"/>
    <w:semiHidden/>
    <w:uiPriority w:val="99"/>
    <w:rPr>
      <w:rFonts w:ascii="Courier New" w:hAnsi="Courier New" w:eastAsia="仿宋_GB2312" w:cs="Courier New"/>
      <w:sz w:val="20"/>
      <w:szCs w:val="20"/>
    </w:rPr>
  </w:style>
  <w:style w:type="character" w:customStyle="1" w:styleId="2250">
    <w:name w:val="结束语 字符1"/>
    <w:basedOn w:val="132"/>
    <w:semiHidden/>
    <w:uiPriority w:val="99"/>
    <w:rPr>
      <w:rFonts w:eastAsia="仿宋_GB2312" w:cs="Times New Roman"/>
      <w:sz w:val="28"/>
      <w:szCs w:val="20"/>
    </w:rPr>
  </w:style>
  <w:style w:type="paragraph" w:customStyle="1" w:styleId="2251">
    <w:name w:val="！！表格文本"/>
    <w:basedOn w:val="1"/>
    <w:link w:val="2252"/>
    <w:uiPriority w:val="0"/>
    <w:pPr>
      <w:widowControl/>
      <w:spacing w:beforeLines="20" w:afterLines="20"/>
      <w:jc w:val="left"/>
    </w:pPr>
    <w:rPr>
      <w:rFonts w:eastAsia="宋体"/>
      <w:sz w:val="21"/>
    </w:rPr>
  </w:style>
  <w:style w:type="character" w:customStyle="1" w:styleId="2252">
    <w:name w:val="！！表格文本 Char Char"/>
    <w:link w:val="2251"/>
    <w:locked/>
    <w:uiPriority w:val="0"/>
    <w:rPr>
      <w:kern w:val="2"/>
      <w:sz w:val="21"/>
    </w:rPr>
  </w:style>
  <w:style w:type="character" w:customStyle="1" w:styleId="2253">
    <w:name w:val="Body text (2)_"/>
    <w:basedOn w:val="132"/>
    <w:link w:val="2254"/>
    <w:uiPriority w:val="0"/>
    <w:rPr>
      <w:rFonts w:ascii="MingLiU" w:hAnsi="MingLiU" w:eastAsia="MingLiU" w:cs="MingLiU"/>
      <w:shd w:val="clear" w:color="auto" w:fill="FFFFFF"/>
    </w:rPr>
  </w:style>
  <w:style w:type="paragraph" w:customStyle="1" w:styleId="2254">
    <w:name w:val="Body text (2)"/>
    <w:basedOn w:val="1"/>
    <w:link w:val="2253"/>
    <w:uiPriority w:val="0"/>
    <w:pPr>
      <w:shd w:val="clear" w:color="auto" w:fill="FFFFFF"/>
      <w:adjustRightInd w:val="0"/>
      <w:snapToGrid w:val="0"/>
      <w:spacing w:before="540" w:line="389" w:lineRule="exact"/>
      <w:ind w:hanging="580" w:firstLineChars="200"/>
      <w:jc w:val="distribute"/>
    </w:pPr>
    <w:rPr>
      <w:rFonts w:ascii="MingLiU" w:hAnsi="MingLiU" w:eastAsia="MingLiU" w:cs="MingLiU"/>
      <w:kern w:val="0"/>
      <w:sz w:val="20"/>
    </w:rPr>
  </w:style>
  <w:style w:type="character" w:customStyle="1" w:styleId="2255">
    <w:name w:val="Body text (2) + 8.5 pt"/>
    <w:basedOn w:val="2253"/>
    <w:uiPriority w:val="0"/>
    <w:rPr>
      <w:rFonts w:ascii="MingLiU" w:hAnsi="MingLiU" w:eastAsia="MingLiU" w:cs="MingLiU"/>
      <w:color w:val="000000"/>
      <w:spacing w:val="0"/>
      <w:w w:val="100"/>
      <w:position w:val="0"/>
      <w:sz w:val="17"/>
      <w:szCs w:val="17"/>
      <w:shd w:val="clear" w:color="auto" w:fill="FFFFFF"/>
      <w:lang w:val="zh-CN" w:eastAsia="zh-CN" w:bidi="zh-CN"/>
    </w:rPr>
  </w:style>
  <w:style w:type="character" w:customStyle="1" w:styleId="2256">
    <w:name w:val="Body text (2) + AngsanaUPC"/>
    <w:basedOn w:val="2253"/>
    <w:uiPriority w:val="0"/>
    <w:rPr>
      <w:rFonts w:ascii="AngsanaUPC" w:hAnsi="AngsanaUPC" w:eastAsia="AngsanaUPC" w:cs="AngsanaUPC"/>
      <w:color w:val="000000"/>
      <w:spacing w:val="0"/>
      <w:w w:val="100"/>
      <w:position w:val="0"/>
      <w:sz w:val="26"/>
      <w:szCs w:val="26"/>
      <w:shd w:val="clear" w:color="auto" w:fill="FFFFFF"/>
      <w:lang w:val="en-US" w:eastAsia="en-US" w:bidi="en-US"/>
    </w:rPr>
  </w:style>
  <w:style w:type="character" w:customStyle="1" w:styleId="2257">
    <w:name w:val="Body text (6) Exact"/>
    <w:basedOn w:val="132"/>
    <w:link w:val="2258"/>
    <w:uiPriority w:val="0"/>
    <w:rPr>
      <w:rFonts w:ascii="MingLiU" w:hAnsi="MingLiU" w:eastAsia="MingLiU" w:cs="MingLiU"/>
      <w:sz w:val="17"/>
      <w:szCs w:val="17"/>
      <w:shd w:val="clear" w:color="auto" w:fill="FFFFFF"/>
    </w:rPr>
  </w:style>
  <w:style w:type="paragraph" w:customStyle="1" w:styleId="2258">
    <w:name w:val="Body text (6)"/>
    <w:basedOn w:val="1"/>
    <w:link w:val="2257"/>
    <w:uiPriority w:val="0"/>
    <w:pPr>
      <w:shd w:val="clear" w:color="auto" w:fill="FFFFFF"/>
      <w:adjustRightInd w:val="0"/>
      <w:snapToGrid w:val="0"/>
      <w:spacing w:line="317" w:lineRule="exact"/>
      <w:ind w:hanging="400" w:firstLineChars="200"/>
      <w:jc w:val="left"/>
    </w:pPr>
    <w:rPr>
      <w:rFonts w:ascii="MingLiU" w:hAnsi="MingLiU" w:eastAsia="MingLiU" w:cs="MingLiU"/>
      <w:kern w:val="0"/>
      <w:sz w:val="17"/>
      <w:szCs w:val="17"/>
    </w:rPr>
  </w:style>
  <w:style w:type="character" w:customStyle="1" w:styleId="2259">
    <w:name w:val="Body text (6) + AngsanaUPC"/>
    <w:basedOn w:val="2257"/>
    <w:uiPriority w:val="0"/>
    <w:rPr>
      <w:rFonts w:ascii="AngsanaUPC" w:hAnsi="AngsanaUPC" w:eastAsia="AngsanaUPC" w:cs="AngsanaUPC"/>
      <w:color w:val="000000"/>
      <w:spacing w:val="0"/>
      <w:w w:val="100"/>
      <w:position w:val="0"/>
      <w:sz w:val="26"/>
      <w:szCs w:val="26"/>
      <w:shd w:val="clear" w:color="auto" w:fill="FFFFFF"/>
      <w:lang w:val="en-US" w:eastAsia="en-US" w:bidi="en-US"/>
    </w:rPr>
  </w:style>
  <w:style w:type="paragraph" w:customStyle="1" w:styleId="2260">
    <w:name w:val="Char Char Char Char1 Char Char8"/>
    <w:basedOn w:val="6"/>
    <w:qFormat/>
    <w:uiPriority w:val="0"/>
    <w:pPr>
      <w:numPr>
        <w:numId w:val="0"/>
      </w:numPr>
      <w:tabs>
        <w:tab w:val="left" w:pos="0"/>
      </w:tabs>
      <w:snapToGrid w:val="0"/>
      <w:spacing w:line="360" w:lineRule="auto"/>
      <w:jc w:val="center"/>
    </w:pPr>
    <w:rPr>
      <w:rFonts w:ascii="仿宋_GB2312" w:cs="Arial"/>
      <w:lang w:val="en-US" w:eastAsia="zh-CN"/>
    </w:rPr>
  </w:style>
  <w:style w:type="paragraph" w:customStyle="1" w:styleId="2261">
    <w:name w:val="reader-word-layer reader-word-s6-8"/>
    <w:basedOn w:val="1"/>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2262">
    <w:name w:val="main"/>
    <w:uiPriority w:val="99"/>
    <w:rPr>
      <w:rFonts w:hint="default" w:ascii="Times New Roman" w:hAnsi="Times New Roman" w:cs="Times New Roman"/>
    </w:rPr>
  </w:style>
  <w:style w:type="paragraph" w:customStyle="1" w:styleId="2263">
    <w:name w:val="CM44"/>
    <w:basedOn w:val="517"/>
    <w:next w:val="517"/>
    <w:uiPriority w:val="0"/>
    <w:pPr>
      <w:spacing w:after="125"/>
    </w:pPr>
    <w:rPr>
      <w:rFonts w:ascii="Times New Roman"/>
      <w:color w:val="auto"/>
    </w:rPr>
  </w:style>
  <w:style w:type="paragraph" w:customStyle="1" w:styleId="2264">
    <w:name w:val="正文缩进3"/>
    <w:basedOn w:val="1"/>
    <w:uiPriority w:val="0"/>
    <w:pPr>
      <w:ind w:firstLine="420"/>
    </w:pPr>
    <w:rPr>
      <w:rFonts w:ascii="仿宋体" w:eastAsia="宋体"/>
    </w:rPr>
  </w:style>
  <w:style w:type="paragraph" w:customStyle="1" w:styleId="2265">
    <w:name w:val="正文01新"/>
    <w:basedOn w:val="1"/>
    <w:uiPriority w:val="0"/>
    <w:pPr>
      <w:spacing w:before="60" w:beforeLines="30" w:line="460" w:lineRule="exact"/>
      <w:ind w:firstLine="200" w:firstLineChars="200"/>
    </w:pPr>
    <w:rPr>
      <w:rFonts w:eastAsia="宋体"/>
      <w:snapToGrid w:val="0"/>
      <w:kern w:val="0"/>
      <w:sz w:val="24"/>
      <w:szCs w:val="24"/>
    </w:rPr>
  </w:style>
  <w:style w:type="character" w:customStyle="1" w:styleId="2266">
    <w:name w:val="表格正文 Char2"/>
    <w:uiPriority w:val="0"/>
    <w:rPr>
      <w:rFonts w:eastAsia="宋体"/>
      <w:kern w:val="2"/>
      <w:sz w:val="21"/>
      <w:szCs w:val="24"/>
      <w:lang w:val="en-US" w:eastAsia="zh-CN" w:bidi="ar-SA"/>
    </w:rPr>
  </w:style>
  <w:style w:type="paragraph" w:customStyle="1" w:styleId="2267">
    <w:name w:val="表格标题-1"/>
    <w:basedOn w:val="164"/>
    <w:uiPriority w:val="0"/>
    <w:pPr>
      <w:ind w:firstLine="0" w:firstLineChars="0"/>
      <w:jc w:val="center"/>
    </w:pPr>
    <w:rPr>
      <w:bCs/>
      <w:kern w:val="0"/>
      <w:szCs w:val="24"/>
      <w:lang w:val="zh-CN"/>
    </w:rPr>
  </w:style>
  <w:style w:type="character" w:customStyle="1" w:styleId="2268">
    <w:name w:val="表格下方正文 Char1"/>
    <w:uiPriority w:val="0"/>
    <w:rPr>
      <w:rFonts w:eastAsia="宋体"/>
      <w:kern w:val="2"/>
      <w:sz w:val="24"/>
      <w:lang w:val="en-US" w:eastAsia="zh-CN" w:bidi="ar-SA"/>
    </w:rPr>
  </w:style>
  <w:style w:type="character" w:customStyle="1" w:styleId="2269">
    <w:name w:val="标题 3 字符"/>
    <w:uiPriority w:val="0"/>
    <w:rPr>
      <w:rFonts w:eastAsia="宋体"/>
      <w:b/>
      <w:bCs/>
      <w:kern w:val="2"/>
      <w:sz w:val="24"/>
      <w:szCs w:val="24"/>
      <w:lang w:val="en-US" w:eastAsia="zh-CN" w:bidi="ar-SA"/>
    </w:rPr>
  </w:style>
  <w:style w:type="paragraph" w:customStyle="1" w:styleId="2270">
    <w:name w:val="一级标题-1"/>
    <w:basedOn w:val="164"/>
    <w:uiPriority w:val="0"/>
    <w:pPr>
      <w:ind w:firstLine="0" w:firstLineChars="0"/>
      <w:outlineLvl w:val="0"/>
    </w:pPr>
    <w:rPr>
      <w:b/>
      <w:bCs/>
      <w:sz w:val="32"/>
      <w:szCs w:val="32"/>
      <w:lang w:val="zh-CN" w:eastAsia="zh-CN"/>
    </w:rPr>
  </w:style>
  <w:style w:type="paragraph" w:customStyle="1" w:styleId="2271">
    <w:name w:val="Char35"/>
    <w:basedOn w:val="34"/>
    <w:next w:val="86"/>
    <w:link w:val="2272"/>
    <w:uiPriority w:val="0"/>
    <w:pPr>
      <w:spacing w:after="120"/>
      <w:ind w:left="420" w:leftChars="200" w:firstLine="420" w:firstLineChars="200"/>
    </w:pPr>
    <w:rPr>
      <w:szCs w:val="24"/>
    </w:rPr>
  </w:style>
  <w:style w:type="character" w:customStyle="1" w:styleId="2272">
    <w:name w:val="正文文本首行缩进 字符"/>
    <w:link w:val="2271"/>
    <w:uiPriority w:val="0"/>
    <w:rPr>
      <w:kern w:val="2"/>
      <w:sz w:val="21"/>
      <w:szCs w:val="24"/>
    </w:rPr>
  </w:style>
  <w:style w:type="character" w:customStyle="1" w:styleId="2273">
    <w:name w:val="报告书正文 Char1"/>
    <w:uiPriority w:val="0"/>
    <w:rPr>
      <w:rFonts w:eastAsia="宋体"/>
      <w:color w:val="000000"/>
      <w:kern w:val="2"/>
      <w:sz w:val="24"/>
      <w:szCs w:val="24"/>
      <w:lang w:val="en-US" w:eastAsia="zh-CN" w:bidi="ar-SA"/>
    </w:rPr>
  </w:style>
  <w:style w:type="character" w:customStyle="1" w:styleId="2274">
    <w:name w:val="Char Char61"/>
    <w:uiPriority w:val="0"/>
    <w:rPr>
      <w:rFonts w:eastAsia="宋体"/>
      <w:kern w:val="2"/>
      <w:sz w:val="18"/>
      <w:szCs w:val="18"/>
      <w:lang w:val="en-US" w:eastAsia="zh-CN" w:bidi="ar-SA"/>
    </w:rPr>
  </w:style>
  <w:style w:type="character" w:customStyle="1" w:styleId="2275">
    <w:name w:val="标题 2 字符"/>
    <w:uiPriority w:val="0"/>
    <w:rPr>
      <w:rFonts w:ascii="Arial" w:hAnsi="Arial" w:eastAsia="黑体"/>
      <w:b/>
      <w:kern w:val="2"/>
      <w:sz w:val="32"/>
      <w:lang w:val="en-US" w:eastAsia="zh-CN" w:bidi="ar-SA"/>
    </w:rPr>
  </w:style>
  <w:style w:type="character" w:customStyle="1" w:styleId="2276">
    <w:name w:val="标题 5 字符"/>
    <w:uiPriority w:val="0"/>
    <w:rPr>
      <w:rFonts w:ascii="Arial" w:hAnsi="Arial" w:eastAsia="仿宋_GB2312"/>
      <w:sz w:val="28"/>
      <w:lang w:val="en-US" w:eastAsia="zh-CN" w:bidi="ar-SA"/>
    </w:rPr>
  </w:style>
  <w:style w:type="character" w:customStyle="1" w:styleId="2277">
    <w:name w:val="纯文本 字符"/>
    <w:uiPriority w:val="0"/>
    <w:rPr>
      <w:rFonts w:eastAsia="宋体"/>
      <w:kern w:val="2"/>
      <w:sz w:val="21"/>
      <w:szCs w:val="24"/>
      <w:lang w:val="en-US" w:eastAsia="zh-CN" w:bidi="ar-SA"/>
    </w:rPr>
  </w:style>
  <w:style w:type="paragraph" w:customStyle="1" w:styleId="2278">
    <w:name w:val="样式 标题 2 + 段后: 12 行"/>
    <w:basedOn w:val="3"/>
    <w:link w:val="2279"/>
    <w:uiPriority w:val="0"/>
    <w:pPr>
      <w:numPr>
        <w:ilvl w:val="0"/>
        <w:numId w:val="0"/>
      </w:numPr>
      <w:spacing w:before="240" w:after="240"/>
    </w:pPr>
    <w:rPr>
      <w:rFonts w:ascii="Times New Roman" w:hAnsi="Times New Roman" w:eastAsia="华文中宋"/>
      <w:b/>
      <w:bCs/>
      <w:sz w:val="32"/>
      <w:lang w:val="en-US" w:eastAsia="zh-CN"/>
    </w:rPr>
  </w:style>
  <w:style w:type="character" w:customStyle="1" w:styleId="2279">
    <w:name w:val="样式 标题 2 + 段后: 12 行 Char"/>
    <w:link w:val="2278"/>
    <w:uiPriority w:val="0"/>
    <w:rPr>
      <w:rFonts w:eastAsia="华文中宋"/>
      <w:b/>
      <w:bCs/>
      <w:kern w:val="2"/>
      <w:sz w:val="32"/>
    </w:rPr>
  </w:style>
  <w:style w:type="character" w:customStyle="1" w:styleId="2280">
    <w:name w:val="日期 字符"/>
    <w:semiHidden/>
    <w:uiPriority w:val="0"/>
    <w:rPr>
      <w:rFonts w:eastAsia="宋体"/>
      <w:kern w:val="2"/>
      <w:sz w:val="24"/>
      <w:lang w:val="en-US" w:eastAsia="zh-CN" w:bidi="ar-SA"/>
    </w:rPr>
  </w:style>
  <w:style w:type="character" w:customStyle="1" w:styleId="2281">
    <w:name w:val="框架 Char"/>
    <w:link w:val="951"/>
    <w:uiPriority w:val="0"/>
    <w:rPr>
      <w:rFonts w:ascii="宋体" w:hAnsi="宋体"/>
      <w:sz w:val="18"/>
    </w:rPr>
  </w:style>
  <w:style w:type="paragraph" w:customStyle="1" w:styleId="2282">
    <w:name w:val="样式 楷体_GB2312 小三 首行缩进:  1.11 厘米"/>
    <w:basedOn w:val="1"/>
    <w:uiPriority w:val="0"/>
    <w:pPr>
      <w:spacing w:line="400" w:lineRule="exact"/>
      <w:ind w:firstLine="643" w:firstLineChars="200"/>
    </w:pPr>
    <w:rPr>
      <w:rFonts w:ascii="宋体" w:hAnsi="宋体" w:eastAsia="宋体" w:cs="宋体"/>
      <w:b/>
      <w:sz w:val="32"/>
      <w:szCs w:val="32"/>
    </w:rPr>
  </w:style>
  <w:style w:type="character" w:customStyle="1" w:styleId="2283">
    <w:name w:val="标题 1 字符"/>
    <w:uiPriority w:val="0"/>
    <w:rPr>
      <w:rFonts w:ascii="Arial" w:hAnsi="Arial" w:eastAsia="大标宋"/>
      <w:b/>
      <w:snapToGrid w:val="0"/>
      <w:sz w:val="32"/>
      <w:lang w:val="en-US" w:eastAsia="zh-CN" w:bidi="ar-SA"/>
    </w:rPr>
  </w:style>
  <w:style w:type="character" w:customStyle="1" w:styleId="2284">
    <w:name w:val="Footer1 Char Char"/>
    <w:uiPriority w:val="0"/>
    <w:rPr>
      <w:rFonts w:eastAsia="宋体"/>
      <w:kern w:val="2"/>
      <w:sz w:val="18"/>
      <w:szCs w:val="18"/>
      <w:lang w:val="en-US" w:eastAsia="zh-CN" w:bidi="ar-SA"/>
    </w:rPr>
  </w:style>
  <w:style w:type="character" w:customStyle="1" w:styleId="2285">
    <w:name w:val="文档结构图 字符"/>
    <w:semiHidden/>
    <w:uiPriority w:val="0"/>
    <w:rPr>
      <w:rFonts w:eastAsia="宋体"/>
      <w:kern w:val="2"/>
      <w:sz w:val="24"/>
      <w:szCs w:val="24"/>
      <w:lang w:val="en-US" w:eastAsia="zh-CN" w:bidi="ar-SA"/>
    </w:rPr>
  </w:style>
  <w:style w:type="paragraph" w:customStyle="1" w:styleId="2286">
    <w:name w:val="eb"/>
    <w:basedOn w:val="1"/>
    <w:uiPriority w:val="0"/>
    <w:pPr>
      <w:keepLines/>
      <w:widowControl/>
      <w:tabs>
        <w:tab w:val="left" w:pos="284"/>
      </w:tabs>
      <w:spacing w:before="60"/>
      <w:ind w:left="641" w:hanging="357"/>
    </w:pPr>
    <w:rPr>
      <w:rFonts w:ascii="Arial" w:hAnsi="Arial" w:eastAsia="宋体" w:cs="Arial"/>
      <w:kern w:val="0"/>
      <w:sz w:val="20"/>
      <w:lang w:val="fr-FR" w:eastAsia="fr-FR"/>
    </w:rPr>
  </w:style>
  <w:style w:type="paragraph" w:customStyle="1" w:styleId="2287">
    <w:name w:val="Char26"/>
    <w:basedOn w:val="1"/>
    <w:uiPriority w:val="0"/>
    <w:rPr>
      <w:rFonts w:eastAsia="宋体"/>
      <w:sz w:val="21"/>
      <w:szCs w:val="24"/>
    </w:rPr>
  </w:style>
  <w:style w:type="paragraph" w:customStyle="1" w:styleId="2288">
    <w:name w:val="表头-吴"/>
    <w:next w:val="1"/>
    <w:link w:val="2289"/>
    <w:uiPriority w:val="0"/>
    <w:pPr>
      <w:ind w:firstLine="200" w:firstLineChars="200"/>
    </w:pPr>
    <w:rPr>
      <w:rFonts w:ascii="Times New Roman" w:hAnsi="Times New Roman" w:eastAsia="宋体" w:cs="宋体"/>
      <w:bCs/>
      <w:kern w:val="2"/>
      <w:sz w:val="21"/>
      <w:lang w:val="en-US" w:eastAsia="zh-CN" w:bidi="ar-SA"/>
    </w:rPr>
  </w:style>
  <w:style w:type="character" w:customStyle="1" w:styleId="2289">
    <w:name w:val="表头-吴 Char"/>
    <w:link w:val="2288"/>
    <w:uiPriority w:val="0"/>
    <w:rPr>
      <w:rFonts w:cs="宋体"/>
      <w:bCs/>
      <w:kern w:val="2"/>
      <w:sz w:val="21"/>
    </w:rPr>
  </w:style>
  <w:style w:type="paragraph" w:customStyle="1" w:styleId="2290">
    <w:name w:val="表名-吴"/>
    <w:next w:val="1"/>
    <w:link w:val="2291"/>
    <w:uiPriority w:val="0"/>
    <w:pPr>
      <w:jc w:val="center"/>
    </w:pPr>
    <w:rPr>
      <w:rFonts w:ascii="Times New Roman" w:hAnsi="Times New Roman" w:eastAsia="黑体" w:cs="Times New Roman"/>
      <w:kern w:val="2"/>
      <w:sz w:val="24"/>
      <w:szCs w:val="24"/>
      <w:lang w:val="en-US" w:eastAsia="zh-CN" w:bidi="ar-SA"/>
    </w:rPr>
  </w:style>
  <w:style w:type="character" w:customStyle="1" w:styleId="2291">
    <w:name w:val="表名-吴 Char"/>
    <w:link w:val="2290"/>
    <w:uiPriority w:val="0"/>
    <w:rPr>
      <w:rFonts w:eastAsia="黑体"/>
      <w:kern w:val="2"/>
      <w:sz w:val="24"/>
      <w:szCs w:val="24"/>
    </w:rPr>
  </w:style>
  <w:style w:type="character" w:customStyle="1" w:styleId="2292">
    <w:name w:val="题注 字符"/>
    <w:uiPriority w:val="0"/>
    <w:rPr>
      <w:rFonts w:ascii="Arial Gras" w:hAnsi="Arial Gras" w:eastAsia="黑体"/>
      <w:bCs/>
      <w:iCs/>
      <w:kern w:val="2"/>
      <w:sz w:val="24"/>
      <w:szCs w:val="18"/>
      <w:lang w:val="en-GB" w:eastAsia="zh-CN" w:bidi="ar-SA"/>
    </w:rPr>
  </w:style>
  <w:style w:type="paragraph" w:customStyle="1" w:styleId="2293">
    <w:name w:val="表号"/>
    <w:basedOn w:val="1"/>
    <w:uiPriority w:val="0"/>
    <w:pPr>
      <w:spacing w:line="360" w:lineRule="auto"/>
      <w:jc w:val="right"/>
    </w:pPr>
    <w:rPr>
      <w:rFonts w:eastAsia="宋体"/>
      <w:b/>
      <w:sz w:val="21"/>
      <w:szCs w:val="21"/>
    </w:rPr>
  </w:style>
  <w:style w:type="character" w:customStyle="1" w:styleId="2294">
    <w:name w:val="表格名称 Char"/>
    <w:link w:val="1388"/>
    <w:uiPriority w:val="0"/>
    <w:rPr>
      <w:rFonts w:eastAsia="黑体"/>
      <w:kern w:val="2"/>
    </w:rPr>
  </w:style>
  <w:style w:type="paragraph" w:customStyle="1" w:styleId="2295">
    <w:name w:val="pvc1.1"/>
    <w:basedOn w:val="33"/>
    <w:next w:val="33"/>
    <w:semiHidden/>
    <w:uiPriority w:val="0"/>
    <w:pPr>
      <w:tabs>
        <w:tab w:val="left" w:pos="576"/>
        <w:tab w:val="left" w:pos="768"/>
      </w:tabs>
      <w:adjustRightInd w:val="0"/>
      <w:spacing w:before="312" w:beforeLines="100" w:after="312" w:afterLines="100"/>
      <w:ind w:firstLine="200" w:firstLineChars="200"/>
    </w:pPr>
    <w:rPr>
      <w:rFonts w:eastAsia="宋体"/>
      <w:sz w:val="21"/>
      <w:szCs w:val="24"/>
      <w:lang w:val="en-US" w:eastAsia="zh-CN"/>
    </w:rPr>
  </w:style>
  <w:style w:type="paragraph" w:customStyle="1" w:styleId="2296">
    <w:name w:val="Char Char Char Char Char Char Char Char Char Char6"/>
    <w:basedOn w:val="1"/>
    <w:uiPriority w:val="0"/>
    <w:pPr>
      <w:spacing w:line="360" w:lineRule="auto"/>
      <w:ind w:firstLine="200" w:firstLineChars="200"/>
    </w:pPr>
    <w:rPr>
      <w:rFonts w:eastAsia="宋体"/>
      <w:sz w:val="21"/>
      <w:szCs w:val="24"/>
    </w:rPr>
  </w:style>
  <w:style w:type="character" w:customStyle="1" w:styleId="2297">
    <w:name w:val="Char2 Char Char"/>
    <w:uiPriority w:val="0"/>
    <w:rPr>
      <w:rFonts w:ascii="Arial Gras" w:hAnsi="Arial Gras" w:eastAsia="黑体"/>
      <w:bCs/>
      <w:iCs/>
      <w:kern w:val="2"/>
      <w:sz w:val="24"/>
      <w:szCs w:val="18"/>
      <w:lang w:val="en-GB" w:eastAsia="zh-CN" w:bidi="ar-SA"/>
    </w:rPr>
  </w:style>
  <w:style w:type="paragraph" w:customStyle="1" w:styleId="2298">
    <w:name w:val="正文（ZJU2013M01）"/>
    <w:basedOn w:val="1"/>
    <w:uiPriority w:val="0"/>
    <w:pPr>
      <w:spacing w:line="440" w:lineRule="exact"/>
      <w:ind w:firstLine="200" w:firstLineChars="200"/>
    </w:pPr>
    <w:rPr>
      <w:sz w:val="24"/>
      <w:szCs w:val="24"/>
    </w:rPr>
  </w:style>
  <w:style w:type="paragraph" w:customStyle="1" w:styleId="2299">
    <w:name w:val="Char Char Char Char Char2"/>
    <w:basedOn w:val="1"/>
    <w:uiPriority w:val="0"/>
    <w:rPr>
      <w:rFonts w:eastAsia="宋体"/>
      <w:sz w:val="21"/>
      <w:szCs w:val="24"/>
    </w:rPr>
  </w:style>
  <w:style w:type="character" w:customStyle="1" w:styleId="2300">
    <w:name w:val="Char2 Char"/>
    <w:uiPriority w:val="0"/>
    <w:rPr>
      <w:rFonts w:ascii="Arial Gras" w:hAnsi="Arial Gras" w:eastAsia="黑体" w:cs="Times New Roman"/>
      <w:bCs/>
      <w:iCs/>
      <w:sz w:val="24"/>
      <w:szCs w:val="18"/>
      <w:lang w:val="en-GB"/>
    </w:rPr>
  </w:style>
  <w:style w:type="character" w:customStyle="1" w:styleId="2301">
    <w:name w:val="环评正文（ZJU） Char Char"/>
    <w:link w:val="2302"/>
    <w:semiHidden/>
    <w:uiPriority w:val="0"/>
    <w:rPr>
      <w:rFonts w:eastAsia="仿宋_GB2312"/>
      <w:kern w:val="2"/>
      <w:sz w:val="24"/>
      <w:szCs w:val="24"/>
    </w:rPr>
  </w:style>
  <w:style w:type="paragraph" w:customStyle="1" w:styleId="2302">
    <w:name w:val="环评正文（ZJU）"/>
    <w:basedOn w:val="1"/>
    <w:link w:val="2301"/>
    <w:semiHidden/>
    <w:uiPriority w:val="0"/>
    <w:pPr>
      <w:spacing w:line="440" w:lineRule="exact"/>
      <w:ind w:firstLine="200" w:firstLineChars="200"/>
    </w:pPr>
    <w:rPr>
      <w:sz w:val="24"/>
      <w:szCs w:val="24"/>
    </w:rPr>
  </w:style>
  <w:style w:type="paragraph" w:customStyle="1" w:styleId="2303">
    <w:name w:val="Char Char Char"/>
    <w:basedOn w:val="1"/>
    <w:uiPriority w:val="0"/>
    <w:rPr>
      <w:rFonts w:eastAsia="宋体"/>
      <w:sz w:val="21"/>
      <w:szCs w:val="24"/>
    </w:rPr>
  </w:style>
  <w:style w:type="paragraph" w:customStyle="1" w:styleId="2304">
    <w:name w:val="3级标题 + Times New Roman"/>
    <w:basedOn w:val="1"/>
    <w:link w:val="2305"/>
    <w:uiPriority w:val="0"/>
    <w:pPr>
      <w:spacing w:before="60" w:line="460" w:lineRule="exact"/>
      <w:outlineLvl w:val="2"/>
    </w:pPr>
    <w:rPr>
      <w:rFonts w:eastAsia="宋体"/>
      <w:b/>
      <w:bCs/>
    </w:rPr>
  </w:style>
  <w:style w:type="character" w:customStyle="1" w:styleId="2305">
    <w:name w:val="3级标题 + Times New Roman Char"/>
    <w:link w:val="2304"/>
    <w:uiPriority w:val="0"/>
    <w:rPr>
      <w:b/>
      <w:bCs/>
      <w:kern w:val="2"/>
      <w:sz w:val="28"/>
    </w:rPr>
  </w:style>
  <w:style w:type="paragraph" w:customStyle="1" w:styleId="2306">
    <w:name w:val="二级(1)"/>
    <w:basedOn w:val="1"/>
    <w:uiPriority w:val="0"/>
    <w:pPr>
      <w:tabs>
        <w:tab w:val="left" w:pos="425"/>
        <w:tab w:val="left" w:pos="981"/>
      </w:tabs>
      <w:adjustRightInd w:val="0"/>
      <w:snapToGrid w:val="0"/>
      <w:spacing w:before="60"/>
      <w:ind w:left="425" w:hanging="425"/>
      <w:textAlignment w:val="baseline"/>
    </w:pPr>
    <w:rPr>
      <w:rFonts w:eastAsia="宋体"/>
      <w:b/>
      <w:bCs/>
      <w:kern w:val="0"/>
      <w:sz w:val="21"/>
      <w:szCs w:val="21"/>
    </w:rPr>
  </w:style>
  <w:style w:type="paragraph" w:customStyle="1" w:styleId="2307">
    <w:name w:val="样式 正文缩进正文（首行缩进两字）正文（首行缩进两字） Char Char Char Char Char Char正文（首...1"/>
    <w:basedOn w:val="4"/>
    <w:uiPriority w:val="0"/>
    <w:pPr>
      <w:autoSpaceDE w:val="0"/>
      <w:autoSpaceDN w:val="0"/>
      <w:adjustRightInd w:val="0"/>
      <w:spacing w:line="360" w:lineRule="auto"/>
      <w:ind w:left="-50" w:firstLine="442"/>
      <w:jc w:val="left"/>
      <w:textAlignment w:val="baseline"/>
    </w:pPr>
    <w:rPr>
      <w:rFonts w:ascii="Times New Roman" w:hAnsi="Times New Roman" w:cs="Times New Roman"/>
      <w:spacing w:val="0"/>
    </w:rPr>
  </w:style>
  <w:style w:type="paragraph" w:customStyle="1" w:styleId="2308">
    <w:name w:val="Char Char Char Char Char Char Char6"/>
    <w:basedOn w:val="1"/>
    <w:uiPriority w:val="0"/>
    <w:rPr>
      <w:rFonts w:ascii="Tahoma" w:hAnsi="Tahoma" w:eastAsia="宋体"/>
      <w:sz w:val="24"/>
    </w:rPr>
  </w:style>
  <w:style w:type="character" w:customStyle="1" w:styleId="2309">
    <w:name w:val="正文001 Char3"/>
    <w:uiPriority w:val="0"/>
    <w:rPr>
      <w:rFonts w:eastAsia="宋体"/>
      <w:kern w:val="2"/>
      <w:sz w:val="24"/>
      <w:lang w:val="en-US" w:eastAsia="zh-CN" w:bidi="ar-SA"/>
    </w:rPr>
  </w:style>
  <w:style w:type="character" w:customStyle="1" w:styleId="2310">
    <w:name w:val="eee"/>
    <w:basedOn w:val="132"/>
    <w:uiPriority w:val="0"/>
  </w:style>
  <w:style w:type="paragraph" w:customStyle="1" w:styleId="2311">
    <w:name w:val="33"/>
    <w:basedOn w:val="1"/>
    <w:next w:val="1"/>
    <w:uiPriority w:val="0"/>
    <w:pPr>
      <w:spacing w:after="50" w:afterLines="50" w:line="300" w:lineRule="auto"/>
      <w:ind w:firstLine="217" w:firstLineChars="217"/>
    </w:pPr>
    <w:rPr>
      <w:rFonts w:eastAsia="黑体"/>
      <w:sz w:val="24"/>
      <w:szCs w:val="24"/>
    </w:rPr>
  </w:style>
  <w:style w:type="paragraph" w:customStyle="1" w:styleId="2312">
    <w:name w:val="样式 标题 1章标题(有序号) +"/>
    <w:basedOn w:val="2"/>
    <w:uiPriority w:val="0"/>
    <w:pPr>
      <w:keepNext w:val="0"/>
      <w:keepLines w:val="0"/>
      <w:pageBreakBefore w:val="0"/>
      <w:tabs>
        <w:tab w:val="clear" w:pos="1080"/>
      </w:tabs>
      <w:adjustRightInd w:val="0"/>
      <w:spacing w:before="100" w:beforeAutospacing="1" w:after="100" w:afterAutospacing="1" w:line="360" w:lineRule="auto"/>
      <w:ind w:left="0" w:firstLine="0"/>
      <w:textAlignment w:val="baseline"/>
    </w:pPr>
    <w:rPr>
      <w:rFonts w:eastAsia="黑体"/>
      <w:bCs/>
      <w:kern w:val="2"/>
      <w:sz w:val="28"/>
      <w:szCs w:val="28"/>
      <w:lang w:val="en-US" w:eastAsia="zh-CN"/>
    </w:rPr>
  </w:style>
  <w:style w:type="paragraph" w:customStyle="1" w:styleId="2313">
    <w:name w:val="样式 标题 2节标题一级节名节标题 1.1标题 2 Char Char第一条l2Alt+2H2Underrub..."/>
    <w:basedOn w:val="5"/>
    <w:next w:val="5"/>
    <w:uiPriority w:val="0"/>
    <w:pPr>
      <w:keepNext w:val="0"/>
      <w:keepLines w:val="0"/>
      <w:numPr>
        <w:numId w:val="0"/>
      </w:numPr>
      <w:spacing w:before="100" w:beforeAutospacing="1" w:after="100" w:afterAutospacing="1" w:line="360" w:lineRule="auto"/>
      <w:ind w:left="945"/>
      <w:jc w:val="left"/>
    </w:pPr>
    <w:rPr>
      <w:rFonts w:ascii="Times New Roman" w:eastAsia="黑体" w:cs="宋体"/>
      <w:kern w:val="2"/>
      <w:lang w:val="en-US" w:eastAsia="zh-CN"/>
    </w:rPr>
  </w:style>
  <w:style w:type="character" w:customStyle="1" w:styleId="2314">
    <w:name w:val="标题9"/>
    <w:basedOn w:val="132"/>
    <w:uiPriority w:val="0"/>
  </w:style>
  <w:style w:type="paragraph" w:customStyle="1" w:styleId="2315">
    <w:name w:val="样式 标题 3 + 四号"/>
    <w:basedOn w:val="5"/>
    <w:uiPriority w:val="0"/>
    <w:pPr>
      <w:keepLines w:val="0"/>
      <w:widowControl/>
      <w:numPr>
        <w:ilvl w:val="0"/>
        <w:numId w:val="0"/>
      </w:numPr>
      <w:overflowPunct w:val="0"/>
      <w:autoSpaceDE w:val="0"/>
      <w:autoSpaceDN w:val="0"/>
      <w:adjustRightInd w:val="0"/>
      <w:spacing w:before="240"/>
      <w:jc w:val="left"/>
      <w:textAlignment w:val="baseline"/>
    </w:pPr>
    <w:rPr>
      <w:rFonts w:ascii="黑体" w:hAnsi="Symbol" w:eastAsia="黑体"/>
      <w:b w:val="0"/>
      <w:bCs w:val="0"/>
      <w:spacing w:val="10"/>
      <w:kern w:val="28"/>
      <w:sz w:val="28"/>
      <w:lang w:val="en-US" w:eastAsia="zh-CN"/>
    </w:rPr>
  </w:style>
  <w:style w:type="paragraph" w:customStyle="1" w:styleId="2316">
    <w:name w:val="样式 样式 3级标题 + 段前: 3 磅 + Arial"/>
    <w:basedOn w:val="1"/>
    <w:uiPriority w:val="0"/>
    <w:pPr>
      <w:spacing w:before="60" w:line="460" w:lineRule="exact"/>
      <w:outlineLvl w:val="2"/>
    </w:pPr>
    <w:rPr>
      <w:rFonts w:eastAsia="宋体"/>
      <w:b/>
      <w:bCs/>
      <w:sz w:val="24"/>
    </w:rPr>
  </w:style>
  <w:style w:type="character" w:customStyle="1" w:styleId="2317">
    <w:name w:val="hangju"/>
    <w:basedOn w:val="132"/>
    <w:uiPriority w:val="0"/>
  </w:style>
  <w:style w:type="paragraph" w:customStyle="1" w:styleId="2318">
    <w:name w:val="前上一函，谅达雅鉴，迄今未闻复音。"/>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319">
    <w:name w:val="表格后文 Char"/>
    <w:uiPriority w:val="0"/>
    <w:rPr>
      <w:rFonts w:eastAsia="宋体"/>
      <w:kern w:val="2"/>
      <w:sz w:val="24"/>
      <w:szCs w:val="24"/>
      <w:lang w:val="en-US" w:eastAsia="zh-CN" w:bidi="ar-SA"/>
    </w:rPr>
  </w:style>
  <w:style w:type="character" w:customStyle="1" w:styleId="2320">
    <w:name w:val="lh131"/>
    <w:basedOn w:val="132"/>
    <w:uiPriority w:val="0"/>
  </w:style>
  <w:style w:type="paragraph" w:customStyle="1" w:styleId="2321">
    <w:name w:val="4 Char"/>
    <w:basedOn w:val="1"/>
    <w:uiPriority w:val="0"/>
    <w:pPr>
      <w:tabs>
        <w:tab w:val="left" w:pos="794"/>
        <w:tab w:val="left" w:pos="1191"/>
        <w:tab w:val="left" w:pos="1588"/>
        <w:tab w:val="left" w:pos="1985"/>
      </w:tabs>
      <w:autoSpaceDE w:val="0"/>
      <w:autoSpaceDN w:val="0"/>
      <w:adjustRightInd w:val="0"/>
      <w:spacing w:before="136"/>
    </w:pPr>
    <w:rPr>
      <w:rFonts w:ascii="Tahoma" w:hAnsi="Tahoma" w:eastAsia="宋体"/>
      <w:kern w:val="0"/>
      <w:sz w:val="24"/>
      <w:lang w:val="en-GB"/>
    </w:rPr>
  </w:style>
  <w:style w:type="character" w:customStyle="1" w:styleId="2322">
    <w:name w:val="样式 标题 1 + 黑体 Char Char Char"/>
    <w:uiPriority w:val="0"/>
    <w:rPr>
      <w:rFonts w:ascii="黑体" w:hAnsi="黑体" w:eastAsia="黑体"/>
      <w:b/>
      <w:bCs/>
      <w:kern w:val="44"/>
      <w:sz w:val="30"/>
      <w:szCs w:val="30"/>
      <w:lang w:val="en-US" w:eastAsia="zh-CN" w:bidi="ar-SA"/>
    </w:rPr>
  </w:style>
  <w:style w:type="paragraph" w:customStyle="1" w:styleId="2323">
    <w:name w:val="Char Char Char Char Char Char Char Char Char Char Char Char1 Char"/>
    <w:basedOn w:val="1"/>
    <w:uiPriority w:val="0"/>
    <w:rPr>
      <w:rFonts w:eastAsia="宋体"/>
      <w:sz w:val="21"/>
      <w:szCs w:val="24"/>
    </w:rPr>
  </w:style>
  <w:style w:type="paragraph" w:customStyle="1" w:styleId="2324">
    <w:name w:val="110"/>
    <w:basedOn w:val="1"/>
    <w:next w:val="34"/>
    <w:uiPriority w:val="0"/>
    <w:pPr>
      <w:spacing w:line="360" w:lineRule="auto"/>
      <w:ind w:firstLine="480" w:firstLineChars="200"/>
    </w:pPr>
    <w:rPr>
      <w:sz w:val="24"/>
      <w:szCs w:val="24"/>
    </w:rPr>
  </w:style>
  <w:style w:type="paragraph" w:customStyle="1" w:styleId="2325">
    <w:name w:val="样式 正文01 + 非加粗 首行缩进:  0.85 厘米"/>
    <w:basedOn w:val="1"/>
    <w:uiPriority w:val="0"/>
    <w:pPr>
      <w:spacing w:before="60" w:line="460" w:lineRule="atLeast"/>
      <w:ind w:firstLine="200" w:firstLineChars="200"/>
    </w:pPr>
    <w:rPr>
      <w:rFonts w:hint="eastAsia" w:eastAsia="宋体"/>
      <w:sz w:val="24"/>
      <w:szCs w:val="24"/>
    </w:rPr>
  </w:style>
  <w:style w:type="paragraph" w:customStyle="1" w:styleId="2326">
    <w:name w:val="章标题李"/>
    <w:basedOn w:val="1"/>
    <w:uiPriority w:val="0"/>
    <w:rPr>
      <w:rFonts w:eastAsia="宋体"/>
      <w:b/>
      <w:sz w:val="30"/>
      <w:szCs w:val="30"/>
    </w:rPr>
  </w:style>
  <w:style w:type="character" w:customStyle="1" w:styleId="2327">
    <w:name w:val="样式 二级标题 + Char"/>
    <w:link w:val="2328"/>
    <w:uiPriority w:val="0"/>
    <w:rPr>
      <w:b/>
      <w:bCs/>
      <w:snapToGrid w:val="0"/>
      <w:kern w:val="2"/>
      <w:sz w:val="28"/>
      <w:szCs w:val="24"/>
    </w:rPr>
  </w:style>
  <w:style w:type="paragraph" w:customStyle="1" w:styleId="2328">
    <w:name w:val="样式 二级标题 +"/>
    <w:basedOn w:val="260"/>
    <w:next w:val="1"/>
    <w:link w:val="2327"/>
    <w:uiPriority w:val="0"/>
    <w:pPr>
      <w:spacing w:before="120"/>
    </w:pPr>
    <w:rPr>
      <w:bCs/>
      <w:snapToGrid w:val="0"/>
      <w:lang w:val="en-US" w:eastAsia="zh-CN"/>
    </w:rPr>
  </w:style>
  <w:style w:type="paragraph" w:customStyle="1" w:styleId="2329">
    <w:name w:val="1 Char Char Char Char Char Char Char Char"/>
    <w:basedOn w:val="1"/>
    <w:uiPriority w:val="0"/>
    <w:rPr>
      <w:rFonts w:eastAsia="宋体"/>
      <w:sz w:val="24"/>
      <w:szCs w:val="24"/>
    </w:rPr>
  </w:style>
  <w:style w:type="character" w:customStyle="1" w:styleId="2330">
    <w:name w:val="1级标题 Char"/>
    <w:link w:val="680"/>
    <w:uiPriority w:val="0"/>
    <w:rPr>
      <w:rFonts w:ascii="Arial" w:hAnsi="Arial"/>
      <w:b/>
      <w:kern w:val="2"/>
      <w:sz w:val="32"/>
      <w:szCs w:val="24"/>
    </w:rPr>
  </w:style>
  <w:style w:type="paragraph" w:customStyle="1" w:styleId="2331">
    <w:name w:val="Char Char1 Char Char Char Char Char Char Char Char Char Char Char Char Char Char Char Char Char Char Char Char1 Char7"/>
    <w:basedOn w:val="1"/>
    <w:uiPriority w:val="0"/>
    <w:pPr>
      <w:spacing w:line="360" w:lineRule="auto"/>
      <w:ind w:firstLine="200" w:firstLineChars="200"/>
    </w:pPr>
    <w:rPr>
      <w:rFonts w:ascii="宋体" w:hAnsi="宋体" w:eastAsia="宋体" w:cs="宋体"/>
      <w:sz w:val="24"/>
      <w:szCs w:val="24"/>
    </w:rPr>
  </w:style>
  <w:style w:type="character" w:customStyle="1" w:styleId="2332">
    <w:name w:val="11p1"/>
    <w:uiPriority w:val="0"/>
    <w:rPr>
      <w:sz w:val="26"/>
      <w:szCs w:val="26"/>
    </w:rPr>
  </w:style>
  <w:style w:type="paragraph" w:customStyle="1" w:styleId="2333">
    <w:name w:val="样式 正文缩进正文（首行缩进两字）正文（首行缩进两字） Char Char Char Char Char Char正文（首...2"/>
    <w:basedOn w:val="4"/>
    <w:uiPriority w:val="0"/>
    <w:pPr>
      <w:autoSpaceDE w:val="0"/>
      <w:autoSpaceDN w:val="0"/>
      <w:adjustRightInd w:val="0"/>
      <w:spacing w:before="120" w:line="360" w:lineRule="auto"/>
      <w:ind w:firstLine="480" w:firstLineChars="200"/>
      <w:textAlignment w:val="baseline"/>
    </w:pPr>
    <w:rPr>
      <w:rFonts w:ascii="Times New Roman" w:hAnsi="Times New Roman" w:eastAsia="幼圆" w:cs="华文楷体"/>
      <w:spacing w:val="0"/>
      <w:szCs w:val="24"/>
    </w:rPr>
  </w:style>
  <w:style w:type="paragraph" w:customStyle="1" w:styleId="2334">
    <w:name w:val="样式 标题 4 + 褐色"/>
    <w:basedOn w:val="6"/>
    <w:uiPriority w:val="0"/>
    <w:pPr>
      <w:keepNext w:val="0"/>
      <w:keepLines w:val="0"/>
      <w:numPr>
        <w:numId w:val="0"/>
      </w:numPr>
      <w:tabs>
        <w:tab w:val="left" w:pos="864"/>
      </w:tabs>
      <w:autoSpaceDE w:val="0"/>
      <w:autoSpaceDN w:val="0"/>
      <w:adjustRightInd/>
      <w:spacing w:line="360" w:lineRule="auto"/>
      <w:ind w:left="864"/>
      <w:jc w:val="left"/>
    </w:pPr>
    <w:rPr>
      <w:rFonts w:ascii="Times New Roman" w:hAnsi="Times New Roman" w:eastAsia="幼圆"/>
      <w:b w:val="0"/>
      <w:color w:val="0000FF"/>
      <w:sz w:val="21"/>
      <w:szCs w:val="21"/>
      <w:lang w:val="en-US" w:eastAsia="zh-CN"/>
    </w:rPr>
  </w:style>
  <w:style w:type="character" w:customStyle="1" w:styleId="2335">
    <w:name w:val="Char Char9"/>
    <w:uiPriority w:val="0"/>
    <w:rPr>
      <w:rFonts w:eastAsia="宋体"/>
      <w:kern w:val="2"/>
      <w:sz w:val="18"/>
      <w:szCs w:val="24"/>
      <w:lang w:val="en-US" w:eastAsia="zh-CN" w:bidi="ar-SA"/>
    </w:rPr>
  </w:style>
  <w:style w:type="character" w:customStyle="1" w:styleId="2336">
    <w:name w:val="石化产业工业区正文 Char Char"/>
    <w:link w:val="2337"/>
    <w:uiPriority w:val="0"/>
    <w:rPr>
      <w:rFonts w:ascii="宋体" w:hAnsi="宋体"/>
      <w:sz w:val="24"/>
    </w:rPr>
  </w:style>
  <w:style w:type="paragraph" w:customStyle="1" w:styleId="2337">
    <w:name w:val="石化产业工业区正文"/>
    <w:basedOn w:val="1"/>
    <w:link w:val="2336"/>
    <w:uiPriority w:val="0"/>
    <w:pPr>
      <w:spacing w:line="324" w:lineRule="auto"/>
      <w:ind w:firstLine="480" w:firstLineChars="200"/>
    </w:pPr>
    <w:rPr>
      <w:rFonts w:ascii="宋体" w:hAnsi="宋体" w:eastAsia="宋体"/>
      <w:kern w:val="0"/>
      <w:sz w:val="24"/>
    </w:rPr>
  </w:style>
  <w:style w:type="character" w:customStyle="1" w:styleId="2338">
    <w:name w:val="Char Char39"/>
    <w:uiPriority w:val="0"/>
    <w:rPr>
      <w:b/>
      <w:bCs/>
      <w:kern w:val="2"/>
      <w:sz w:val="24"/>
      <w:szCs w:val="24"/>
    </w:rPr>
  </w:style>
  <w:style w:type="paragraph" w:customStyle="1" w:styleId="2339">
    <w:name w:val="Char Char2 Char Char1"/>
    <w:basedOn w:val="1"/>
    <w:next w:val="1"/>
    <w:uiPriority w:val="0"/>
    <w:pPr>
      <w:spacing w:line="360" w:lineRule="auto"/>
    </w:pPr>
    <w:rPr>
      <w:rFonts w:eastAsia="宋体"/>
      <w:sz w:val="21"/>
      <w:szCs w:val="24"/>
    </w:rPr>
  </w:style>
  <w:style w:type="paragraph" w:customStyle="1" w:styleId="2340">
    <w:name w:val="样式 黑体 首行缩进:  2 字符"/>
    <w:basedOn w:val="1"/>
    <w:uiPriority w:val="0"/>
    <w:pPr>
      <w:ind w:firstLine="420"/>
    </w:pPr>
    <w:rPr>
      <w:rFonts w:ascii="黑体" w:hAnsi="黑体" w:eastAsia="黑体" w:cs="宋体"/>
      <w:sz w:val="24"/>
    </w:rPr>
  </w:style>
  <w:style w:type="paragraph" w:customStyle="1" w:styleId="2341">
    <w:name w:val="样式 标题 2标题 2 Char Char + 段后: 0.5 行"/>
    <w:basedOn w:val="3"/>
    <w:uiPriority w:val="0"/>
    <w:pPr>
      <w:keepNext w:val="0"/>
      <w:keepLines w:val="0"/>
      <w:numPr>
        <w:ilvl w:val="4"/>
        <w:numId w:val="20"/>
      </w:numPr>
      <w:tabs>
        <w:tab w:val="left" w:pos="4680"/>
        <w:tab w:val="clear" w:pos="1440"/>
      </w:tabs>
      <w:autoSpaceDE w:val="0"/>
      <w:autoSpaceDN w:val="0"/>
      <w:adjustRightInd w:val="0"/>
      <w:spacing w:before="360" w:after="156" w:afterLines="50" w:line="360" w:lineRule="auto"/>
      <w:ind w:left="4680"/>
      <w:textAlignment w:val="baseline"/>
    </w:pPr>
    <w:rPr>
      <w:rFonts w:hAnsi="宋体" w:cs="宋体"/>
      <w:spacing w:val="10"/>
      <w:kern w:val="0"/>
      <w:lang w:val="en-US" w:eastAsia="zh-CN"/>
    </w:rPr>
  </w:style>
  <w:style w:type="character" w:customStyle="1" w:styleId="2342">
    <w:name w:val="正文（首行缩进两字） Char Char Char Char Char Char Char Char Char Char Char Char Char Char Char Char"/>
    <w:uiPriority w:val="0"/>
    <w:rPr>
      <w:rFonts w:eastAsia="宋体"/>
      <w:kern w:val="2"/>
      <w:sz w:val="24"/>
      <w:lang w:val="en-US" w:eastAsia="zh-CN" w:bidi="ar-SA"/>
    </w:rPr>
  </w:style>
  <w:style w:type="character" w:customStyle="1" w:styleId="2343">
    <w:name w:val="标题 4 字符"/>
    <w:uiPriority w:val="0"/>
    <w:rPr>
      <w:rFonts w:ascii="Arial" w:hAnsi="Arial" w:eastAsia="仿宋_GB2312"/>
      <w:b/>
      <w:sz w:val="28"/>
      <w:lang w:val="en-US" w:eastAsia="zh-CN" w:bidi="ar-SA"/>
    </w:rPr>
  </w:style>
  <w:style w:type="character" w:customStyle="1" w:styleId="2344">
    <w:name w:val="WW8Num499z0"/>
    <w:uiPriority w:val="0"/>
    <w:rPr>
      <w:rFonts w:ascii="宋体" w:hAnsi="宋体"/>
    </w:rPr>
  </w:style>
  <w:style w:type="character" w:customStyle="1" w:styleId="2345">
    <w:name w:val="样式 正文首行缩进 + 首行缩进:  2 字符 Char1"/>
    <w:uiPriority w:val="0"/>
    <w:rPr>
      <w:rFonts w:ascii="宋体" w:hAnsi="宋体" w:eastAsia="宋体" w:cs="宋体"/>
      <w:sz w:val="24"/>
      <w:szCs w:val="24"/>
      <w:lang w:val="en-US" w:eastAsia="zh-CN" w:bidi="ar-SA"/>
    </w:rPr>
  </w:style>
  <w:style w:type="character" w:customStyle="1" w:styleId="2346">
    <w:name w:val="Char Char31"/>
    <w:uiPriority w:val="0"/>
    <w:rPr>
      <w:kern w:val="2"/>
      <w:sz w:val="21"/>
    </w:rPr>
  </w:style>
  <w:style w:type="character" w:customStyle="1" w:styleId="2347">
    <w:name w:val="批注文字 字符"/>
    <w:uiPriority w:val="0"/>
    <w:rPr>
      <w:rFonts w:eastAsia="宋体"/>
      <w:kern w:val="2"/>
      <w:sz w:val="21"/>
      <w:szCs w:val="24"/>
      <w:lang w:val="en-US" w:eastAsia="zh-CN" w:bidi="ar-SA"/>
    </w:rPr>
  </w:style>
  <w:style w:type="paragraph" w:customStyle="1" w:styleId="2348">
    <w:name w:val="Char Char2 Char Char Char Char2"/>
    <w:basedOn w:val="1"/>
    <w:next w:val="1"/>
    <w:uiPriority w:val="0"/>
    <w:pPr>
      <w:spacing w:line="360" w:lineRule="auto"/>
    </w:pPr>
    <w:rPr>
      <w:rFonts w:eastAsia="宋体"/>
      <w:sz w:val="21"/>
      <w:szCs w:val="24"/>
    </w:rPr>
  </w:style>
  <w:style w:type="paragraph" w:customStyle="1" w:styleId="2349">
    <w:name w:val="表格标题-02"/>
    <w:basedOn w:val="1"/>
    <w:link w:val="2350"/>
    <w:uiPriority w:val="0"/>
    <w:pPr>
      <w:spacing w:before="60" w:beforeLines="30" w:line="460" w:lineRule="exact"/>
      <w:jc w:val="center"/>
    </w:pPr>
    <w:rPr>
      <w:rFonts w:eastAsia="宋体"/>
      <w:snapToGrid w:val="0"/>
      <w:kern w:val="0"/>
      <w:sz w:val="24"/>
      <w:szCs w:val="24"/>
    </w:rPr>
  </w:style>
  <w:style w:type="character" w:customStyle="1" w:styleId="2350">
    <w:name w:val="表格标题-02 Char"/>
    <w:link w:val="2349"/>
    <w:uiPriority w:val="0"/>
    <w:rPr>
      <w:snapToGrid w:val="0"/>
      <w:sz w:val="24"/>
      <w:szCs w:val="24"/>
    </w:rPr>
  </w:style>
  <w:style w:type="paragraph" w:customStyle="1" w:styleId="2351">
    <w:name w:val="表格正文-新"/>
    <w:basedOn w:val="1"/>
    <w:uiPriority w:val="0"/>
    <w:pPr>
      <w:spacing w:line="360" w:lineRule="exact"/>
      <w:jc w:val="center"/>
    </w:pPr>
    <w:rPr>
      <w:rFonts w:eastAsia="宋体"/>
      <w:snapToGrid w:val="0"/>
      <w:kern w:val="0"/>
      <w:sz w:val="21"/>
      <w:szCs w:val="21"/>
    </w:rPr>
  </w:style>
  <w:style w:type="paragraph" w:customStyle="1" w:styleId="2352">
    <w:name w:val="正文-7"/>
    <w:basedOn w:val="1"/>
    <w:qFormat/>
    <w:uiPriority w:val="0"/>
    <w:pPr>
      <w:spacing w:before="30" w:beforeLines="30" w:line="460" w:lineRule="exact"/>
      <w:ind w:firstLine="200" w:firstLineChars="200"/>
    </w:pPr>
    <w:rPr>
      <w:rFonts w:eastAsia="宋体"/>
      <w:snapToGrid w:val="0"/>
      <w:kern w:val="0"/>
      <w:sz w:val="24"/>
      <w:szCs w:val="24"/>
    </w:rPr>
  </w:style>
  <w:style w:type="paragraph" w:customStyle="1" w:styleId="2353">
    <w:name w:val="表格正文8"/>
    <w:basedOn w:val="1"/>
    <w:uiPriority w:val="0"/>
    <w:pPr>
      <w:spacing w:line="360" w:lineRule="exact"/>
      <w:jc w:val="center"/>
    </w:pPr>
    <w:rPr>
      <w:rFonts w:eastAsia="宋体"/>
      <w:snapToGrid w:val="0"/>
      <w:kern w:val="0"/>
      <w:sz w:val="21"/>
      <w:szCs w:val="21"/>
    </w:rPr>
  </w:style>
  <w:style w:type="character" w:customStyle="1" w:styleId="2354">
    <w:name w:val="WW8Num1352z0"/>
    <w:uiPriority w:val="0"/>
    <w:rPr>
      <w:rFonts w:ascii="Times New Roman" w:hAnsi="Times New Roman"/>
    </w:rPr>
  </w:style>
  <w:style w:type="paragraph" w:customStyle="1" w:styleId="2355">
    <w:name w:val="三级标题8"/>
    <w:basedOn w:val="1"/>
    <w:uiPriority w:val="0"/>
    <w:pPr>
      <w:spacing w:before="300" w:line="460" w:lineRule="exact"/>
      <w:outlineLvl w:val="2"/>
    </w:pPr>
    <w:rPr>
      <w:rFonts w:eastAsia="宋体" w:cs="宋体"/>
      <w:b/>
      <w:bCs/>
      <w:snapToGrid w:val="0"/>
      <w:kern w:val="0"/>
      <w:sz w:val="24"/>
    </w:rPr>
  </w:style>
  <w:style w:type="character" w:customStyle="1" w:styleId="2356">
    <w:name w:val="样式 样式 标题1 + 段前: 0.5 行 + (符号) 宋体 黑色 Char"/>
    <w:uiPriority w:val="0"/>
    <w:rPr>
      <w:rFonts w:eastAsia="宋体" w:cs="宋体"/>
      <w:b/>
      <w:bCs/>
      <w:color w:val="000000"/>
      <w:kern w:val="2"/>
      <w:sz w:val="32"/>
      <w:szCs w:val="24"/>
      <w:lang w:val="en-US" w:eastAsia="zh-CN" w:bidi="ar-SA"/>
    </w:rPr>
  </w:style>
  <w:style w:type="character" w:customStyle="1" w:styleId="2357">
    <w:name w:val="表格标题8 Char"/>
    <w:link w:val="2358"/>
    <w:qFormat/>
    <w:uiPriority w:val="0"/>
    <w:rPr>
      <w:rFonts w:cs="宋体"/>
      <w:snapToGrid w:val="0"/>
      <w:sz w:val="24"/>
      <w:szCs w:val="24"/>
    </w:rPr>
  </w:style>
  <w:style w:type="paragraph" w:customStyle="1" w:styleId="2358">
    <w:name w:val="表格标题8"/>
    <w:basedOn w:val="1"/>
    <w:link w:val="2357"/>
    <w:qFormat/>
    <w:uiPriority w:val="0"/>
    <w:pPr>
      <w:spacing w:before="60" w:line="460" w:lineRule="exact"/>
      <w:jc w:val="center"/>
    </w:pPr>
    <w:rPr>
      <w:rFonts w:eastAsia="宋体" w:cs="宋体"/>
      <w:snapToGrid w:val="0"/>
      <w:kern w:val="0"/>
      <w:sz w:val="24"/>
      <w:szCs w:val="24"/>
    </w:rPr>
  </w:style>
  <w:style w:type="paragraph" w:customStyle="1" w:styleId="2359">
    <w:name w:val="(1表格"/>
    <w:basedOn w:val="3"/>
    <w:qFormat/>
    <w:uiPriority w:val="0"/>
    <w:pPr>
      <w:keepNext w:val="0"/>
      <w:keepLines w:val="0"/>
      <w:numPr>
        <w:ilvl w:val="0"/>
        <w:numId w:val="0"/>
      </w:numPr>
      <w:spacing w:before="0" w:after="0"/>
      <w:jc w:val="center"/>
    </w:pPr>
    <w:rPr>
      <w:rFonts w:ascii="Times New Roman" w:hAnsi="Times New Roman" w:eastAsia="仿宋_GB2312"/>
      <w:bCs/>
      <w:color w:val="000000"/>
      <w:sz w:val="21"/>
      <w:szCs w:val="30"/>
    </w:rPr>
  </w:style>
  <w:style w:type="paragraph" w:customStyle="1" w:styleId="2360">
    <w:name w:val="样式 二级标题 + 首行缩进:  2 字符"/>
    <w:basedOn w:val="260"/>
    <w:uiPriority w:val="0"/>
    <w:rPr>
      <w:rFonts w:cs="宋体"/>
      <w:snapToGrid w:val="0"/>
      <w:color w:val="000000"/>
      <w:kern w:val="0"/>
      <w:szCs w:val="28"/>
      <w:lang w:val="en-US" w:eastAsia="zh-CN"/>
    </w:rPr>
  </w:style>
  <w:style w:type="character" w:customStyle="1" w:styleId="2361">
    <w:name w:val="Char Char151"/>
    <w:uiPriority w:val="0"/>
    <w:rPr>
      <w:b/>
      <w:bCs/>
      <w:kern w:val="2"/>
      <w:sz w:val="32"/>
      <w:szCs w:val="32"/>
    </w:rPr>
  </w:style>
  <w:style w:type="paragraph" w:customStyle="1" w:styleId="2362">
    <w:name w:val="Char Char Char1 Char Char Char Char Char Char Char"/>
    <w:basedOn w:val="1"/>
    <w:uiPriority w:val="0"/>
    <w:pPr>
      <w:adjustRightInd w:val="0"/>
      <w:spacing w:line="312" w:lineRule="auto"/>
    </w:pPr>
    <w:rPr>
      <w:rFonts w:eastAsia="宋体"/>
      <w:sz w:val="21"/>
    </w:rPr>
  </w:style>
  <w:style w:type="character" w:customStyle="1" w:styleId="2363">
    <w:name w:val="批注文字 Char"/>
    <w:uiPriority w:val="0"/>
    <w:rPr>
      <w:rFonts w:ascii="Tahoma" w:hAnsi="Tahoma"/>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microsoft.com/office/2006/relationships/keyMapCustomizations" Target="customizations.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2.png"/><Relationship Id="rId51" Type="http://schemas.openxmlformats.org/officeDocument/2006/relationships/image" Target="media/image21.emf"/><Relationship Id="rId50" Type="http://schemas.openxmlformats.org/officeDocument/2006/relationships/image" Target="media/image20.emf"/><Relationship Id="rId5" Type="http://schemas.openxmlformats.org/officeDocument/2006/relationships/header" Target="header2.xml"/><Relationship Id="rId49" Type="http://schemas.openxmlformats.org/officeDocument/2006/relationships/oleObject" Target="embeddings/oleObject12.bin"/><Relationship Id="rId48" Type="http://schemas.openxmlformats.org/officeDocument/2006/relationships/image" Target="media/image19.wmf"/><Relationship Id="rId47" Type="http://schemas.openxmlformats.org/officeDocument/2006/relationships/image" Target="media/image18.emf"/><Relationship Id="rId46" Type="http://schemas.openxmlformats.org/officeDocument/2006/relationships/oleObject" Target="embeddings/oleObject11.bin"/><Relationship Id="rId45" Type="http://schemas.openxmlformats.org/officeDocument/2006/relationships/image" Target="media/image17.emf"/><Relationship Id="rId44" Type="http://schemas.openxmlformats.org/officeDocument/2006/relationships/oleObject" Target="embeddings/oleObject10.bin"/><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emf"/><Relationship Id="rId40" Type="http://schemas.openxmlformats.org/officeDocument/2006/relationships/oleObject" Target="embeddings/oleObject9.bin"/><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emf"/><Relationship Id="rId36" Type="http://schemas.openxmlformats.org/officeDocument/2006/relationships/oleObject" Target="embeddings/oleObject8.bin"/><Relationship Id="rId35" Type="http://schemas.openxmlformats.org/officeDocument/2006/relationships/image" Target="media/image10.emf"/><Relationship Id="rId34" Type="http://schemas.openxmlformats.org/officeDocument/2006/relationships/oleObject" Target="embeddings/oleObject7.bin"/><Relationship Id="rId33" Type="http://schemas.openxmlformats.org/officeDocument/2006/relationships/image" Target="media/image9.png"/><Relationship Id="rId32" Type="http://schemas.openxmlformats.org/officeDocument/2006/relationships/image" Target="media/image8.emf"/><Relationship Id="rId31" Type="http://schemas.openxmlformats.org/officeDocument/2006/relationships/oleObject" Target="embeddings/oleObject6.bin"/><Relationship Id="rId30" Type="http://schemas.openxmlformats.org/officeDocument/2006/relationships/image" Target="media/image7.e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6.emf"/><Relationship Id="rId27" Type="http://schemas.openxmlformats.org/officeDocument/2006/relationships/oleObject" Target="embeddings/oleObject4.bin"/><Relationship Id="rId26" Type="http://schemas.openxmlformats.org/officeDocument/2006/relationships/image" Target="media/image5.emf"/><Relationship Id="rId25" Type="http://schemas.openxmlformats.org/officeDocument/2006/relationships/oleObject" Target="embeddings/oleObject3.bin"/><Relationship Id="rId24" Type="http://schemas.openxmlformats.org/officeDocument/2006/relationships/image" Target="media/image4.emf"/><Relationship Id="rId23" Type="http://schemas.openxmlformats.org/officeDocument/2006/relationships/oleObject" Target="embeddings/oleObject2.bin"/><Relationship Id="rId22" Type="http://schemas.openxmlformats.org/officeDocument/2006/relationships/image" Target="media/image3.emf"/><Relationship Id="rId21" Type="http://schemas.openxmlformats.org/officeDocument/2006/relationships/oleObject" Target="embeddings/oleObject1.bin"/><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37BF41-DCD9-4CF0-AEF3-7F9804CE746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152</Pages>
  <Words>17981</Words>
  <Characters>102498</Characters>
  <Lines>854</Lines>
  <Paragraphs>240</Paragraphs>
  <TotalTime>42</TotalTime>
  <ScaleCrop>false</ScaleCrop>
  <LinksUpToDate>false</LinksUpToDate>
  <CharactersWithSpaces>120239</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2019-06-04T09:57:00Z</dcterms:created>
  <dc:creator>user</dc:creator>
  <cp:lastModifiedBy>小高</cp:lastModifiedBy>
  <cp:lastPrinted>2019-05-24T10:21:00Z</cp:lastPrinted>
  <dcterms:modified xsi:type="dcterms:W3CDTF">2019-06-05T06:33:38Z</dcterms:modified>
  <dc:title>目录</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